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Ditylenchus dipsaci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Ditylenchus dipsaci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(Kuehn) Filipjev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Anguinidae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dipsaci</w:t>
            </w:r>
            <w:r>
              <w:rPr>
                <w:rFonts w:ascii="Calibri" w:hAnsi="Calibri" w:eastAsia="Calibri" w:cs="Calibri"/>
                <w:color w:val="000000"/>
                <w:position w:val="-3"/>
                <w:sz w:val="22"/>
                <w:szCs w:val="22"/>
              </w:rPr>
              <w:t xml:space="preserve"> Kuehn, </w:t>
            </w:r>
            <w:r>
              <w:rPr>
                <w:rFonts w:ascii="Calibri" w:hAnsi="Calibri" w:eastAsia="Calibri" w:cs="Calibri"/>
                <w:i/>
                <w:iCs/>
                <w:color w:val="000000"/>
                <w:position w:val="-3"/>
                <w:sz w:val="22"/>
                <w:szCs w:val="22"/>
              </w:rPr>
              <w:t xml:space="preserve">Ditylenchus allii</w:t>
            </w:r>
            <w:r>
              <w:rPr>
                <w:rFonts w:ascii="Calibri" w:hAnsi="Calibri" w:eastAsia="Calibri" w:cs="Calibri"/>
                <w:color w:val="000000"/>
                <w:position w:val="-3"/>
                <w:sz w:val="22"/>
                <w:szCs w:val="22"/>
              </w:rPr>
              <w:t xml:space="preserve"> (Beijerinck) Tarjan, </w:t>
            </w:r>
            <w:r>
              <w:rPr>
                <w:rFonts w:ascii="Calibri" w:hAnsi="Calibri" w:eastAsia="Calibri" w:cs="Calibri"/>
                <w:i/>
                <w:iCs/>
                <w:color w:val="000000"/>
                <w:position w:val="-3"/>
                <w:sz w:val="22"/>
                <w:szCs w:val="22"/>
              </w:rPr>
              <w:t xml:space="preserve">Ditylenchus fragariae</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Ditylenchus phloxidis</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Tylenchus allii</w:t>
            </w:r>
            <w:r>
              <w:rPr>
                <w:rFonts w:ascii="Calibri" w:hAnsi="Calibri" w:eastAsia="Calibri" w:cs="Calibri"/>
                <w:color w:val="000000"/>
                <w:position w:val="-3"/>
                <w:sz w:val="22"/>
                <w:szCs w:val="22"/>
              </w:rPr>
              <w:t xml:space="preserve"> Beijerinck, </w:t>
            </w:r>
            <w:r>
              <w:rPr>
                <w:rFonts w:ascii="Calibri" w:hAnsi="Calibri" w:eastAsia="Calibri" w:cs="Calibri"/>
                <w:i/>
                <w:iCs/>
                <w:color w:val="000000"/>
                <w:position w:val="-3"/>
                <w:sz w:val="22"/>
                <w:szCs w:val="22"/>
              </w:rPr>
              <w:t xml:space="preserve">Tylenchus devastator</w:t>
            </w:r>
            <w:r>
              <w:rPr>
                <w:rFonts w:ascii="Calibri" w:hAnsi="Calibri" w:eastAsia="Calibri" w:cs="Calibri"/>
                <w:color w:val="000000"/>
                <w:position w:val="-3"/>
                <w:sz w:val="22"/>
                <w:szCs w:val="22"/>
              </w:rPr>
              <w:t xml:space="preserve"> (Kuehn) Oerley, </w:t>
            </w:r>
            <w:r>
              <w:rPr>
                <w:rFonts w:ascii="Calibri" w:hAnsi="Calibri" w:eastAsia="Calibri" w:cs="Calibri"/>
                <w:i/>
                <w:iCs/>
                <w:color w:val="000000"/>
                <w:position w:val="-3"/>
                <w:sz w:val="22"/>
                <w:szCs w:val="22"/>
              </w:rPr>
              <w:t xml:space="preserve">Tylenchus dipsaci</w:t>
            </w:r>
            <w:r>
              <w:rPr>
                <w:rFonts w:ascii="Calibri" w:hAnsi="Calibri" w:eastAsia="Calibri" w:cs="Calibri"/>
                <w:color w:val="000000"/>
                <w:position w:val="-3"/>
                <w:sz w:val="22"/>
                <w:szCs w:val="22"/>
              </w:rPr>
              <w:t xml:space="preserve"> (Kuehn) Bastian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bloat disease of onion, brown ring disease of hyacinth, bulb eelworm, ring disease of bulbs, stem and bulb eelworm, stem and bulb nematode, stem nematode</w:t>
            </w:r>
            <w:hyperlink r:id="rId120268e625c26c3b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783768e625c26c41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DITYDI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10669" name="name850368e625c26cc7e" descr="17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9.jpg"/>
                          <pic:cNvPicPr/>
                        </pic:nvPicPr>
                        <pic:blipFill>
                          <a:blip r:embed="rId138868e625c26cc7c" cstate="print"/>
                          <a:stretch>
                            <a:fillRect/>
                          </a:stretch>
                        </pic:blipFill>
                        <pic:spPr>
                          <a:xfrm>
                            <a:off x="0" y="0"/>
                            <a:ext cx="2160000" cy="1281600"/>
                          </a:xfrm>
                          <a:prstGeom prst="rect">
                            <a:avLst/>
                          </a:prstGeom>
                          <a:ln w="0">
                            <a:noFill/>
                          </a:ln>
                        </pic:spPr>
                      </pic:pic>
                    </a:graphicData>
                  </a:graphic>
                </wp:inline>
              </w:drawing>
            </w:r>
            <w:hyperlink r:id="rId582568e625c26cda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is known to infect over 500 different plant species, including many weeds. Up to 30 biological races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identified based on their host preferences, forming a species complex (Sturhan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race(s) that breed on rye, oats and onions seem to be polyphagous and can also infest several other crops, whereas those breeding on lucerne,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and strawberries are virtually specific for their named hosts and seem to have relatively few alternative host plants. The tulip race will also infest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whereas another race commonly found in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does not breed on tulip. According to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sugar beet race is polyphagous but cannot multiply on lucerne, whereas the lucerne race can reproduce on sugar beet. It is known that some of the races can interbreed and that their progeny has different host preferences. See also Sturhan (1969), Eriksson (1974). Recently, the giant race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been recognized as a distinct species and is now known as </w:t>
      </w:r>
      <w:r>
        <w:rPr>
          <w:rFonts w:ascii="Calibri" w:hAnsi="Calibri" w:eastAsia="Calibri" w:cs="Calibri"/>
          <w:i/>
          <w:iCs/>
          <w:color w:val="000000"/>
          <w:sz w:val="22"/>
          <w:szCs w:val="22"/>
        </w:rPr>
        <w:t xml:space="preserve">Ditylenchus gigas</w:t>
      </w:r>
      <w:r>
        <w:rPr>
          <w:rFonts w:ascii="Calibri" w:hAnsi="Calibri" w:eastAsia="Calibri" w:cs="Calibri"/>
          <w:color w:val="000000"/>
          <w:sz w:val="22"/>
          <w:szCs w:val="22"/>
        </w:rPr>
        <w:t xml:space="preserve"> (Vovlas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faba beans, garlic,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leeks, lucerne, maize,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oats, onions, peas, </w:t>
      </w:r>
      <w:r>
        <w:rPr>
          <w:rFonts w:ascii="Calibri" w:hAnsi="Calibri" w:eastAsia="Calibri" w:cs="Calibri"/>
          <w:i/>
          <w:iCs/>
          <w:color w:val="000000"/>
          <w:sz w:val="22"/>
          <w:szCs w:val="22"/>
        </w:rPr>
        <w:t xml:space="preserve">Phlox drummondii, P. paniculata</w:t>
      </w:r>
      <w:r>
        <w:rPr>
          <w:rFonts w:ascii="Calibri" w:hAnsi="Calibri" w:eastAsia="Calibri" w:cs="Calibri"/>
          <w:color w:val="000000"/>
          <w:sz w:val="22"/>
          <w:szCs w:val="22"/>
        </w:rPr>
        <w:t xml:space="preserve">, potatoes, rye, strawberries, sugar beet, tobacco, </w:t>
      </w:r>
      <w:r>
        <w:rPr>
          <w:rFonts w:ascii="Calibri" w:hAnsi="Calibri" w:eastAsia="Calibri" w:cs="Calibri"/>
          <w:i/>
          <w:iCs/>
          <w:color w:val="000000"/>
          <w:sz w:val="22"/>
          <w:szCs w:val="22"/>
        </w:rPr>
        <w:t xml:space="preserve">Trifolium pratense, T. repens,</w:t>
      </w:r>
      <w:r>
        <w:rPr>
          <w:rFonts w:ascii="Calibri" w:hAnsi="Calibri" w:eastAsia="Calibri" w:cs="Calibri"/>
          <w:color w:val="000000"/>
          <w:sz w:val="22"/>
          <w:szCs w:val="22"/>
        </w:rPr>
        <w:t xml:space="preserve"> tulips.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also been reported on carnations, celery,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lentils, oilseed rape, parsley, sunflower, wheat.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Acanthophyllum cerastioides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Aetheorhiza bulbosa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Aethusa cynapium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galanthum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vavilovii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vineale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geniculatus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Amberboa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Amsinckia menziesii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archangelica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odoratum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vulneraria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Apera spica-venti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thaliana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aubrietioides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Arnoseris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Asphodeline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sterilis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glutinosa var.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Bellevalia romana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Brachypodium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jacea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x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x agrippinum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Consolida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leontodontoides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vesicaria subsp. taraxacifolia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Cynosurus cristatus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trolliifolium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praealta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Eremurus stenophyllus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Eriocapitella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nivalis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 subsp.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tetrahit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achilleifolia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dalenii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Goeppertia lindbergii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Hepatica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non-scripta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Ipomopsis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Isatis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Ismene narcissiflora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Kickxia spuria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Knautia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Kniphofia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Koeleria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Leondoton hispidus subsp. hastilis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hispidus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Leontopodium nivale subsp. alpinum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regale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luteus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Lycoris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orbicularis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 subsp.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Melampyrum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neglectum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verticillatum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assoanus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bulbocodium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cyclamineus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poeticus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romieuxii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incomparabilis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Navarretia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Odontites vernus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tetragona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Ornithopus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eatonii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gentianoides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anserina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anisodora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 subsp. beesiana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chionantha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cortusoides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florindae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helodoxa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juliae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latisecta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megaseifolia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pulverulenta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saxatilis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 var.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Puschkinia scilloides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auricomus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Roemeria argemone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cotyledon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sardensis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Scorzoneroides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Sherardia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schafta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planifolia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stoloniferum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Sprekelia formosissima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Sternbergia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squamatum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Takhtajaniantha tau-saghyz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pavonia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fragiferum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Tuberaria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gesneriana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flaccida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occurs locally in most temperate areas of the world (Europe and the Mediterranean region, North and South America, Northern and Southern Africa, Asia and Oceania) but it does not seem able to establish in tropical regions except at higher altitudes that have a temperate climate. In most countries regulatory measures (e.g. certification schemes) are applied to minimize further spread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w:t>
      </w:r>
    </w:p>
    <w:p>
      <w:r>
        <w:drawing>
          <wp:inline distT="0" distB="0" distL="0" distR="0">
            <wp:extent cx="6120000" cy="3067200"/>
            <wp:docPr id="57818347" name="name194668e625c271650" descr="DITY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TYDI_distribution_map.jpg"/>
                    <pic:cNvPicPr/>
                  </pic:nvPicPr>
                  <pic:blipFill>
                    <a:blip r:embed="rId329568e625c27164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Hungary, Ireland, Israel, Italy (mainland, Sicilia), Jordan, Kazakhstan, Kyrgyzstan, Latvia, Lithuania, Malta, Moldova, Republic of, Morocco, Netherlands, North Macedonia, Norway, Poland, Portugal (mainland, Azores), Romania, Russian Federation (the) (Central Russia, Far East, Southern Russia, Western Siberia), Serbia, Slovakia, Slovenia, Spain (mainland), Sweden, Switzerland, Tunisia, Türkiye, Ukraine, United Kingdom (England, Scotland),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Reunion,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(Gansu, Hebei, Henan, Shandong, Sichuan, Xinjiang), Indonesia (Java), Iran, Islamic Republic of, Iraq, Israel, Japan (Honshu), Jordan, Kazakhstan, Korea, Republic of, Kyrgyzstan, Oman, Pakistan, Syrian Arab Republic, Uzbekistan,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Ontario, Prince Edward Island, Québec, Saskatchewan), Mexico, United States of America (Alabama, Arizona, California, Colorado, Hawaii, Idaho, Michigan, Minnesota, Montana, Nevada, New Hampshire, New Mexico, New York, North Carolina, Ohio, Oregon, South Dakota, Utah, Virginia,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Paraiba, Parana, Rio Grande do Sul, Santa Catarina, Sao Paulo), Chile,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invades seedlings through the stomata of the hypocotyl and cotyledons, and then migrates to the upper part of the hypocotyl, which later develops into the bulb or crown of the plant. </w:t>
      </w:r>
      <w:r>
        <w:rPr>
          <w:rFonts w:ascii="Calibri" w:hAnsi="Calibri" w:eastAsia="Calibri" w:cs="Calibri"/>
          <w:i/>
          <w:iCs/>
          <w:color w:val="000000"/>
          <w:sz w:val="22"/>
          <w:szCs w:val="22"/>
        </w:rPr>
        <w:t xml:space="preserve">D. dipsaci </w:t>
      </w:r>
      <w:r>
        <w:rPr>
          <w:rFonts w:ascii="Calibri" w:hAnsi="Calibri" w:eastAsia="Calibri" w:cs="Calibri"/>
          <w:color w:val="000000"/>
          <w:sz w:val="22"/>
          <w:szCs w:val="22"/>
        </w:rPr>
        <w:t xml:space="preserve">feeds on the cells of the host plant (Hooper, 1971). Injected enzymes in the host cells dissolve the middle lamellae, causing an imbalance in plant hormones, cell hypertrophy, and the formation of intercellular cavities (Duncan and Moens,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onion plants at 15°C, the life cycle takes about 20 days. Females lay 200 to 500 eggs each. The reproductive capacity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varies significantly based on environmental conditions and host tissue (Barbercheck and Duncan, 2004). Griffith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documented a daily production of 0.8 and 3.1 eggs on white clover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at temperatures of 10°C and 20°C respectively. Fourth-stage juveniles (dauer larvae) allow nematodes to survive in the absence of a host plant. They tend to aggregate on, or just below, the surface of heavily infested tissue to form clumps of "eelworm wool" and can survive in dry conditions for several years. They may also be attached to the seeds of host plants. Cool, moist conditions favour the infection of young plant tissue by this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commonly exhibit stunted growth, as well as swelling of the hypocotyl and epicotyl (Caubel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Early infections in plants can lead to a low emergence rate and the death of young seedlings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Furthermore,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infection can have long-lasting effects, characterized by tissue rotting at harvest or during storage. The damage usually occurs in patches within the fields.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Allium</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onion leaves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causes leaf deformation and leaf swellings or blister-like areas on the surface. The leaves grow in a disorderly manner,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Conversely,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garlic does not induce deformations or swellings, but causes leaf yellowing and death (Netscher &amp; Sikora, 1990).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lucerne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decline in patches in the field and damage is more serious in humid climates. The whole plant becomes desiccated and presents symptoms of stunting and swelling at the base of the stem with conspicuous shortened internodes. High levels of infestation can kill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sugar beet</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sugar beet seedlings results in the swelling of hypocotyls and the distortion of leaves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the growing season progresses, secondary infection by soil-borne pathogens favored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infestation contribute to crown decomposition in sugar beets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Slender transparent worms; adult about 1.2 mm long; head structure moderately developed, spear about 10-12 µm long with distinct basal knobs; lateral fields with four incisures; tail terminus sharply pointed. Post-vulval sac extending about half-way to the anus. See Hooper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isolated from soil or plant tissue using Oostenbrink dishes for 24-48 h (EPPO, 2013). Adult and larval individuals can be determined using an optical microscope on the basis of morphological characteristics. When necessary, molecular identification is used.</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detection and identification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found in the EPPO diagnostic protocol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liable to be carried on dry seeds and planting material of host plants. In the field,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migration to the soil surface, where infection occurs, is initiated by rainfall or irrigation (Barbercheck and Duncan, 2004). Regular rainfall in spring or autumn just after sowing favours nematode infection.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one of the most devastating plant parasitic nematodes, especially in temperate regions. Without control, it can cause complete failure of host crops (e.g. onions, garlic, sugar beet, legumes, strawberries, ornamental plants, especially flower bulbs).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direct management method for controlling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 the field. Its broad host range and its capacity to survive many years without host plants hinders the success of crop rotation strategies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Successions of crops with high nematode reproduction potential should be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Nematode-free (certified) seeds and planting material are essential to prevent crop damage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Hot-water treatments with different temperature-time combinations, depending on type and state of seed material, are operational and efficient to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(Gratwick &amp; Southey, 1972). Abamectin B1 and hydrogen cyanide treatment on garlic bulbs prevent nematode transmission through seed material. The use of tolerant or resistant cultivars can also reduce the damage. Cultivars that are resistant (or partially resistant) to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reported in clover, alfalfa, faba bean, potatoes, and oat (Storelli,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 distribution of the different races throughout the region is patchy and some countries apply official control measures to limit spread. Other countries regard the pest as being a quality pest which can be effectively controlled by production and use of healthy planting material. Without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may cause complete failure of host crops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implementation of certification schemes for the production of host plants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ensure the production of planting material free from the pest. Restrictions on the movements of plants for planting and seeds of host plants from countries where this nematode occurs may be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Barbercheck ME &amp; Duncan LW (2004) Abiotic factors. In Gaugler R, Bilgrami AL (Eds.): </w:t>
      </w:r>
      <w:r>
        <w:rPr>
          <w:rFonts w:ascii="Calibri" w:hAnsi="Calibri" w:eastAsia="Calibri" w:cs="Calibri"/>
          <w:i/>
          <w:iCs/>
          <w:color w:val="000000"/>
          <w:sz w:val="22"/>
          <w:szCs w:val="22"/>
        </w:rPr>
        <w:t xml:space="preserve">Nematode behaviour</w:t>
      </w:r>
      <w:r>
        <w:rPr>
          <w:rFonts w:ascii="Calibri" w:hAnsi="Calibri" w:eastAsia="Calibri" w:cs="Calibri"/>
          <w:color w:val="000000"/>
          <w:sz w:val="22"/>
          <w:szCs w:val="22"/>
        </w:rPr>
        <w:t xml:space="preserve">. Wallingford. CABI Publishing, pp. 309–344.</w:t>
      </w:r>
    </w:p>
    <w:p>
      <w:pPr>
        <w:widowControl w:val="on"/>
        <w:pBdr/>
        <w:spacing w:before="220" w:after="220" w:line="240" w:lineRule="auto"/>
        <w:ind w:left="0" w:right="0"/>
        <w:jc w:val="left"/>
      </w:pPr>
      <w:r>
        <w:rPr>
          <w:rFonts w:ascii="Calibri" w:hAnsi="Calibri" w:eastAsia="Calibri" w:cs="Calibri"/>
          <w:color w:val="000000"/>
          <w:sz w:val="22"/>
          <w:szCs w:val="22"/>
        </w:rPr>
        <w:t xml:space="preserve">Caubel G, Chatot F &amp; Mousset-Declas C (1994) Résistance variétale du trèfle violet au nématode des tiges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Fourrages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165–173. </w:t>
      </w:r>
      <w:hyperlink r:id="rId939968e625c27213a" w:history="1">
        <w:r>
          <w:rPr>
            <w:rFonts w:ascii="Calibri" w:hAnsi="Calibri" w:eastAsia="Calibri" w:cs="Calibri"/>
            <w:color w:val="0000CC"/>
            <w:sz w:val="22"/>
            <w:szCs w:val="22"/>
            <w:u w:val="single"/>
          </w:rPr>
          <w:t xml:space="preserve">https://jeb.biologists.org/content/jexbio/199/5/1085.full.pdf</w:t>
        </w:r>
      </w:hyperlink>
      <w:r>
        <w:rPr>
          <w:rFonts w:ascii="Calibri" w:hAnsi="Calibri" w:eastAsia="Calibri" w:cs="Calibri"/>
          <w:color w:val="000000"/>
          <w:sz w:val="22"/>
          <w:szCs w:val="22"/>
        </w:rPr>
        <w:t xml:space="preserve"> [accessed on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KB (1974) Intraspecific variation in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 Compatibility tests with races.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147-162.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127968e625c27222b"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PM 7/87 (2) </w:t>
      </w:r>
      <w:r>
        <w:rPr>
          <w:rFonts w:ascii="Calibri" w:hAnsi="Calibri" w:eastAsia="Calibri" w:cs="Calibri"/>
          <w:i/>
          <w:iCs/>
          <w:color w:val="000000"/>
          <w:sz w:val="22"/>
          <w:szCs w:val="22"/>
        </w:rPr>
        <w:t xml:space="preserve">Ditylenchus destructor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401-419. </w:t>
      </w:r>
      <w:hyperlink r:id="rId584268e625c2722d9" w:history="1">
        <w:r>
          <w:rPr>
            <w:rFonts w:ascii="Calibri" w:hAnsi="Calibri" w:eastAsia="Calibri" w:cs="Calibri"/>
            <w:color w:val="0000CC"/>
            <w:sz w:val="22"/>
            <w:szCs w:val="22"/>
            <w:u w:val="single"/>
          </w:rPr>
          <w:t xml:space="preserve">https://doi.org/10.1111/epp.12433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Gratwick M &amp; Southey JF (1972) Hot-water treatment of plant material.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Ministry of Agriculture, </w:t>
      </w:r>
      <w:r>
        <w:rPr>
          <w:rFonts w:ascii="Calibri" w:hAnsi="Calibri" w:eastAsia="Calibri" w:cs="Calibri"/>
          <w:i/>
          <w:iCs/>
          <w:color w:val="000000"/>
          <w:sz w:val="22"/>
          <w:szCs w:val="22"/>
        </w:rPr>
        <w:t xml:space="preserve">Fisheries and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46 pp.</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GS, Cook R &amp; Mizen KA (1997)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infestation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II. Dynamics of infestation development.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pp. 356–369.</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(1971)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CIH Descriptions of Plant-parasitic Nematodes Set 1, No.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&amp; Southey JF (1978) </w:t>
      </w:r>
      <w:r>
        <w:rPr>
          <w:rFonts w:ascii="Calibri" w:hAnsi="Calibri" w:eastAsia="Calibri" w:cs="Calibri"/>
          <w:i/>
          <w:iCs/>
          <w:color w:val="000000"/>
          <w:sz w:val="22"/>
          <w:szCs w:val="22"/>
        </w:rPr>
        <w:t xml:space="preserve">Ditylenchus, Anguina</w:t>
      </w:r>
      <w:r>
        <w:rPr>
          <w:rFonts w:ascii="Calibri" w:hAnsi="Calibri" w:eastAsia="Calibri" w:cs="Calibri"/>
          <w:color w:val="000000"/>
          <w:sz w:val="22"/>
          <w:szCs w:val="22"/>
        </w:rPr>
        <w:t xml:space="preserve"> and related genera. In: Plant nematology (Ed. by Southey JF)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78-97. Ministry of Agriculture, Fisheries and Food,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(9), 946-61. </w:t>
      </w:r>
      <w:hyperlink r:id="rId902768e625c27253b" w:history="1">
        <w:r>
          <w:rPr>
            <w:rFonts w:ascii="Calibri" w:hAnsi="Calibri" w:eastAsia="Calibri" w:cs="Calibri"/>
            <w:color w:val="0000CC"/>
            <w:sz w:val="22"/>
            <w:szCs w:val="22"/>
            <w:u w:val="single"/>
          </w:rPr>
          <w:t xml:space="preserve">https://doi.org/10.1111/mpp.12057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Netscher C &amp; Sikora A (1990) Nematode parasites of vegetables. In: Plant parasitic nematodes in subtropical and tropical agriculture (Ed. by Luc M, Sikora RA, Bridge J), pp. 237-283.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(2022) Investigation of resistance against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on sugar beet. </w:t>
      </w:r>
      <w:r>
        <w:rPr>
          <w:rFonts w:ascii="Calibri" w:hAnsi="Calibri" w:eastAsia="Calibri" w:cs="Calibri"/>
          <w:i/>
          <w:iCs/>
          <w:color w:val="000000"/>
          <w:sz w:val="22"/>
          <w:szCs w:val="22"/>
        </w:rPr>
        <w:t xml:space="preserve">Ph.D. dissertation</w:t>
      </w:r>
      <w:r>
        <w:rPr>
          <w:rFonts w:ascii="Calibri" w:hAnsi="Calibri" w:eastAsia="Calibri" w:cs="Calibri"/>
          <w:color w:val="000000"/>
          <w:sz w:val="22"/>
          <w:szCs w:val="22"/>
        </w:rPr>
        <w:t xml:space="preserve">. Institut für Zuckerrübenforschung Göttingen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Eder R, Jenni S &amp; Kiewnick S (2020) Evaluation of fluopyram for the control of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sugar beet.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1-10. </w:t>
      </w:r>
      <w:hyperlink r:id="rId113168e625c272665" w:history="1">
        <w:r>
          <w:rPr>
            <w:rFonts w:ascii="Calibri" w:hAnsi="Calibri" w:eastAsia="Calibri" w:cs="Calibri"/>
            <w:color w:val="0000CC"/>
            <w:sz w:val="22"/>
            <w:szCs w:val="22"/>
            <w:u w:val="single"/>
          </w:rPr>
          <w:t xml:space="preserve">https://doi.org/10.21307/jofnem-2020-071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Kiewnick S, Daub M, Mahlein AK, Beyer W &amp; Schumann M (2021) Development of a new in vivo protocol through soil inoculation to investigate sugar beet resistance towards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penetration.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685-694. </w:t>
      </w:r>
      <w:hyperlink r:id="rId960268e625c2726ea" w:history="1">
        <w:r>
          <w:rPr>
            <w:rFonts w:ascii="Calibri" w:hAnsi="Calibri" w:eastAsia="Calibri" w:cs="Calibri"/>
            <w:color w:val="0000CC"/>
            <w:sz w:val="22"/>
            <w:szCs w:val="22"/>
            <w:u w:val="single"/>
          </w:rPr>
          <w:t xml:space="preserve">https://doi.org/10.1163/15685411-bja10069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Sturhan D (1969) [The race problem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Mitteilungen der Biologischen Bundesanstalt für Land- und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87-98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Sturhan D, Hallmann J &amp; Niere B (2008) A nematological jubilee: 150 years.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1857).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Vovlas N, Troccoli A, Palomares-Rius JE, De Luca F, Liébanas G, Landa BB &amp; Subbotin SA (2011) D</w:t>
      </w:r>
      <w:r>
        <w:rPr>
          <w:rFonts w:ascii="Calibri" w:hAnsi="Calibri" w:eastAsia="Calibri" w:cs="Calibri"/>
          <w:i/>
          <w:iCs/>
          <w:color w:val="000000"/>
          <w:sz w:val="22"/>
          <w:szCs w:val="22"/>
        </w:rPr>
        <w:t xml:space="preserve">itylenchus gigas</w:t>
      </w:r>
      <w:r>
        <w:rPr>
          <w:rFonts w:ascii="Calibri" w:hAnsi="Calibri" w:eastAsia="Calibri" w:cs="Calibri"/>
          <w:color w:val="000000"/>
          <w:sz w:val="22"/>
          <w:szCs w:val="22"/>
        </w:rPr>
        <w:t xml:space="preserve"> n. sp. parasitizing broad bean: a new stem nematode singled out from the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species complex using a polyphasic approach with molecular phylogeny.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60</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762-775.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AG, Fraser JE &amp; Nichols AJF (1987) Variation in the development of stem nematodes,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susceptible and resistant crop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pp. 373–383. </w:t>
      </w:r>
      <w:hyperlink r:id="rId568768e625c27291e" w:history="1">
        <w:r>
          <w:rPr>
            <w:rFonts w:ascii="Calibri" w:hAnsi="Calibri" w:eastAsia="Calibri" w:cs="Calibri"/>
            <w:color w:val="0000CC"/>
            <w:sz w:val="22"/>
            <w:szCs w:val="22"/>
            <w:u w:val="single"/>
          </w:rPr>
          <w:t xml:space="preserve">https://doi.org/10.1111/j.1744-7348.1987.tb01465.x</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Alan Storelli, Agroscope, Switzerland.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EPPO datasheets on pests recommended for regulation. Available online. </w:t>
      </w:r>
      <w:hyperlink r:id="rId636568e625c2729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42202214" name="name209568e625c272a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9868e625c272a8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478219">
    <w:multiLevelType w:val="hybridMultilevel"/>
    <w:lvl w:ilvl="0" w:tplc="99290627">
      <w:start w:val="1"/>
      <w:numFmt w:val="decimal"/>
      <w:lvlText w:val="%1."/>
      <w:lvlJc w:val="left"/>
      <w:pPr>
        <w:ind w:left="720" w:hanging="360"/>
      </w:pPr>
    </w:lvl>
    <w:lvl w:ilvl="1" w:tplc="99290627" w:tentative="1">
      <w:start w:val="1"/>
      <w:numFmt w:val="lowerLetter"/>
      <w:lvlText w:val="%2."/>
      <w:lvlJc w:val="left"/>
      <w:pPr>
        <w:ind w:left="1440" w:hanging="360"/>
      </w:pPr>
    </w:lvl>
    <w:lvl w:ilvl="2" w:tplc="99290627" w:tentative="1">
      <w:start w:val="1"/>
      <w:numFmt w:val="lowerRoman"/>
      <w:lvlText w:val="%3."/>
      <w:lvlJc w:val="right"/>
      <w:pPr>
        <w:ind w:left="2160" w:hanging="180"/>
      </w:pPr>
    </w:lvl>
    <w:lvl w:ilvl="3" w:tplc="99290627" w:tentative="1">
      <w:start w:val="1"/>
      <w:numFmt w:val="decimal"/>
      <w:lvlText w:val="%4."/>
      <w:lvlJc w:val="left"/>
      <w:pPr>
        <w:ind w:left="2880" w:hanging="360"/>
      </w:pPr>
    </w:lvl>
    <w:lvl w:ilvl="4" w:tplc="99290627" w:tentative="1">
      <w:start w:val="1"/>
      <w:numFmt w:val="lowerLetter"/>
      <w:lvlText w:val="%5."/>
      <w:lvlJc w:val="left"/>
      <w:pPr>
        <w:ind w:left="3600" w:hanging="360"/>
      </w:pPr>
    </w:lvl>
    <w:lvl w:ilvl="5" w:tplc="99290627" w:tentative="1">
      <w:start w:val="1"/>
      <w:numFmt w:val="lowerRoman"/>
      <w:lvlText w:val="%6."/>
      <w:lvlJc w:val="right"/>
      <w:pPr>
        <w:ind w:left="4320" w:hanging="180"/>
      </w:pPr>
    </w:lvl>
    <w:lvl w:ilvl="6" w:tplc="99290627" w:tentative="1">
      <w:start w:val="1"/>
      <w:numFmt w:val="decimal"/>
      <w:lvlText w:val="%7."/>
      <w:lvlJc w:val="left"/>
      <w:pPr>
        <w:ind w:left="5040" w:hanging="360"/>
      </w:pPr>
    </w:lvl>
    <w:lvl w:ilvl="7" w:tplc="99290627" w:tentative="1">
      <w:start w:val="1"/>
      <w:numFmt w:val="lowerLetter"/>
      <w:lvlText w:val="%8."/>
      <w:lvlJc w:val="left"/>
      <w:pPr>
        <w:ind w:left="5760" w:hanging="360"/>
      </w:pPr>
    </w:lvl>
    <w:lvl w:ilvl="8" w:tplc="99290627" w:tentative="1">
      <w:start w:val="1"/>
      <w:numFmt w:val="lowerRoman"/>
      <w:lvlText w:val="%9."/>
      <w:lvlJc w:val="right"/>
      <w:pPr>
        <w:ind w:left="6480" w:hanging="180"/>
      </w:pPr>
    </w:lvl>
  </w:abstractNum>
  <w:abstractNum w:abstractNumId="73478218">
    <w:multiLevelType w:val="hybridMultilevel"/>
    <w:lvl w:ilvl="0" w:tplc="204037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478218">
    <w:abstractNumId w:val="73478218"/>
  </w:num>
  <w:num w:numId="73478219">
    <w:abstractNumId w:val="734782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1324916" Type="http://schemas.microsoft.com/office/2011/relationships/commentsExtended" Target="commentsExtended.xml"/><Relationship Id="rId178112565" Type="http://schemas.microsoft.com/office/2011/relationships/people" Target="people.xml"/><Relationship Id="rId120268e625c26c3b2" Type="http://schemas.openxmlformats.org/officeDocument/2006/relationships/hyperlink" Target="https://gd.eppo.int/taxon/DITYDI/" TargetMode="External"/><Relationship Id="rId783768e625c26c41d" Type="http://schemas.openxmlformats.org/officeDocument/2006/relationships/hyperlink" Target="https://gd.eppo.int/taxon/DITYDI/categorization" TargetMode="External"/><Relationship Id="rId582568e625c26cda1" Type="http://schemas.openxmlformats.org/officeDocument/2006/relationships/hyperlink" Target="https://gd.eppo.int/taxon/DITYDI/photos" TargetMode="External"/><Relationship Id="rId939968e625c27213a" Type="http://schemas.openxmlformats.org/officeDocument/2006/relationships/hyperlink" Target="https://jeb.biologists.org/content/jexbio/199/5/1085.full.pdf" TargetMode="External"/><Relationship Id="rId127968e625c27222b" Type="http://schemas.openxmlformats.org/officeDocument/2006/relationships/hyperlink" Target="https://doi.org/10.1111/epp.12077" TargetMode="External"/><Relationship Id="rId584268e625c2722d9" Type="http://schemas.openxmlformats.org/officeDocument/2006/relationships/hyperlink" Target="https://doi.org/10.1111/epp.12433" TargetMode="External"/><Relationship Id="rId902768e625c27253b" Type="http://schemas.openxmlformats.org/officeDocument/2006/relationships/hyperlink" Target="https://doi.org/10.1111/mpp.12057" TargetMode="External"/><Relationship Id="rId113168e625c272665" Type="http://schemas.openxmlformats.org/officeDocument/2006/relationships/hyperlink" Target="https://doi.org/10.21307/jofnem-2020-071" TargetMode="External"/><Relationship Id="rId960268e625c2726ea" Type="http://schemas.openxmlformats.org/officeDocument/2006/relationships/hyperlink" Target="https://doi.org/10.1163/15685411-bja10069" TargetMode="External"/><Relationship Id="rId568768e625c27291e" Type="http://schemas.openxmlformats.org/officeDocument/2006/relationships/hyperlink" Target="https://doi.org/10.1111/j.1744-7348.1987.tb01465.x" TargetMode="External"/><Relationship Id="rId636568e625c2729d1" Type="http://schemas.openxmlformats.org/officeDocument/2006/relationships/hyperlink" Target="https://gd.eppo.int" TargetMode="External"/><Relationship Id="rId138868e625c26cc7c" Type="http://schemas.openxmlformats.org/officeDocument/2006/relationships/image" Target="media/imgrId138868e625c26cc7c.jpg"/><Relationship Id="rId329568e625c27164d" Type="http://schemas.openxmlformats.org/officeDocument/2006/relationships/image" Target="media/imgrId329568e625c27164d.jpg"/><Relationship Id="rId379868e625c272a8a" Type="http://schemas.openxmlformats.org/officeDocument/2006/relationships/image" Target="media/imgrId379868e625c272a8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