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Ditylenchus dipsaci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Ditylenchus dipsaci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(Kuehn) Filipjev</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Nematoda: Chromadorea: Rhabditida: Anguinidae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Anguillulina dipsaci</w:t>
            </w:r>
            <w:r>
              <w:rPr>
                <w:rFonts w:ascii="Calibri" w:hAnsi="Calibri" w:eastAsia="Calibri" w:cs="Calibri"/>
                <w:color w:val="000000"/>
                <w:position w:val="-3"/>
                <w:sz w:val="22"/>
                <w:szCs w:val="22"/>
              </w:rPr>
              <w:t xml:space="preserve"> Kuehn, </w:t>
            </w:r>
            <w:r>
              <w:rPr>
                <w:rFonts w:ascii="Calibri" w:hAnsi="Calibri" w:eastAsia="Calibri" w:cs="Calibri"/>
                <w:i/>
                <w:iCs/>
                <w:color w:val="000000"/>
                <w:position w:val="-3"/>
                <w:sz w:val="22"/>
                <w:szCs w:val="22"/>
              </w:rPr>
              <w:t xml:space="preserve">Ditylenchus allii</w:t>
            </w:r>
            <w:r>
              <w:rPr>
                <w:rFonts w:ascii="Calibri" w:hAnsi="Calibri" w:eastAsia="Calibri" w:cs="Calibri"/>
                <w:color w:val="000000"/>
                <w:position w:val="-3"/>
                <w:sz w:val="22"/>
                <w:szCs w:val="22"/>
              </w:rPr>
              <w:t xml:space="preserve"> (Beijerinck) Tarjan, </w:t>
            </w:r>
            <w:r>
              <w:rPr>
                <w:rFonts w:ascii="Calibri" w:hAnsi="Calibri" w:eastAsia="Calibri" w:cs="Calibri"/>
                <w:i/>
                <w:iCs/>
                <w:color w:val="000000"/>
                <w:position w:val="-3"/>
                <w:sz w:val="22"/>
                <w:szCs w:val="22"/>
              </w:rPr>
              <w:t xml:space="preserve">Ditylenchus fragariae</w:t>
            </w:r>
            <w:r>
              <w:rPr>
                <w:rFonts w:ascii="Calibri" w:hAnsi="Calibri" w:eastAsia="Calibri" w:cs="Calibri"/>
                <w:color w:val="000000"/>
                <w:position w:val="-3"/>
                <w:sz w:val="22"/>
                <w:szCs w:val="22"/>
              </w:rPr>
              <w:t xml:space="preserve"> Kirjanova, </w:t>
            </w:r>
            <w:r>
              <w:rPr>
                <w:rFonts w:ascii="Calibri" w:hAnsi="Calibri" w:eastAsia="Calibri" w:cs="Calibri"/>
                <w:i/>
                <w:iCs/>
                <w:color w:val="000000"/>
                <w:position w:val="-3"/>
                <w:sz w:val="22"/>
                <w:szCs w:val="22"/>
              </w:rPr>
              <w:t xml:space="preserve">Ditylenchus phloxidis</w:t>
            </w:r>
            <w:r>
              <w:rPr>
                <w:rFonts w:ascii="Calibri" w:hAnsi="Calibri" w:eastAsia="Calibri" w:cs="Calibri"/>
                <w:color w:val="000000"/>
                <w:position w:val="-3"/>
                <w:sz w:val="22"/>
                <w:szCs w:val="22"/>
              </w:rPr>
              <w:t xml:space="preserve"> Kirjanova, </w:t>
            </w:r>
            <w:r>
              <w:rPr>
                <w:rFonts w:ascii="Calibri" w:hAnsi="Calibri" w:eastAsia="Calibri" w:cs="Calibri"/>
                <w:i/>
                <w:iCs/>
                <w:color w:val="000000"/>
                <w:position w:val="-3"/>
                <w:sz w:val="22"/>
                <w:szCs w:val="22"/>
              </w:rPr>
              <w:t xml:space="preserve">Tylenchus allii</w:t>
            </w:r>
            <w:r>
              <w:rPr>
                <w:rFonts w:ascii="Calibri" w:hAnsi="Calibri" w:eastAsia="Calibri" w:cs="Calibri"/>
                <w:color w:val="000000"/>
                <w:position w:val="-3"/>
                <w:sz w:val="22"/>
                <w:szCs w:val="22"/>
              </w:rPr>
              <w:t xml:space="preserve"> Beijerinck, </w:t>
            </w:r>
            <w:r>
              <w:rPr>
                <w:rFonts w:ascii="Calibri" w:hAnsi="Calibri" w:eastAsia="Calibri" w:cs="Calibri"/>
                <w:i/>
                <w:iCs/>
                <w:color w:val="000000"/>
                <w:position w:val="-3"/>
                <w:sz w:val="22"/>
                <w:szCs w:val="22"/>
              </w:rPr>
              <w:t xml:space="preserve">Tylenchus devastator</w:t>
            </w:r>
            <w:r>
              <w:rPr>
                <w:rFonts w:ascii="Calibri" w:hAnsi="Calibri" w:eastAsia="Calibri" w:cs="Calibri"/>
                <w:color w:val="000000"/>
                <w:position w:val="-3"/>
                <w:sz w:val="22"/>
                <w:szCs w:val="22"/>
              </w:rPr>
              <w:t xml:space="preserve"> (Kuehn) Oerley, </w:t>
            </w:r>
            <w:r>
              <w:rPr>
                <w:rFonts w:ascii="Calibri" w:hAnsi="Calibri" w:eastAsia="Calibri" w:cs="Calibri"/>
                <w:i/>
                <w:iCs/>
                <w:color w:val="000000"/>
                <w:position w:val="-3"/>
                <w:sz w:val="22"/>
                <w:szCs w:val="22"/>
              </w:rPr>
              <w:t xml:space="preserve">Tylenchus dipsaci</w:t>
            </w:r>
            <w:r>
              <w:rPr>
                <w:rFonts w:ascii="Calibri" w:hAnsi="Calibri" w:eastAsia="Calibri" w:cs="Calibri"/>
                <w:color w:val="000000"/>
                <w:position w:val="-3"/>
                <w:sz w:val="22"/>
                <w:szCs w:val="22"/>
              </w:rPr>
              <w:t xml:space="preserve"> (Kuehn) Bastian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bloat disease of onion, brown ring disease of hyacinth, bulb eelworm, ring disease of bulbs, stem and bulb eelworm, stem and bulb nematode, stem nematode</w:t>
            </w:r>
            <w:hyperlink r:id="rId69656acfbf9d1d5a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RNQP ((EU) 2019/2072 Annex IV)</w:t>
            </w:r>
            <w:hyperlink r:id="rId48556acfbf9d1d61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DITYDI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4521505" name="name11386acfbf9d1daea" descr="17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629.jpg"/>
                          <pic:cNvPicPr/>
                        </pic:nvPicPr>
                        <pic:blipFill>
                          <a:blip r:embed="rId84926acfbf9d1dae7" cstate="print"/>
                          <a:stretch>
                            <a:fillRect/>
                          </a:stretch>
                        </pic:blipFill>
                        <pic:spPr>
                          <a:xfrm>
                            <a:off x="0" y="0"/>
                            <a:ext cx="2160000" cy="1281600"/>
                          </a:xfrm>
                          <a:prstGeom prst="rect">
                            <a:avLst/>
                          </a:prstGeom>
                          <a:ln w="0">
                            <a:noFill/>
                          </a:ln>
                        </pic:spPr>
                      </pic:pic>
                    </a:graphicData>
                  </a:graphic>
                </wp:inline>
              </w:drawing>
            </w:r>
            <w:hyperlink r:id="rId76136acfbf9d1dc27"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is known to infect over 500 different plant species, including many weeds. Up to 30 biological races of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have been identified based on their host preferences, forming a species complex (Sturhan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The race(s) that breed on rye, oats and onions seem to be polyphagous and can also infest several other crops, whereas those breeding on lucerne,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and strawberries are virtually specific for their named hosts and seem to have relatively few alternative host plants. The tulip race will also infest </w:t>
      </w:r>
      <w:r>
        <w:rPr>
          <w:rFonts w:ascii="Calibri" w:hAnsi="Calibri" w:eastAsia="Calibri" w:cs="Calibri"/>
          <w:i/>
          <w:iCs/>
          <w:color w:val="000000"/>
          <w:sz w:val="22"/>
          <w:szCs w:val="22"/>
        </w:rPr>
        <w:t xml:space="preserve">Narcissus</w:t>
      </w:r>
      <w:r>
        <w:rPr>
          <w:rFonts w:ascii="Calibri" w:hAnsi="Calibri" w:eastAsia="Calibri" w:cs="Calibri"/>
          <w:color w:val="000000"/>
          <w:sz w:val="22"/>
          <w:szCs w:val="22"/>
        </w:rPr>
        <w:t xml:space="preserve">, whereas another race commonly found in </w:t>
      </w:r>
      <w:r>
        <w:rPr>
          <w:rFonts w:ascii="Calibri" w:hAnsi="Calibri" w:eastAsia="Calibri" w:cs="Calibri"/>
          <w:i/>
          <w:iCs/>
          <w:color w:val="000000"/>
          <w:sz w:val="22"/>
          <w:szCs w:val="22"/>
        </w:rPr>
        <w:t xml:space="preserve">Narcissus</w:t>
      </w:r>
      <w:r>
        <w:rPr>
          <w:rFonts w:ascii="Calibri" w:hAnsi="Calibri" w:eastAsia="Calibri" w:cs="Calibri"/>
          <w:color w:val="000000"/>
          <w:sz w:val="22"/>
          <w:szCs w:val="22"/>
        </w:rPr>
        <w:t xml:space="preserve"> does not breed on tulip. According to Whitehead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the sugar beet race is polyphagous but cannot multiply on lucerne, whereas the lucerne race can reproduce on sugar beet. It is known that some of the races can interbreed and that their progeny has different host preferences. See also Sturhan (1969), Eriksson (1974). Recently, the giant race of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has been recognized as a distinct species and is now known as </w:t>
      </w:r>
      <w:r>
        <w:rPr>
          <w:rFonts w:ascii="Calibri" w:hAnsi="Calibri" w:eastAsia="Calibri" w:cs="Calibri"/>
          <w:i/>
          <w:iCs/>
          <w:color w:val="000000"/>
          <w:sz w:val="22"/>
          <w:szCs w:val="22"/>
        </w:rPr>
        <w:t xml:space="preserve">Ditylenchus gigas</w:t>
      </w:r>
      <w:r>
        <w:rPr>
          <w:rFonts w:ascii="Calibri" w:hAnsi="Calibri" w:eastAsia="Calibri" w:cs="Calibri"/>
          <w:color w:val="000000"/>
          <w:sz w:val="22"/>
          <w:szCs w:val="22"/>
        </w:rPr>
        <w:t xml:space="preserve"> (Vovlas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are faba beans, garlic, </w:t>
      </w:r>
      <w:r>
        <w:rPr>
          <w:rFonts w:ascii="Calibri" w:hAnsi="Calibri" w:eastAsia="Calibri" w:cs="Calibri"/>
          <w:i/>
          <w:iCs/>
          <w:color w:val="000000"/>
          <w:sz w:val="22"/>
          <w:szCs w:val="22"/>
        </w:rPr>
        <w:t xml:space="preserve">Hyacinthus orientalis</w:t>
      </w:r>
      <w:r>
        <w:rPr>
          <w:rFonts w:ascii="Calibri" w:hAnsi="Calibri" w:eastAsia="Calibri" w:cs="Calibri"/>
          <w:color w:val="000000"/>
          <w:sz w:val="22"/>
          <w:szCs w:val="22"/>
        </w:rPr>
        <w:t xml:space="preserve">, leeks, lucerne, maize, </w:t>
      </w:r>
      <w:r>
        <w:rPr>
          <w:rFonts w:ascii="Calibri" w:hAnsi="Calibri" w:eastAsia="Calibri" w:cs="Calibri"/>
          <w:i/>
          <w:iCs/>
          <w:color w:val="000000"/>
          <w:sz w:val="22"/>
          <w:szCs w:val="22"/>
        </w:rPr>
        <w:t xml:space="preserve">Narcissus pseudonarcissus</w:t>
      </w:r>
      <w:r>
        <w:rPr>
          <w:rFonts w:ascii="Calibri" w:hAnsi="Calibri" w:eastAsia="Calibri" w:cs="Calibri"/>
          <w:color w:val="000000"/>
          <w:sz w:val="22"/>
          <w:szCs w:val="22"/>
        </w:rPr>
        <w:t xml:space="preserve">, oats, onions, peas, </w:t>
      </w:r>
      <w:r>
        <w:rPr>
          <w:rFonts w:ascii="Calibri" w:hAnsi="Calibri" w:eastAsia="Calibri" w:cs="Calibri"/>
          <w:i/>
          <w:iCs/>
          <w:color w:val="000000"/>
          <w:sz w:val="22"/>
          <w:szCs w:val="22"/>
        </w:rPr>
        <w:t xml:space="preserve">Phlox drummondii, P. paniculata</w:t>
      </w:r>
      <w:r>
        <w:rPr>
          <w:rFonts w:ascii="Calibri" w:hAnsi="Calibri" w:eastAsia="Calibri" w:cs="Calibri"/>
          <w:color w:val="000000"/>
          <w:sz w:val="22"/>
          <w:szCs w:val="22"/>
        </w:rPr>
        <w:t xml:space="preserve">, potatoes, rye, strawberries, sugar beet, tobacco, </w:t>
      </w:r>
      <w:r>
        <w:rPr>
          <w:rFonts w:ascii="Calibri" w:hAnsi="Calibri" w:eastAsia="Calibri" w:cs="Calibri"/>
          <w:i/>
          <w:iCs/>
          <w:color w:val="000000"/>
          <w:sz w:val="22"/>
          <w:szCs w:val="22"/>
        </w:rPr>
        <w:t xml:space="preserve">Trifolium pratense, T. repens,</w:t>
      </w:r>
      <w:r>
        <w:rPr>
          <w:rFonts w:ascii="Calibri" w:hAnsi="Calibri" w:eastAsia="Calibri" w:cs="Calibri"/>
          <w:color w:val="000000"/>
          <w:sz w:val="22"/>
          <w:szCs w:val="22"/>
        </w:rPr>
        <w:t xml:space="preserve"> tulips.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has also been reported on carnations, celery, </w:t>
      </w:r>
      <w:r>
        <w:rPr>
          <w:rFonts w:ascii="Calibri" w:hAnsi="Calibri" w:eastAsia="Calibri" w:cs="Calibri"/>
          <w:i/>
          <w:iCs/>
          <w:color w:val="000000"/>
          <w:sz w:val="22"/>
          <w:szCs w:val="22"/>
        </w:rPr>
        <w:t xml:space="preserve">Hydrangea</w:t>
      </w:r>
      <w:r>
        <w:rPr>
          <w:rFonts w:ascii="Calibri" w:hAnsi="Calibri" w:eastAsia="Calibri" w:cs="Calibri"/>
          <w:color w:val="000000"/>
          <w:sz w:val="22"/>
          <w:szCs w:val="22"/>
        </w:rPr>
        <w:t xml:space="preserve">, lentils, oilseed rape, parsley, sunflower, wheat.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Acanthophyllum cerastioides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Aetheorhiza bulbosa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Aethusa cynapium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Agave amica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Agrostemma githago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ampeloprasum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ascalonicum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caeruleum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fistulosum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galanthum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giganteum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oreophilum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porrum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schoenoprasum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sphaerocephalon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triquetrum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vavilovii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vineale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Alopecurus geniculatus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Amaryllis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Amberboa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Ambrosia artemisiifolia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Amsinckia menziesii var. intermedia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Anchusa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Anemone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Angelica archangelica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Anthoxanthum odoratum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Anthriscus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Anthyllis vulneraria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Apera spica-venti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Arabidopsis thaliana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Arabis alpina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Arabis aubrietioides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Arenaria serpyllifolia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Armoracia rusticana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Arnoseris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Arrhenatherum elatius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setaceus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Asphodeline lutea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Aubrieta deltoidea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Aucuba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byzantina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fatua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nuda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sterilis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strigosa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glutinosa var.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Begonia tuberhybrida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Bellevalia romana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Bellis 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Bouvardia longiflora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Brachypodium pinnatum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 subsp. rapifera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napus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botrytis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gongylodes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catharticus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inermis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Calceolaria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Callistephus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Camelina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Campanula persicifolia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Cannabis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pratensis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Carduus acanthoides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Carlina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Centaurea cyanus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Centaurea jacea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holosteoides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Chelone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Cicer arietinum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Cichorium intybus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oleraceum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palustre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x tataricum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Colchicum autumnale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Colchicum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Colchicum speciosum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Colchicum x agrippinum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scutellarioides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Coleus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Collomia biflora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Collomia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Consolida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Convallaria majalis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biennis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capillaris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leontodontoides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Crepis vesicaria subsp. taraxacifolia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Crocus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 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Cyclamen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cardunculus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Cynosurus cristatus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Dactylis 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Delphinium trolliifolium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barbatus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plumarius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Digitalis ferruginea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Digitalis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Digitalis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Digitalis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Dipsacus fullonum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Disa uniflora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Elymus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Equisetum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praealta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Eremurus stenophyllus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Eriocapitella hupehensis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cicutarium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Erysimum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Erysimum x cheiri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Erysimum x marshallii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Fagopyrum esculentum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Fallopia convolvulus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Festuca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Ficaria verna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elastica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Freesia refracta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Fumaria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Galanthus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Galanthus nivalis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Galeopsis ladanum subsp.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Galeopsis ladanum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Galeopsis segetum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Galeopsis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Galeopsis tetrahit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Galinsoga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aparine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tricornutum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dissectum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Geranium molle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Gilia achilleifolia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dalenii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segetum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Goeppertia lindbergii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Gypsophila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Helenium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tuberosus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Helichrysum orientale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Helleborus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Hepatica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trionum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Holcus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Holcus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Hyacinthoides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Hyacinthoides non-scripta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Hyacinthus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Hyacinthus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Hydrangea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Hyoscyamus niger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Hypochaeris radicata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Ipomopsis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Isatis tinctoria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Ismene narcissiflora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Juncus bufonius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Kickxia spuria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Knautia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Kniphofia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Koeleria pyramidata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Lamium amplexicaule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Lamium purpureum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Leondoton hispidus subsp. hastilis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Leontodon hispidus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Leontodon incanus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Leontopodium nivale subsp. alpinum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coronopus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draba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Lepidium virginicum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Liatris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longiflorum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Lilium regale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Linaria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Linum usitatissimum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Lipandra polysperma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perenne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angustifolius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Lupinus luteus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Lycoris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lupulina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orbicularis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 subsp. 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Melampyrum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Mercurialis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Mollugo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Muscari botryoides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Muscari neglectum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Muscari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Myosotis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Myosotis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Myosotis stricta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Myriophyllum verticillatum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assoanus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bulbocodium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cyclamineus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poeticus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pseudonarcissus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romieuxii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tazetta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x incomparabilis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x odorus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Navarretia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Nerine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Nuttallanthus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Odontites vernus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fruticosa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glazioviana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perennis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Oenothera tetragona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Onobrychis viciifolia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Ornithogalum candicans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Ornithogalum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Ornithopus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Orobanche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stricta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Paeonia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Panicum miliaceum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rhoeas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somniferum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Pastinaca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barbatus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eatonii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gentianoides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Penstemon hartwegii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crispum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Phacelia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Phacelia tanacetifolia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coccineus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Phleum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amoena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carolina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divaricata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Phlox subulata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Pilosella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maritima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rugelii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pratensis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trivialis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Potentilla anserina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Potentilla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Polyanthus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anisodora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aurantiaca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bulleyana subsp. beesiana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bulleyana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chionantha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chungensis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cortusoides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denticulata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farinosa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florindae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frondosa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helodoxa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juliae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latisecta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luteola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megaseifolia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nana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obconica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polyneura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pulverulenta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saxatilis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secundiflora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sikkimensis var. sikkimensis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sikkimensis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veris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Primula wilsonii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Puschkinia scilloides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abortivus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acris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asiaticus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auricomus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bulbosus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Ranunculus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raphanistrum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Rheum rhaponticum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Roemeria argemone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acetosa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acetosella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conglomeratus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obtusifolius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Saccharum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Saponaria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Saxifraga cotyledon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Schizanthus retusus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Schizanthus x wisetonensis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Scilla 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Scilla luciliae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Scilla sardensis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Scilla siberica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Scilla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Scleranthus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Scorzoneroides pyrenaica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Sherardia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noctiflora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Silene schafta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Simethis planifolia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Sinapis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Sinapis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demissum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stoloniferum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villosum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Spergula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Sprekelia formosissima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Stachys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Stachys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Sternbergia lutea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squamatum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Takhtajaniantha tau-saghyz</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cinerariifolium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Thlaspi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Tigridia pavonia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Tigridia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Tragopogon porrifolius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fragiferum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hybridum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incarnatum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medium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Tripleurospermum maritimum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Tuberaria guttata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Tulipa gesneriana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Urceolina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Valerianella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Valerianella locusta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agrestis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hederifolia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peregrina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serpyllifolia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cracca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Viola tricolor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Yucca flaccida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occurs locally in most temperate areas of the world (Europe and the Mediterranean region, North and South America, Northern and Southern Africa, Asia and Oceania) but it does not seem able to establish in tropical regions except at higher altitudes that have a temperate climate. In most countries regulatory measures (e.g. certification schemes) are applied to minimize further spread of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w:t>
      </w:r>
    </w:p>
    <w:p>
      <w:r>
        <w:drawing>
          <wp:inline distT="0" distB="0" distL="0" distR="0">
            <wp:extent cx="6120000" cy="3067200"/>
            <wp:docPr id="81368850" name="name18976acfbf9d22035" descr="DITYD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TYDI_distribution_map.jpg"/>
                    <pic:cNvPicPr/>
                  </pic:nvPicPr>
                  <pic:blipFill>
                    <a:blip r:embed="rId79196acfbf9d22031"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Austria, Azerbaijan, Belarus, Belgium, Bosnia and Herzegovina, Bulgaria, Croatia, Cyprus, Czechia, Denmark, Estonia, Finland, France (mainland), Georgia, Germany, Greece (mainland), Hungary, Ireland, Israel, Italy (mainland, Sicilia), Jordan, Kazakhstan, Kyrgyzstan, Latvia, Lithuania, Malta, Moldova, Republic of, Montenegro, Morocco, Netherlands, North Macedonia, Norway, Poland, Portugal (mainland, Azores), Romania, Russian Federation (Central Russia, Far East, Southern Russia, Western Siberia), Serbia, Slovakia, Slovenia, Spain (mainland), Sweden, Switzerland, Tunisia, Türkiye, Ukraine, United Kingdom (England, Scotland),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Kenya, Morocco, Reunion, South Africa,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China (Gansu, Hebei, Henan, Shandong, Sichuan, Xinjiang), Indonesia (Java), Iran, Islamic Republic of, Iraq, Israel, Japan (Honshu), Jordan, Kazakhstan, Korea, Republic of, Kyrgyzstan, Oman, Pakistan, Syrian Arab Republic, Uzbekistan,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New Brunswick, Ontario, Prince Edward Island, Québec, Saskatchewan), Mexico, United States of America (Alabama, Arizona, California, Colorado, Hawaii, Idaho, Michigan, Minnesota, Montana, Nevada, New Hampshire, New Mexico, New York, North Carolina, Ohio, Oregon, South Dakota, Utah, Virginia, Washington,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Dominican Republic, Haiti</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(Minas Gerais, Paraiba, Parana, Rio Grande do Sul, Santa Catarina, Sao Paulo), Chile, Colombia, Ecuador, Paraguay,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It is assumed that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invades seedlings through the stomata of the hypocotyl and cotyledons, and then migrates to the upper part of the hypocotyl, which later develops into the bulb or crown of the plant. </w:t>
      </w:r>
      <w:r>
        <w:rPr>
          <w:rFonts w:ascii="Calibri" w:hAnsi="Calibri" w:eastAsia="Calibri" w:cs="Calibri"/>
          <w:i/>
          <w:iCs/>
          <w:color w:val="000000"/>
          <w:sz w:val="22"/>
          <w:szCs w:val="22"/>
        </w:rPr>
        <w:t xml:space="preserve">D. dipsaci </w:t>
      </w:r>
      <w:r>
        <w:rPr>
          <w:rFonts w:ascii="Calibri" w:hAnsi="Calibri" w:eastAsia="Calibri" w:cs="Calibri"/>
          <w:color w:val="000000"/>
          <w:sz w:val="22"/>
          <w:szCs w:val="22"/>
        </w:rPr>
        <w:t xml:space="preserve">feeds on the cells of the host plant (Hooper, 1971). Injected enzymes in the host cells dissolve the middle lamellae, causing an imbalance in plant hormones, cell hypertrophy, and the formation of intercellular cavities (Duncan and Moens, 2013).</w:t>
      </w:r>
    </w:p>
    <w:p>
      <w:pPr>
        <w:widowControl w:val="on"/>
        <w:pBdr/>
        <w:spacing w:before="220" w:after="220" w:line="240" w:lineRule="auto"/>
        <w:ind w:left="0" w:right="0"/>
        <w:jc w:val="both"/>
      </w:pPr>
      <w:r>
        <w:rPr>
          <w:rFonts w:ascii="Calibri" w:hAnsi="Calibri" w:eastAsia="Calibri" w:cs="Calibri"/>
          <w:color w:val="000000"/>
          <w:sz w:val="22"/>
          <w:szCs w:val="22"/>
        </w:rPr>
        <w:t xml:space="preserve">In onion plants at 15°C, the life cycle takes about 20 days. Females lay 200 to 500 eggs each. The reproductive capacity of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varies significantly based on environmental conditions and host tissue (Barbercheck and Duncan, 2004). Griffith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documented a daily production of 0.8 and 3.1 eggs on white clover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at temperatures of 10°C and 20°C respectively. Fourth-stage juveniles (dauer larvae) allow nematodes to survive in the absence of a host plant. They tend to aggregate on, or just below, the surface of heavily infested tissue to form clumps of "eelworm wool" and can survive in dry conditions for several years. They may also be attached to the seeds of host plants. Cool, moist conditions favour the infection of young plant tissue by this nematode.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commonly exhibit stunted growth, as well as swelling of the hypocotyl and epicotyl (Caubel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Early infections in plants can lead to a low emergence rate and the death of young seedlings (Storelli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Furthermore,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infection can have long-lasting effects, characterized by tissue rotting at harvest or during storage. The damage usually occurs in patches within the fields.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Allium</w:t>
      </w:r>
      <w:r>
        <w:rPr>
          <w:rFonts w:ascii="Calibri" w:hAnsi="Calibri" w:eastAsia="Calibri" w:cs="Calibri"/>
          <w:color w:val="000000"/>
          <w:sz w:val="22"/>
          <w:szCs w:val="22"/>
        </w:rPr>
        <w:t xml:space="preserve">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Penetration of onion leaves by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causes leaf deformation and leaf swellings or blister-like areas on the surface. The leaves grow in a disorderly manner, often hang as if wilted and become chlorotic. Young plants can be killed by high infestations. The inner scales of the bulb are usually more severely attacked than the outer scales. As the season advances the bulbs become soft and when cut open show browning of the scales in concentric circles. Conversely,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on garlic does not induce deformations or swellings, but causes leaf yellowing and death (Netscher &amp; Sikora, 1990).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lucerne</w:t>
      </w:r>
    </w:p>
    <w:p>
      <w:pPr>
        <w:widowControl w:val="on"/>
        <w:pBdr/>
        <w:spacing w:before="220" w:after="220" w:line="240" w:lineRule="auto"/>
        <w:ind w:left="0" w:right="0"/>
        <w:jc w:val="both"/>
      </w:pPr>
      <w:r>
        <w:rPr>
          <w:rFonts w:ascii="Calibri" w:hAnsi="Calibri" w:eastAsia="Calibri" w:cs="Calibri"/>
          <w:color w:val="000000"/>
          <w:sz w:val="22"/>
          <w:szCs w:val="22"/>
        </w:rPr>
        <w:t xml:space="preserve">Infected plants decline in patches in the field and damage is more serious in humid climates. The whole plant becomes desiccated and presents symptoms of stunting and swelling at the base of the stem with conspicuous shortened internodes. High levels of infestation can kill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sugar beet</w:t>
      </w:r>
    </w:p>
    <w:p>
      <w:pPr>
        <w:widowControl w:val="on"/>
        <w:pBdr/>
        <w:spacing w:before="220" w:after="220" w:line="240" w:lineRule="auto"/>
        <w:ind w:left="0" w:right="0"/>
        <w:jc w:val="both"/>
      </w:pPr>
      <w:r>
        <w:rPr>
          <w:rFonts w:ascii="Calibri" w:hAnsi="Calibri" w:eastAsia="Calibri" w:cs="Calibri"/>
          <w:color w:val="000000"/>
          <w:sz w:val="22"/>
          <w:szCs w:val="22"/>
        </w:rPr>
        <w:t xml:space="preserve">Penetration of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on sugar beet seedlings results in the swelling of hypocotyls and the distortion of leaves (Storelli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As the growing season progresses, secondary infection by soil-borne pathogens favored by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infestation contribute to crown decomposition in sugar beets (Storelli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Slender transparent worms; adult about 1.2 mm long; head structure moderately developed, spear about 10-12 µm long with distinct basal knobs; lateral fields with four incisures; tail terminus sharply pointed. Post-vulval sac extending about half-way to the anus. See Hooper (1971).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can be isolated from soil or plant tissue using Oostenbrink dishes for 24-48 h (EPPO, 2013). Adult and larval individuals can be determined using an optical microscope on the basis of morphological characteristics. When necessary, molecular identification is used.</w:t>
      </w:r>
    </w:p>
    <w:p>
      <w:pPr>
        <w:widowControl w:val="on"/>
        <w:pBdr/>
        <w:spacing w:before="220" w:after="220" w:line="240" w:lineRule="auto"/>
        <w:ind w:left="0" w:right="0"/>
        <w:jc w:val="both"/>
      </w:pPr>
      <w:r>
        <w:rPr>
          <w:rFonts w:ascii="Calibri" w:hAnsi="Calibri" w:eastAsia="Calibri" w:cs="Calibri"/>
          <w:color w:val="000000"/>
          <w:sz w:val="22"/>
          <w:szCs w:val="22"/>
        </w:rPr>
        <w:t xml:space="preserve">More details on the detection and identification of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can be found in the EPPO diagnostic protocol (EPPO,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w:t>
      </w:r>
      <w:r>
        <w:rPr>
          <w:rFonts w:ascii="Calibri" w:hAnsi="Calibri" w:eastAsia="Calibri" w:cs="Calibri"/>
          <w:i/>
          <w:iCs/>
          <w:color w:val="000000"/>
          <w:sz w:val="22"/>
          <w:szCs w:val="22"/>
        </w:rPr>
        <w:t xml:space="preserve">D. dipsac</w:t>
      </w:r>
      <w:r>
        <w:rPr>
          <w:rFonts w:ascii="Calibri" w:hAnsi="Calibri" w:eastAsia="Calibri" w:cs="Calibri"/>
          <w:color w:val="000000"/>
          <w:sz w:val="22"/>
          <w:szCs w:val="22"/>
        </w:rPr>
        <w:t xml:space="preserve">i is liable to be carried on dry seeds and planting material of host plants. In the field,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migration to the soil surface, where infection occurs, is initiated by rainfall or irrigation (Barbercheck and Duncan, 2004). Regular rainfall in spring or autumn just after sowing favours nematode infection.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dipsac</w:t>
      </w:r>
      <w:r>
        <w:rPr>
          <w:rFonts w:ascii="Calibri" w:hAnsi="Calibri" w:eastAsia="Calibri" w:cs="Calibri"/>
          <w:color w:val="000000"/>
          <w:sz w:val="22"/>
          <w:szCs w:val="22"/>
        </w:rPr>
        <w:t xml:space="preserve">i is one of the most devastating plant parasitic nematodes, especially in temperate regions. Without control, it can cause complete failure of host crops (e.g. onions, garlic, sugar beet, legumes, strawberries, ornamental plants, especially flower bulbs).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effective direct management method for controlling of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in the field. Its broad host range and its capacity to survive many years without host plants hinders the success of crop rotation strategies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Successions of crops with high nematode reproduction potential should be avoided.</w:t>
      </w:r>
    </w:p>
    <w:p>
      <w:pPr>
        <w:widowControl w:val="on"/>
        <w:pBdr/>
        <w:spacing w:before="220" w:after="220" w:line="240" w:lineRule="auto"/>
        <w:ind w:left="0" w:right="0"/>
        <w:jc w:val="both"/>
      </w:pPr>
      <w:r>
        <w:rPr>
          <w:rFonts w:ascii="Calibri" w:hAnsi="Calibri" w:eastAsia="Calibri" w:cs="Calibri"/>
          <w:color w:val="000000"/>
          <w:sz w:val="22"/>
          <w:szCs w:val="22"/>
        </w:rPr>
        <w:t xml:space="preserve">Nematode-free (certified) seeds and planting material are essential to prevent crop damage by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Hot-water treatments with different temperature-time combinations, depending on type and state of seed material, are operational and efficient to control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(Gratwick &amp; Southey, 1972). Abamectin B1 and hydrogen cyanide treatment on garlic bulbs prevent nematode transmission through seed material. The use of tolerant or resistant cultivars can also reduce the damage. Cultivars that are resistant (or partially resistant) to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have been reported in clover, alfalfa, faba bean, potatoes, and oat (Storelli,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At present, the distribution of the different races throughout the region is patchy and some countries apply official control measures to limit spread. Other countries regard the pest as being a quality pest which can be effectively controlled by production and use of healthy planting material. Without control,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may cause complete failure of host crops within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implementation of certification schemes for the production of host plants of </w:t>
      </w:r>
      <w:r>
        <w:rPr>
          <w:rFonts w:ascii="Calibri" w:hAnsi="Calibri" w:eastAsia="Calibri" w:cs="Calibri"/>
          <w:i/>
          <w:iCs/>
          <w:color w:val="000000"/>
          <w:sz w:val="22"/>
          <w:szCs w:val="22"/>
        </w:rPr>
        <w:t xml:space="preserve">D. dipsaci</w:t>
      </w:r>
      <w:r>
        <w:rPr>
          <w:rFonts w:ascii="Calibri" w:hAnsi="Calibri" w:eastAsia="Calibri" w:cs="Calibri"/>
          <w:color w:val="000000"/>
          <w:sz w:val="22"/>
          <w:szCs w:val="22"/>
        </w:rPr>
        <w:t xml:space="preserve"> can ensure the production of planting material free from the pest. Restrictions on the movements of plants for planting and seeds of host plants from countries where this nematode occurs may be recommended.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Barbercheck ME &amp; Duncan LW (2004) Abiotic factors. In Gaugler R, Bilgrami AL (Eds.): </w:t>
      </w:r>
      <w:r>
        <w:rPr>
          <w:rFonts w:ascii="Calibri" w:hAnsi="Calibri" w:eastAsia="Calibri" w:cs="Calibri"/>
          <w:i/>
          <w:iCs/>
          <w:color w:val="000000"/>
          <w:sz w:val="22"/>
          <w:szCs w:val="22"/>
        </w:rPr>
        <w:t xml:space="preserve">Nematode behaviour</w:t>
      </w:r>
      <w:r>
        <w:rPr>
          <w:rFonts w:ascii="Calibri" w:hAnsi="Calibri" w:eastAsia="Calibri" w:cs="Calibri"/>
          <w:color w:val="000000"/>
          <w:sz w:val="22"/>
          <w:szCs w:val="22"/>
        </w:rPr>
        <w:t xml:space="preserve">. Wallingford. CABI Publishing, pp. 309–344.</w:t>
      </w:r>
    </w:p>
    <w:p>
      <w:pPr>
        <w:widowControl w:val="on"/>
        <w:pBdr/>
        <w:spacing w:before="220" w:after="220" w:line="240" w:lineRule="auto"/>
        <w:ind w:left="0" w:right="0"/>
        <w:jc w:val="left"/>
      </w:pPr>
      <w:r>
        <w:rPr>
          <w:rFonts w:ascii="Calibri" w:hAnsi="Calibri" w:eastAsia="Calibri" w:cs="Calibri"/>
          <w:color w:val="000000"/>
          <w:sz w:val="22"/>
          <w:szCs w:val="22"/>
        </w:rPr>
        <w:t xml:space="preserve">Caubel G, Chatot F &amp; Mousset-Declas C (1994) Résistance variétale du trèfle violet au nématode des tiges </w:t>
      </w: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Fourrages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138</w:t>
      </w:r>
      <w:r>
        <w:rPr>
          <w:rFonts w:ascii="Calibri" w:hAnsi="Calibri" w:eastAsia="Calibri" w:cs="Calibri"/>
          <w:color w:val="000000"/>
          <w:sz w:val="22"/>
          <w:szCs w:val="22"/>
        </w:rPr>
        <w:t xml:space="preserve">, 165–173. </w:t>
      </w:r>
      <w:hyperlink r:id="rId30806acfbf9d2318c" w:history="1">
        <w:r>
          <w:rPr>
            <w:rFonts w:ascii="Calibri" w:hAnsi="Calibri" w:eastAsia="Calibri" w:cs="Calibri"/>
            <w:color w:val="0000CC"/>
            <w:sz w:val="22"/>
            <w:szCs w:val="22"/>
            <w:u w:val="single"/>
          </w:rPr>
          <w:t xml:space="preserve">https://jeb.biologists.org/content/jexbio/199/5/1085.full.pdf</w:t>
        </w:r>
      </w:hyperlink>
      <w:r>
        <w:rPr>
          <w:rFonts w:ascii="Calibri" w:hAnsi="Calibri" w:eastAsia="Calibri" w:cs="Calibri"/>
          <w:color w:val="000000"/>
          <w:sz w:val="22"/>
          <w:szCs w:val="22"/>
        </w:rPr>
        <w:t xml:space="preserve"> [accessed on 22 June 2023].</w:t>
      </w:r>
    </w:p>
    <w:p>
      <w:pPr>
        <w:widowControl w:val="on"/>
        <w:pBdr/>
        <w:spacing w:before="220" w:after="220" w:line="240" w:lineRule="auto"/>
        <w:ind w:left="0" w:right="0"/>
        <w:jc w:val="left"/>
      </w:pPr>
      <w:r>
        <w:rPr>
          <w:rFonts w:ascii="Calibri" w:hAnsi="Calibri" w:eastAsia="Calibri" w:cs="Calibri"/>
          <w:color w:val="000000"/>
          <w:sz w:val="22"/>
          <w:szCs w:val="22"/>
        </w:rPr>
        <w:t xml:space="preserve">Eriksson KB (1974) Intraspecific variation in </w:t>
      </w: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I. Compatibility tests with races.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147-162.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PM 7/119 (1) Nematode extraction.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471-495. </w:t>
      </w:r>
      <w:hyperlink r:id="rId20596acfbf9d23378" w:history="1">
        <w:r>
          <w:rPr>
            <w:rFonts w:ascii="Calibri" w:hAnsi="Calibri" w:eastAsia="Calibri" w:cs="Calibri"/>
            <w:color w:val="0000CC"/>
            <w:sz w:val="22"/>
            <w:szCs w:val="22"/>
            <w:u w:val="single"/>
          </w:rPr>
          <w:t xml:space="preserve">https://doi.org/10.1111/epp.12077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PM 7/87 (2) </w:t>
      </w:r>
      <w:r>
        <w:rPr>
          <w:rFonts w:ascii="Calibri" w:hAnsi="Calibri" w:eastAsia="Calibri" w:cs="Calibri"/>
          <w:i/>
          <w:iCs/>
          <w:color w:val="000000"/>
          <w:sz w:val="22"/>
          <w:szCs w:val="22"/>
        </w:rPr>
        <w:t xml:space="preserve">Ditylenchus destructor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Ditylenchus dipsaci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401-419. </w:t>
      </w:r>
      <w:hyperlink r:id="rId40756acfbf9d23480" w:history="1">
        <w:r>
          <w:rPr>
            <w:rFonts w:ascii="Calibri" w:hAnsi="Calibri" w:eastAsia="Calibri" w:cs="Calibri"/>
            <w:color w:val="0000CC"/>
            <w:sz w:val="22"/>
            <w:szCs w:val="22"/>
            <w:u w:val="single"/>
          </w:rPr>
          <w:t xml:space="preserve">https://doi.org/10.1111/epp.12433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Gratwick M &amp; Southey JF (1972) Hot-water treatment of plant material.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Ministry of Agriculture, </w:t>
      </w:r>
      <w:r>
        <w:rPr>
          <w:rFonts w:ascii="Calibri" w:hAnsi="Calibri" w:eastAsia="Calibri" w:cs="Calibri"/>
          <w:i/>
          <w:iCs/>
          <w:color w:val="000000"/>
          <w:sz w:val="22"/>
          <w:szCs w:val="22"/>
        </w:rPr>
        <w:t xml:space="preserve">Fisheries and Food</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201</w:t>
      </w:r>
      <w:r>
        <w:rPr>
          <w:rFonts w:ascii="Calibri" w:hAnsi="Calibri" w:eastAsia="Calibri" w:cs="Calibri"/>
          <w:color w:val="000000"/>
          <w:sz w:val="22"/>
          <w:szCs w:val="22"/>
        </w:rPr>
        <w:t xml:space="preserve">, 46 pp.</w:t>
      </w:r>
    </w:p>
    <w:p>
      <w:pPr>
        <w:widowControl w:val="on"/>
        <w:pBdr/>
        <w:spacing w:before="220" w:after="220" w:line="240" w:lineRule="auto"/>
        <w:ind w:left="0" w:right="0"/>
        <w:jc w:val="left"/>
      </w:pPr>
      <w:r>
        <w:rPr>
          <w:rFonts w:ascii="Calibri" w:hAnsi="Calibri" w:eastAsia="Calibri" w:cs="Calibri"/>
          <w:color w:val="000000"/>
          <w:sz w:val="22"/>
          <w:szCs w:val="22"/>
        </w:rPr>
        <w:t xml:space="preserve">Griffith GS, Cook R &amp; Mizen KA (1997) </w:t>
      </w: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infestation of </w:t>
      </w:r>
      <w:r>
        <w:rPr>
          <w:rFonts w:ascii="Calibri" w:hAnsi="Calibri" w:eastAsia="Calibri" w:cs="Calibri"/>
          <w:i/>
          <w:iCs/>
          <w:color w:val="000000"/>
          <w:sz w:val="22"/>
          <w:szCs w:val="22"/>
        </w:rPr>
        <w:t xml:space="preserve">Trifolium repens</w:t>
      </w:r>
      <w:r>
        <w:rPr>
          <w:rFonts w:ascii="Calibri" w:hAnsi="Calibri" w:eastAsia="Calibri" w:cs="Calibri"/>
          <w:color w:val="000000"/>
          <w:sz w:val="22"/>
          <w:szCs w:val="22"/>
        </w:rPr>
        <w:t xml:space="preserve">. II. Dynamics of infestation development.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(3), pp. 356–369.</w:t>
      </w:r>
    </w:p>
    <w:p>
      <w:pPr>
        <w:widowControl w:val="on"/>
        <w:pBdr/>
        <w:spacing w:before="220" w:after="220" w:line="240" w:lineRule="auto"/>
        <w:ind w:left="0" w:right="0"/>
        <w:jc w:val="left"/>
      </w:pPr>
      <w:r>
        <w:rPr>
          <w:rFonts w:ascii="Calibri" w:hAnsi="Calibri" w:eastAsia="Calibri" w:cs="Calibri"/>
          <w:color w:val="000000"/>
          <w:sz w:val="22"/>
          <w:szCs w:val="22"/>
        </w:rPr>
        <w:t xml:space="preserve">Hooper DJ (1971) </w:t>
      </w: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CIH Descriptions of Plant-parasitic Nematodes Set 1, No.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Hooper DJ &amp; Southey JF (1978) </w:t>
      </w:r>
      <w:r>
        <w:rPr>
          <w:rFonts w:ascii="Calibri" w:hAnsi="Calibri" w:eastAsia="Calibri" w:cs="Calibri"/>
          <w:i/>
          <w:iCs/>
          <w:color w:val="000000"/>
          <w:sz w:val="22"/>
          <w:szCs w:val="22"/>
        </w:rPr>
        <w:t xml:space="preserve">Ditylenchus, Anguina</w:t>
      </w:r>
      <w:r>
        <w:rPr>
          <w:rFonts w:ascii="Calibri" w:hAnsi="Calibri" w:eastAsia="Calibri" w:cs="Calibri"/>
          <w:color w:val="000000"/>
          <w:sz w:val="22"/>
          <w:szCs w:val="22"/>
        </w:rPr>
        <w:t xml:space="preserve"> and related genera. In: Plant nematology (Ed. by Southey JF)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pp. 78-97. Ministry of Agriculture, Fisheries and Food,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Jones JT, Haegeman A, Danchin EG, Gaur HS, Helder J, Jones MG, Kikuchi T, Manzanilla-López R, Palomares-Rius JE, Wesemael WM, Perry RN (2013) Top 10 plant-parasitic nematodes in molecular plant pathology.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(9), 946-61. </w:t>
      </w:r>
      <w:hyperlink r:id="rId24566acfbf9d238e8" w:history="1">
        <w:r>
          <w:rPr>
            <w:rFonts w:ascii="Calibri" w:hAnsi="Calibri" w:eastAsia="Calibri" w:cs="Calibri"/>
            <w:color w:val="0000CC"/>
            <w:sz w:val="22"/>
            <w:szCs w:val="22"/>
            <w:u w:val="single"/>
          </w:rPr>
          <w:t xml:space="preserve">https://doi.org/10.1111/mpp.12057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Netscher C &amp; Sikora A (1990) Nematode parasites of vegetables. In: Plant parasitic nematodes in subtropical and tropical agriculture (Ed. by Luc M, Sikora RA, Bridge J), pp. 237-283. CABI,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Storelli A (2022) Investigation of resistance against </w:t>
      </w: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on sugar beet. </w:t>
      </w:r>
      <w:r>
        <w:rPr>
          <w:rFonts w:ascii="Calibri" w:hAnsi="Calibri" w:eastAsia="Calibri" w:cs="Calibri"/>
          <w:i/>
          <w:iCs/>
          <w:color w:val="000000"/>
          <w:sz w:val="22"/>
          <w:szCs w:val="22"/>
        </w:rPr>
        <w:t xml:space="preserve">Ph.D. dissertation</w:t>
      </w:r>
      <w:r>
        <w:rPr>
          <w:rFonts w:ascii="Calibri" w:hAnsi="Calibri" w:eastAsia="Calibri" w:cs="Calibri"/>
          <w:color w:val="000000"/>
          <w:sz w:val="22"/>
          <w:szCs w:val="22"/>
        </w:rPr>
        <w:t xml:space="preserve">. Institut für Zuckerrübenforschung Göttingen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138 pp.</w:t>
      </w:r>
    </w:p>
    <w:p>
      <w:pPr>
        <w:widowControl w:val="on"/>
        <w:pBdr/>
        <w:spacing w:before="220" w:after="220" w:line="240" w:lineRule="auto"/>
        <w:ind w:left="0" w:right="0"/>
        <w:jc w:val="left"/>
      </w:pPr>
      <w:r>
        <w:rPr>
          <w:rFonts w:ascii="Calibri" w:hAnsi="Calibri" w:eastAsia="Calibri" w:cs="Calibri"/>
          <w:color w:val="000000"/>
          <w:sz w:val="22"/>
          <w:szCs w:val="22"/>
        </w:rPr>
        <w:t xml:space="preserve">Storelli A, Keiser A, Eder R, Jenni S &amp; Kiewnick S (2020) Evaluation of fluopyram for the control of </w:t>
      </w: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in sugar beet. </w:t>
      </w:r>
      <w:r>
        <w:rPr>
          <w:rFonts w:ascii="Calibri" w:hAnsi="Calibri" w:eastAsia="Calibri" w:cs="Calibri"/>
          <w:i/>
          <w:iCs/>
          <w:color w:val="000000"/>
          <w:sz w:val="22"/>
          <w:szCs w:val="22"/>
        </w:rPr>
        <w:t xml:space="preserve">Journal of Nematology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1-10. </w:t>
      </w:r>
      <w:hyperlink r:id="rId29926acfbf9d23dd8" w:history="1">
        <w:r>
          <w:rPr>
            <w:rFonts w:ascii="Calibri" w:hAnsi="Calibri" w:eastAsia="Calibri" w:cs="Calibri"/>
            <w:color w:val="0000CC"/>
            <w:sz w:val="22"/>
            <w:szCs w:val="22"/>
            <w:u w:val="single"/>
          </w:rPr>
          <w:t xml:space="preserve">https://doi.org/10.21307/jofnem-2020-071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Storelli A, Keiser A, Kiewnick S, Daub M, Mahlein AK, Beyer W &amp; Schumann M (2021) Development of a new in vivo protocol through soil inoculation to investigate sugar beet resistance towards </w:t>
      </w: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penetration. </w:t>
      </w:r>
      <w:r>
        <w:rPr>
          <w:rFonts w:ascii="Calibri" w:hAnsi="Calibri" w:eastAsia="Calibri" w:cs="Calibri"/>
          <w:i/>
          <w:iCs/>
          <w:color w:val="000000"/>
          <w:sz w:val="22"/>
          <w:szCs w:val="22"/>
        </w:rPr>
        <w:t xml:space="preserve">Nematology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(6), 685-694. </w:t>
      </w:r>
      <w:hyperlink r:id="rId80546acfbf9d23e6e" w:history="1">
        <w:r>
          <w:rPr>
            <w:rFonts w:ascii="Calibri" w:hAnsi="Calibri" w:eastAsia="Calibri" w:cs="Calibri"/>
            <w:color w:val="0000CC"/>
            <w:sz w:val="22"/>
            <w:szCs w:val="22"/>
            <w:u w:val="single"/>
          </w:rPr>
          <w:t xml:space="preserve">https://doi.org/10.1163/15685411-bja10069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Sturhan D (1969) [The race problem by </w:t>
      </w: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Mitteilungen der Biologischen Bundesanstalt für Land- und Forstwirtschaft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87-98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Sturhan D, Hallmann J &amp; Niere B (2008) A nematological jubilee: 150 years. </w:t>
      </w: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(Kühn, 1857). </w:t>
      </w:r>
      <w:r>
        <w:rPr>
          <w:rFonts w:ascii="Calibri" w:hAnsi="Calibri" w:eastAsia="Calibri" w:cs="Calibri"/>
          <w:i/>
          <w:iCs/>
          <w:color w:val="000000"/>
          <w:sz w:val="22"/>
          <w:szCs w:val="22"/>
        </w:rPr>
        <w:t xml:space="preserve">Nachrichtenblatt des Deutschen Pflanzenschutzdienstes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(12), 261–266.</w:t>
      </w:r>
    </w:p>
    <w:p>
      <w:pPr>
        <w:widowControl w:val="on"/>
        <w:pBdr/>
        <w:spacing w:before="220" w:after="220" w:line="240" w:lineRule="auto"/>
        <w:ind w:left="0" w:right="0"/>
        <w:jc w:val="left"/>
      </w:pPr>
      <w:r>
        <w:rPr>
          <w:rFonts w:ascii="Calibri" w:hAnsi="Calibri" w:eastAsia="Calibri" w:cs="Calibri"/>
          <w:color w:val="000000"/>
          <w:sz w:val="22"/>
          <w:szCs w:val="22"/>
        </w:rPr>
        <w:t xml:space="preserve">Vovlas N, Troccoli A, Palomares-Rius JE, De Luca F, Liébanas G, Landa BB &amp; Subbotin SA (2011) D</w:t>
      </w:r>
      <w:r>
        <w:rPr>
          <w:rFonts w:ascii="Calibri" w:hAnsi="Calibri" w:eastAsia="Calibri" w:cs="Calibri"/>
          <w:i/>
          <w:iCs/>
          <w:color w:val="000000"/>
          <w:sz w:val="22"/>
          <w:szCs w:val="22"/>
        </w:rPr>
        <w:t xml:space="preserve">itylenchus gigas</w:t>
      </w:r>
      <w:r>
        <w:rPr>
          <w:rFonts w:ascii="Calibri" w:hAnsi="Calibri" w:eastAsia="Calibri" w:cs="Calibri"/>
          <w:color w:val="000000"/>
          <w:sz w:val="22"/>
          <w:szCs w:val="22"/>
        </w:rPr>
        <w:t xml:space="preserve"> n. sp. parasitizing broad bean: a new stem nematode singled out from the </w:t>
      </w: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species complex using a polyphasic approach with molecular phylogeny.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60</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762-775.</w:t>
      </w:r>
    </w:p>
    <w:p>
      <w:pPr>
        <w:widowControl w:val="on"/>
        <w:pBdr/>
        <w:spacing w:before="220" w:after="220" w:line="240" w:lineRule="auto"/>
        <w:ind w:left="0" w:right="0"/>
        <w:jc w:val="left"/>
      </w:pPr>
      <w:r>
        <w:rPr>
          <w:rFonts w:ascii="Calibri" w:hAnsi="Calibri" w:eastAsia="Calibri" w:cs="Calibri"/>
          <w:color w:val="000000"/>
          <w:sz w:val="22"/>
          <w:szCs w:val="22"/>
        </w:rPr>
        <w:t xml:space="preserve">Whitehead AG, Fraser JE &amp; Nichols AJF (1987) Variation in the development of stem nematodes, </w:t>
      </w: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in susceptible and resistant crop plants.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(2), pp. 373–383. </w:t>
      </w:r>
      <w:hyperlink r:id="rId61816acfbf9d24403" w:history="1">
        <w:r>
          <w:rPr>
            <w:rFonts w:ascii="Calibri" w:hAnsi="Calibri" w:eastAsia="Calibri" w:cs="Calibri"/>
            <w:color w:val="0000CC"/>
            <w:sz w:val="22"/>
            <w:szCs w:val="22"/>
            <w:u w:val="single"/>
          </w:rPr>
          <w:t xml:space="preserve">https://doi.org/10.1111/j.1744-7348.1987.tb01465.x</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Alan Storelli, Agroscope, Switzerland.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Ditylenchus dipsaci</w:t>
      </w:r>
      <w:r>
        <w:rPr>
          <w:rFonts w:ascii="Calibri" w:hAnsi="Calibri" w:eastAsia="Calibri" w:cs="Calibri"/>
          <w:color w:val="000000"/>
          <w:sz w:val="22"/>
          <w:szCs w:val="22"/>
        </w:rPr>
        <w:t xml:space="preserve">. EPPO datasheets on pests recommended for regulation. Available online. </w:t>
      </w:r>
      <w:hyperlink r:id="rId20226acfbf9d244d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1992 in 'Quarantine Pests for Europe' and revised in the second edition of the book in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r>
        <w:drawing>
          <wp:inline distT="0" distB="0" distL="0" distR="0">
            <wp:extent cx="1800000" cy="604800"/>
            <wp:docPr id="20215553" name="name60326acfbf9d245d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2156acfbf9d245c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117865">
    <w:multiLevelType w:val="hybridMultilevel"/>
    <w:lvl w:ilvl="0" w:tplc="40483153">
      <w:start w:val="1"/>
      <w:numFmt w:val="decimal"/>
      <w:lvlText w:val="%1."/>
      <w:lvlJc w:val="left"/>
      <w:pPr>
        <w:ind w:left="720" w:hanging="360"/>
      </w:pPr>
    </w:lvl>
    <w:lvl w:ilvl="1" w:tplc="40483153" w:tentative="1">
      <w:start w:val="1"/>
      <w:numFmt w:val="lowerLetter"/>
      <w:lvlText w:val="%2."/>
      <w:lvlJc w:val="left"/>
      <w:pPr>
        <w:ind w:left="1440" w:hanging="360"/>
      </w:pPr>
    </w:lvl>
    <w:lvl w:ilvl="2" w:tplc="40483153" w:tentative="1">
      <w:start w:val="1"/>
      <w:numFmt w:val="lowerRoman"/>
      <w:lvlText w:val="%3."/>
      <w:lvlJc w:val="right"/>
      <w:pPr>
        <w:ind w:left="2160" w:hanging="180"/>
      </w:pPr>
    </w:lvl>
    <w:lvl w:ilvl="3" w:tplc="40483153" w:tentative="1">
      <w:start w:val="1"/>
      <w:numFmt w:val="decimal"/>
      <w:lvlText w:val="%4."/>
      <w:lvlJc w:val="left"/>
      <w:pPr>
        <w:ind w:left="2880" w:hanging="360"/>
      </w:pPr>
    </w:lvl>
    <w:lvl w:ilvl="4" w:tplc="40483153" w:tentative="1">
      <w:start w:val="1"/>
      <w:numFmt w:val="lowerLetter"/>
      <w:lvlText w:val="%5."/>
      <w:lvlJc w:val="left"/>
      <w:pPr>
        <w:ind w:left="3600" w:hanging="360"/>
      </w:pPr>
    </w:lvl>
    <w:lvl w:ilvl="5" w:tplc="40483153" w:tentative="1">
      <w:start w:val="1"/>
      <w:numFmt w:val="lowerRoman"/>
      <w:lvlText w:val="%6."/>
      <w:lvlJc w:val="right"/>
      <w:pPr>
        <w:ind w:left="4320" w:hanging="180"/>
      </w:pPr>
    </w:lvl>
    <w:lvl w:ilvl="6" w:tplc="40483153" w:tentative="1">
      <w:start w:val="1"/>
      <w:numFmt w:val="decimal"/>
      <w:lvlText w:val="%7."/>
      <w:lvlJc w:val="left"/>
      <w:pPr>
        <w:ind w:left="5040" w:hanging="360"/>
      </w:pPr>
    </w:lvl>
    <w:lvl w:ilvl="7" w:tplc="40483153" w:tentative="1">
      <w:start w:val="1"/>
      <w:numFmt w:val="lowerLetter"/>
      <w:lvlText w:val="%8."/>
      <w:lvlJc w:val="left"/>
      <w:pPr>
        <w:ind w:left="5760" w:hanging="360"/>
      </w:pPr>
    </w:lvl>
    <w:lvl w:ilvl="8" w:tplc="40483153" w:tentative="1">
      <w:start w:val="1"/>
      <w:numFmt w:val="lowerRoman"/>
      <w:lvlText w:val="%9."/>
      <w:lvlJc w:val="right"/>
      <w:pPr>
        <w:ind w:left="6480" w:hanging="180"/>
      </w:pPr>
    </w:lvl>
  </w:abstractNum>
  <w:abstractNum w:abstractNumId="17117864">
    <w:multiLevelType w:val="hybridMultilevel"/>
    <w:lvl w:ilvl="0" w:tplc="396536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117864">
    <w:abstractNumId w:val="17117864"/>
  </w:num>
  <w:num w:numId="17117865">
    <w:abstractNumId w:val="1711786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7787075" Type="http://schemas.microsoft.com/office/2011/relationships/commentsExtended" Target="commentsExtended.xml"/><Relationship Id="rId775610657" Type="http://schemas.microsoft.com/office/2011/relationships/people" Target="people.xml"/><Relationship Id="rId69656acfbf9d1d5af" Type="http://schemas.openxmlformats.org/officeDocument/2006/relationships/hyperlink" Target="https://gd.eppo.int/taxon/DITYDI/" TargetMode="External"/><Relationship Id="rId48556acfbf9d1d61e" Type="http://schemas.openxmlformats.org/officeDocument/2006/relationships/hyperlink" Target="https://gd.eppo.int/taxon/DITYDI/categorization" TargetMode="External"/><Relationship Id="rId76136acfbf9d1dc27" Type="http://schemas.openxmlformats.org/officeDocument/2006/relationships/hyperlink" Target="https://gd.eppo.int/taxon/DITYDI/photos" TargetMode="External"/><Relationship Id="rId30806acfbf9d2318c" Type="http://schemas.openxmlformats.org/officeDocument/2006/relationships/hyperlink" Target="https://jeb.biologists.org/content/jexbio/199/5/1085.full.pdf" TargetMode="External"/><Relationship Id="rId20596acfbf9d23378" Type="http://schemas.openxmlformats.org/officeDocument/2006/relationships/hyperlink" Target="https://doi.org/10.1111/epp.12077" TargetMode="External"/><Relationship Id="rId40756acfbf9d23480" Type="http://schemas.openxmlformats.org/officeDocument/2006/relationships/hyperlink" Target="https://doi.org/10.1111/epp.12433" TargetMode="External"/><Relationship Id="rId24566acfbf9d238e8" Type="http://schemas.openxmlformats.org/officeDocument/2006/relationships/hyperlink" Target="https://doi.org/10.1111/mpp.12057" TargetMode="External"/><Relationship Id="rId29926acfbf9d23dd8" Type="http://schemas.openxmlformats.org/officeDocument/2006/relationships/hyperlink" Target="https://doi.org/10.21307/jofnem-2020-071" TargetMode="External"/><Relationship Id="rId80546acfbf9d23e6e" Type="http://schemas.openxmlformats.org/officeDocument/2006/relationships/hyperlink" Target="https://doi.org/10.1163/15685411-bja10069" TargetMode="External"/><Relationship Id="rId61816acfbf9d24403" Type="http://schemas.openxmlformats.org/officeDocument/2006/relationships/hyperlink" Target="https://doi.org/10.1111/j.1744-7348.1987.tb01465.x" TargetMode="External"/><Relationship Id="rId20226acfbf9d244d1" Type="http://schemas.openxmlformats.org/officeDocument/2006/relationships/hyperlink" Target="https://gd.eppo.int" TargetMode="External"/><Relationship Id="rId84926acfbf9d1dae7" Type="http://schemas.openxmlformats.org/officeDocument/2006/relationships/image" Target="media/imgrId84926acfbf9d1dae7.jpg"/><Relationship Id="rId79196acfbf9d22031" Type="http://schemas.openxmlformats.org/officeDocument/2006/relationships/image" Target="media/imgrId79196acfbf9d22031.jpg"/><Relationship Id="rId82156acfbf9d245ce" Type="http://schemas.openxmlformats.org/officeDocument/2006/relationships/image" Target="media/imgrId82156acfbf9d245c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