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Diaphorina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Diaphorina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Kuwayama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Psyllidae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Euphalerus citri</w:t>
            </w:r>
            <w:r>
              <w:rPr>
                <w:rFonts w:ascii="Calibri" w:hAnsi="Calibri" w:eastAsia="Calibri" w:cs="Calibri"/>
                <w:color w:val="000000"/>
                <w:position w:val="-3"/>
                <w:sz w:val="22"/>
                <w:szCs w:val="22"/>
              </w:rPr>
              <w:t xml:space="preserve"> (Kuwayama)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citrus psyllid, citrus psylla, citrus psyllid</w:t>
            </w:r>
            <w:hyperlink r:id="rId13896aac10ba4c1d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6666aac10ba4c26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DIAACI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3781198" name="name54906aac10ba4ca30" descr="7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8.jpg"/>
                          <pic:cNvPicPr/>
                        </pic:nvPicPr>
                        <pic:blipFill>
                          <a:blip r:embed="rId10106aac10ba4ca27" cstate="print"/>
                          <a:stretch>
                            <a:fillRect/>
                          </a:stretch>
                        </pic:blipFill>
                        <pic:spPr>
                          <a:xfrm>
                            <a:off x="0" y="0"/>
                            <a:ext cx="2160000" cy="1281600"/>
                          </a:xfrm>
                          <a:prstGeom prst="rect">
                            <a:avLst/>
                          </a:prstGeom>
                          <a:ln w="0">
                            <a:noFill/>
                          </a:ln>
                        </pic:spPr>
                      </pic:pic>
                    </a:graphicData>
                  </a:graphic>
                </wp:inline>
              </w:drawing>
            </w:r>
            <w:hyperlink r:id="rId88126aac10ba4cc6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taxonomic placement of the genus </w:t>
      </w:r>
      <w:r>
        <w:rPr>
          <w:rFonts w:ascii="Calibri" w:hAnsi="Calibri" w:eastAsia="Calibri" w:cs="Calibri"/>
          <w:i/>
          <w:iCs/>
          <w:color w:val="000000"/>
          <w:sz w:val="22"/>
          <w:szCs w:val="22"/>
        </w:rPr>
        <w:t xml:space="preserve">Diaphorina </w:t>
      </w:r>
      <w:r>
        <w:rPr>
          <w:rFonts w:ascii="Calibri" w:hAnsi="Calibri" w:eastAsia="Calibri" w:cs="Calibri"/>
          <w:color w:val="000000"/>
          <w:sz w:val="22"/>
          <w:szCs w:val="22"/>
        </w:rPr>
        <w:t xml:space="preserve">has been subject to several changes. It was moved from the family Psyllidae to the family Liviidae (Burckhardt &amp; Ouvrard, 2012), but it was later proposed to place it back under Psyllidae (Burckhardt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is confined to Rutaceae, occurring on wild hosts and on cultivated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grapefruit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 rutaceous plant often used for hedges, is a preferred host. Within the EPPO region, host species are generally confined to countries surrounding the Mediterranean Sea.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Afraegle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Archidendron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halimii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hassaku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inodora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latipes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taiwanica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amblycarpa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anisum-olens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excavata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harmandiana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myxa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pentaphylla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Merrillia caloxylon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ailanthoides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is wider than that of the causal agent of citrus huanglongbing (HLB) disease originally associated with this vector, </w:t>
      </w:r>
      <w:hyperlink r:id="rId36436aac10ba4de80"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Candidatus</w:t>
        </w:r>
        <w:r>
          <w:rPr>
            <w:rFonts w:ascii="Calibri" w:hAnsi="Calibri" w:eastAsia="Calibri" w:cs="Calibri"/>
            <w:color w:val="0000CC"/>
            <w:sz w:val="22"/>
            <w:szCs w:val="22"/>
            <w:u w:val="single"/>
          </w:rPr>
          <w:t xml:space="preserve"> Liberibacter asiaticus'.</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occurs in Afghanistan, some states of Brazil, Macau, Myanmar, and Singapore, where the associated bacterium has not yet been recorded.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first reported in the EPPO region in 2022 in Israel and 2023 in Cyprus and is submitted to eradication measures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w:t>
      </w:r>
    </w:p>
    <w:p>
      <w:r>
        <w:drawing>
          <wp:inline distT="0" distB="0" distL="0" distR="0">
            <wp:extent cx="6120000" cy="3067200"/>
            <wp:docPr id="37709436" name="name53956aac10ba4e8a8" descr="DIAA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ACI_distribution_map.jpg"/>
                    <pic:cNvPicPr/>
                  </pic:nvPicPr>
                  <pic:blipFill>
                    <a:blip r:embed="rId89916aac10ba4e8a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Israel</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Ethiopia, Ghana, Kenya, Mauritius, Nigeria, Reunion,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Bhutan, Cambodia, China (Aomen (Macau), Fujian, Guangdong, Guangxi, Guizhou, Hainan, Henan, Hunan, Jiangxi, Sichuan, Xianggang (Hong Kong), Yunnan, Zhejiang), East Timor, India (Andhra Pradesh, Arunachal Pradesh, Assam, Bihar, Delhi, Gujarat, Haryana, Himachal Pradesh, Jammu &amp; Kashmir, Karnataka, Kerala, Lakshadweep, Madhya Pradesh, Maharashtra, Manipur, Meghalaya, Punjab, Rajasthan, Sikkim, Tamil Nadu, Telangana, Tripura, Uttar Pradesh, West Bengal), Indonesia (Java, Kalimantan, Maluku, Nusa Tenggara, Sumatra), Iran, Islamic Republic of, Israel, Japan (Kyushu, Ryukyu Archipelago), Lao People's Democratic Republic, Malaysia (Sabah, Sarawak, West), Maldives, Myanmar, Nepal, Oman, Pakistan, Philippines, Saudi Arabia,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Hawaii, Louisiana, Mississippi, Nevada,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Cayman Islands, Costa Rica, Cuba, Dominica, Dominican Republic, El Salvador, Guadeloupe, Guatemala, Haiti, Honduras, Jamaica, Martinique, Montserrat, Nicaragua, Panama, Puerto Rico, Saint Lucia, Saint Vincent and the Grenadines,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Bahia, Ceara, Para, Pernambuco, Rio de Janeiro, Santa Catarina, Sao Paulo), Colombia, French Guiana,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Fiji, Guam, Northern Mariana Islands,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has a short life cycle and high fecundity. Its optimal developmental temperature ranges from 25-28°C (Liu and Tsai, 2000), and it is, therefore, best adapted to tropical and subtropical conditions, although mean temperatures above 30°C reduce its survival and fertility. Pairing starts soon after emergence, the insects being most active in spring and summer, once mean temperatures are above 12°C (Udell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are laid inside half-folded leaves in buds, in leaf axils or other suitable places on the young tender parts of the tree (shoots or flushes). Females have a pre-oviposition period of about 10 days at their optimal temperature, and can lay up to 800 eggs during their lifetime (Liu and Tsai, 2000). Eggs hatch within 3-10 days (3 days at 28°C and 10 days at 15°C) and nymphs pass through five instars in 11-40 days. The complete life cycle takes 14-50 days, with up to 9-14 overlapping generations per year at mean temperatures of 20-25°C. However, as the eggs are laid exclusively on young flushes and nymphs can only develop on tender plant tissue, the number of generations per year is limited by the sprouting activity of citrus trees, and population fluctuations are closely correlated with tree phenology during the growing season (Udell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overwinters as an adult, which can live for up to six months. Adults are highly active and jump at the slightest disturbance. Nymphs will move away when disturbed, but normally lead a sedentary existence, clustered in groups.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is known to be the most efficient vector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the most aggressive causal agent of huanglongbing disease. Together, these two organisms constitute the most destructive citrus pathosystem worldwide (Gottwald, 2010).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can also transmit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In areas in which these three bacteria species coexist,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transmit them indiscriminately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Gottwald,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High densities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nymphs feeding on tender shoots can stunt and twist them. Lateral leaf notching is a characteristic form of damage associated with this insect (Aubert, 1987). However, at low insect densities, this symptom may go unnoticed. Both adults and immature insects secrete a semi-solid honeydew. Sooty mold may occur in the presence of high psyllid densities and humid environmental conditions.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almond-shaped and tapering at the distal end; length approx. 0.31,  width 0.15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w:t>
      </w:r>
    </w:p>
    <w:p>
      <w:pPr>
        <w:widowControl w:val="on"/>
        <w:pBdr/>
        <w:spacing w:before="220" w:after="220" w:line="240" w:lineRule="auto"/>
        <w:ind w:left="0" w:right="0"/>
        <w:jc w:val="both"/>
      </w:pPr>
      <w:r>
        <w:rPr>
          <w:rFonts w:ascii="Calibri" w:hAnsi="Calibri" w:eastAsia="Calibri" w:cs="Calibri"/>
          <w:color w:val="000000"/>
          <w:sz w:val="22"/>
          <w:szCs w:val="22"/>
        </w:rPr>
        <w:t xml:space="preserve">Light-yellow to dark-brown or green, bearing well-developed wing pods.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about 2-4 mm long, with a yellowish-brown body, greenish-brown or pinkish-brown abdomen, and greyish-brown legs. Males are smaller than females. The wings are transparent, mottled with white and brown spots and a broad, beige, band is present at the periphery of the distal part, slightly interrupted near the apex. The terminal segments of the antennae are black. Two darker segments are also found in the middle of the antennae.</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on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provides guidance on how to detect and identify the pest (EPPO Standard PM 7/52).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sampling methods have been proposed and tested for the detection and monitoring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The sampling methods recommended depend on the goals of the monitoring program. For early detection, suction sampling devices for the capture of adults, and yellow sticky traps are mostly recommended. For regular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management actions, the stem tap sampling of adults provides reliable information rapidly. The visual sampling of nymphs in tender shoots during the major citrus sprouting periods of the tree growing season is recommended for determinations of the number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generations (Monzo and Stansly, 2020). Detailed protocols for surveillance, sampling and detection are indicated in the EPPO Standard PM 9/27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has a substantial flight capacity. It can disperse locally over distances of at least 2 km, within 12 days, when food and oviposition resources (tender citrus shoots) are scarce (Lewis-Rosenblum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Eggs and nymphs can be carried over longer distances on citrus material (budwood, grafted trees, rootstock seedlings) from infected areas. Trailers transporting oranges from groves to packing houses have also been recognized as a source of adult vector dispersal (Halbert et al. 2010). Adults and, 5th or 6th-instar nymphs can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to citrus plants. However, cleaned fruit, that has been washed and is without leaves at the end of the packing process is not considered to pose a risk. The rutaceous plant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frequently used as an ornamental bush or hedge, is one of the preferred hosts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This plant can carry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eggs or nymphs, and its introduction into disease- and vector-free regions creates a risk of introduction of huanglongbing or its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results principally from its role as a vector of huanglongbing, the most damaging citrus disease in the world (Gottwald, 2010). The presence of this pathosystem systematically drastically affects the citrus industry (Hodges and Spreens, 2012), and significantly impairs integrated pest management strategies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pathosystem greatly decreases tree productivity, increases management costs considerably, and may also have deleterious effects on fruit quality (Tansey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Intensive management programs for this pathosystem also have a negative impact on biological control processes for this crop, with important economic consequences (Monzo and Stanlsy, 2020a). In addition, direct feeding by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causes leaf curling and notching. Under heavy infestations, sprouting shoots die, resulting in blossom and fruitlet drop.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curative treatments for huanglongbing, and there are no tolerant or resistant plants. The management of this pathosystem is therefore entirely dependent on efficient vector control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Insecticide-based strategies are the most effective, but must be compatible with biological control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Broad-spectrum insecticide use in the winter is recommended, as only adult psyllids are found on citrus plants at this time of the year (Qureshi and Stansly, 2010). More selective active ingredients must be used during the tree growing season, when biological control is more relevant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Qureshi and Stansly, 2009). Due to the high frequency of insecticide applications against this vector in huanglongbing management programs, the rotation of modes of action is essential, to reduce the risk of resistance (Tiwari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Economic thresholds have also been proposed, for spraying based on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abundance, as a means of reducing the number of applications (Monzo and Stansly 2017). Biological control alone is not sufficient to prevent the spread of huanglongbing, but it can help to reduce the frequency of applications in commercial groves and is the most efficient management strategy for citrus trees in non-commercial citrus growing areas, such as those in urban gardens (Kistner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Monzo and Stansly, 2020a). The parasitoid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has been introduced into several citrus-growing regions worldwide, with various degrees of success (Chen and Stansly, 2014). Conservation biological control of naturally occurring predators can also greatly reduce the size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populations during the citrus growing season (Qureshi and Stansly, 2009;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could probably establish itself and spread in Mediterranean countries without difficulty. The presence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would greatly increase the risk of introduction and spread of huanglongbing. However, in addition to its role in spreading huanglongbing, this psyllid has a significant potential for damage in its own right. Biological control may be possible, but there is no guarantee that it could keep populations at sufficiently low levels to prevent transmission of huanglongbing.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3919. </w:t>
      </w:r>
      <w:hyperlink r:id="rId64076aac10ba4f530"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Aubert B (1987)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and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Kuwayama (Homoptera: Psylloidea), the two vectors of citrus greening disease: Biological aspects and possible control strategies.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149-162.</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&amp; Ouvrard D (2012) A revised classification of the jumping plant-lice (Hemiptera: Psylloidea).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3509</w:t>
      </w:r>
      <w:r>
        <w:rPr>
          <w:rFonts w:ascii="Calibri" w:hAnsi="Calibri" w:eastAsia="Calibri" w:cs="Calibri"/>
          <w:color w:val="000000"/>
          <w:sz w:val="22"/>
          <w:szCs w:val="22"/>
        </w:rPr>
        <w:t xml:space="preserve">, 1-34.</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Ouvrard D &amp; Percy DM (2021) An updated classification of the jumping plant-lice (Hemiptera: Psylloidea) integrating molecular and morphological evidence. </w:t>
      </w:r>
      <w:r>
        <w:rPr>
          <w:rFonts w:ascii="Calibri" w:hAnsi="Calibri" w:eastAsia="Calibri" w:cs="Calibri"/>
          <w:i/>
          <w:iCs/>
          <w:color w:val="000000"/>
          <w:sz w:val="22"/>
          <w:szCs w:val="22"/>
        </w:rPr>
        <w:t xml:space="preserve">European Journal of Taxonomy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736</w:t>
      </w:r>
      <w:r>
        <w:rPr>
          <w:rFonts w:ascii="Calibri" w:hAnsi="Calibri" w:eastAsia="Calibri" w:cs="Calibri"/>
          <w:color w:val="000000"/>
          <w:sz w:val="22"/>
          <w:szCs w:val="22"/>
        </w:rPr>
        <w:t xml:space="preserve">, 137–182. </w:t>
      </w:r>
      <w:hyperlink r:id="rId92476aac10ba4f692" w:history="1">
        <w:r>
          <w:rPr>
            <w:rFonts w:ascii="Calibri" w:hAnsi="Calibri" w:eastAsia="Calibri" w:cs="Calibri"/>
            <w:color w:val="0000CC"/>
            <w:sz w:val="22"/>
            <w:szCs w:val="22"/>
            <w:u w:val="single"/>
          </w:rPr>
          <w:t xml:space="preserve">https://doi.org/10.5852/ejt.2021.736.1257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 &amp; Stansly PA (2014) Biology of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(Hymenoptera: Eulophidae), parasitoid of the citrus greening disease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Psylloidea): a mini review.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1404-1413.</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 S4.3-S4.8.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Parnell S, Camilleri M, Diakaki M, Schrader G &amp; Vos S (2019)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EN-1574. </w:t>
      </w:r>
      <w:hyperlink r:id="rId80006aac10ba4f7dd" w:history="1">
        <w:r>
          <w:rPr>
            <w:rFonts w:ascii="Calibri" w:hAnsi="Calibri" w:eastAsia="Calibri" w:cs="Calibri"/>
            <w:color w:val="0000CC"/>
            <w:sz w:val="22"/>
            <w:szCs w:val="22"/>
            <w:u w:val="single"/>
          </w:rPr>
          <w:t xml:space="preserve">https://doi.org/doi:10.2903/sp.efsa.2019.EN-1574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that are casual agents of Huanglongbing disease of citrus and their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p>
    <w:p>
      <w:pPr>
        <w:widowControl w:val="on"/>
        <w:pBdr/>
        <w:spacing w:before="220" w:after="220" w:line="240" w:lineRule="auto"/>
        <w:ind w:left="0" w:right="0"/>
        <w:jc w:val="left"/>
      </w:pPr>
      <w:r>
        <w:rPr>
          <w:rFonts w:ascii="Calibri" w:hAnsi="Calibri" w:eastAsia="Calibri" w:cs="Calibri"/>
          <w:color w:val="000000"/>
          <w:sz w:val="22"/>
          <w:szCs w:val="22"/>
        </w:rPr>
        <w:t xml:space="preserve">Grafton-Cardwell EE, Stelinski LL &amp; Stansly PA (2013) Biology and management of Asian citrus psyllid, vector of the huanglongbing pathogens.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413-432.</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(2006) Economic impacts of citrus greening (HLB) in Florida, 2006/07-2010/11. EDIS. 2012; </w:t>
      </w:r>
      <w:r>
        <w:rPr>
          <w:rFonts w:ascii="Calibri" w:hAnsi="Calibri" w:eastAsia="Calibri" w:cs="Calibri"/>
          <w:b/>
          <w:bCs/>
          <w:color w:val="000000"/>
          <w:sz w:val="22"/>
          <w:szCs w:val="22"/>
        </w:rPr>
        <w:t xml:space="preserve">FE903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w:t>
      </w:r>
    </w:p>
    <w:p>
      <w:pPr>
        <w:widowControl w:val="on"/>
        <w:pBdr/>
        <w:spacing w:before="220" w:after="220" w:line="240" w:lineRule="auto"/>
        <w:ind w:left="0" w:right="0"/>
        <w:jc w:val="left"/>
      </w:pPr>
      <w:r>
        <w:rPr>
          <w:rFonts w:ascii="Calibri" w:hAnsi="Calibri" w:eastAsia="Calibri" w:cs="Calibri"/>
          <w:color w:val="000000"/>
          <w:sz w:val="22"/>
          <w:szCs w:val="22"/>
        </w:rPr>
        <w:t xml:space="preserve">Kistner EJ, Amrich R, Castillo M, Strode V &amp; Hoddle MS (2016) Phenology of Asian citrus psyllid (Hemiptera: Liviidae), with special reference to biological control by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in the residential landscape of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1047-1057.</w:t>
      </w:r>
    </w:p>
    <w:p>
      <w:pPr>
        <w:widowControl w:val="on"/>
        <w:pBdr/>
        <w:spacing w:before="220" w:after="220" w:line="240" w:lineRule="auto"/>
        <w:ind w:left="0" w:right="0"/>
        <w:jc w:val="left"/>
      </w:pPr>
      <w:r>
        <w:rPr>
          <w:rFonts w:ascii="Calibri" w:hAnsi="Calibri" w:eastAsia="Calibri" w:cs="Calibri"/>
          <w:color w:val="000000"/>
          <w:sz w:val="22"/>
          <w:szCs w:val="22"/>
        </w:rPr>
        <w:t xml:space="preserve">Lewis-Rosenblum H, Martini X, Tiwari S &amp; Stelinski LL (2015) Seasonal movement patterns and long-range dispersal of Asian citrus psyllid in Florida citrus.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3-10.</w:t>
      </w:r>
    </w:p>
    <w:p>
      <w:pPr>
        <w:widowControl w:val="on"/>
        <w:pBdr/>
        <w:spacing w:before="220" w:after="220" w:line="240" w:lineRule="auto"/>
        <w:ind w:left="0" w:right="0"/>
        <w:jc w:val="left"/>
      </w:pPr>
      <w:r>
        <w:rPr>
          <w:rFonts w:ascii="Calibri" w:hAnsi="Calibri" w:eastAsia="Calibri" w:cs="Calibri"/>
          <w:color w:val="000000"/>
          <w:sz w:val="22"/>
          <w:szCs w:val="22"/>
        </w:rPr>
        <w:t xml:space="preserve">Liu YH &amp; Tsai JH (2000) Effects of temperature on biology and life table parameters of the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Kuwayama (Homoptera: Psyllidae).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201-206.</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Qureshi JA &amp; Stansly PA (2014) Insecticide sprays, natural enemy assemblages and predation on Asian citrus psyllid, </w:t>
      </w:r>
      <w:r>
        <w:rPr>
          <w:rFonts w:ascii="Calibri" w:hAnsi="Calibri" w:eastAsia="Calibri" w:cs="Calibri"/>
          <w:i/>
          <w:iCs/>
          <w:color w:val="000000"/>
          <w:sz w:val="22"/>
          <w:szCs w:val="22"/>
        </w:rPr>
        <w:t xml:space="preserve">Diaphorina citri </w:t>
      </w:r>
      <w:r>
        <w:rPr>
          <w:rFonts w:ascii="Calibri" w:hAnsi="Calibri" w:eastAsia="Calibri" w:cs="Calibri"/>
          <w:color w:val="000000"/>
          <w:sz w:val="22"/>
          <w:szCs w:val="22"/>
        </w:rPr>
        <w:t xml:space="preserve">(Hemiptera: Psyllidae).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576-585.</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&amp; Stansly PA (2017) Economic injury levels for Asian citrus psyllid control in process oranges from mature trees with high incidence of huanglongbing.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w:t>
      </w:r>
      <w:hyperlink r:id="rId32846aac10ba4fc62" w:history="1">
        <w:r>
          <w:rPr>
            <w:rFonts w:ascii="Calibri" w:hAnsi="Calibri" w:eastAsia="Calibri" w:cs="Calibri"/>
            <w:color w:val="0000CC"/>
            <w:sz w:val="22"/>
            <w:szCs w:val="22"/>
            <w:u w:val="single"/>
          </w:rPr>
          <w:t xml:space="preserve">https://doi.org/10.1371/journal.pone.0175333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Monzó C &amp; Stansly PA (2020a) Economic value of conservation biological control for management of the Asian citrus psyllid, vector of citrus Huanglongbing disease.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1691-1698.</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&amp; Stansly PA (2020b) Sampling and economic thresholds for Asian citrus psyllid.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Asian Citrus Psyllid. Biology, Ecology and Management of the Huanglongbing Vector. JA Qureshi and PA Stansly editors. CABI,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&amp; Stansly PA (2009) Exclusion techniques reveal significant biotic mortality suffered by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populations in Florida citrus.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&amp; Stansly PA (2010) Dormant season foliar sprays of broad-spectrum insecticides: An effective component of integrated management for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in citrus orchards.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860-866.</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Rogers ME, Hall DG &amp; Stansly PA (2009) Incidence of invasive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and its introduced parasitoid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(Hymenoptera: Eulophidae) in Florida citrus.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247-256.</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Marcos-Noales E, Bertolini E, Teresani G, Penalver J, Mansilla P, Aguin O, Perez-Otero R, Abelleira A, Guerrera-Garcia J, Hernandez E, Cambra M &amp; Milagros-Lopez M (2017) Survey of huanglongbing associated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Tansey JA, Vanaclocha P, Monzo C, Jones M &amp; Stansly PA (2017) Costs and benefits of insecticide and foliar nutrient applications to huanglongbing‐infected citrus trees.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904-916.</w:t>
      </w:r>
    </w:p>
    <w:p>
      <w:pPr>
        <w:widowControl w:val="on"/>
        <w:pBdr/>
        <w:spacing w:before="220" w:after="220" w:line="240" w:lineRule="auto"/>
        <w:ind w:left="0" w:right="0"/>
        <w:jc w:val="left"/>
      </w:pPr>
      <w:r>
        <w:rPr>
          <w:rFonts w:ascii="Calibri" w:hAnsi="Calibri" w:eastAsia="Calibri" w:cs="Calibri"/>
          <w:color w:val="000000"/>
          <w:sz w:val="22"/>
          <w:szCs w:val="22"/>
        </w:rPr>
        <w:t xml:space="preserve">Tiwari S, Mann RS, Rogers ME &amp; Stelinski LL (2011) Insecticide resistance in field populations of Asian citrus psyllid in Florida.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1258-1268.</w:t>
      </w:r>
    </w:p>
    <w:p>
      <w:pPr>
        <w:widowControl w:val="on"/>
        <w:pBdr/>
        <w:spacing w:before="220" w:after="220" w:line="240" w:lineRule="auto"/>
        <w:ind w:left="0" w:right="0"/>
        <w:jc w:val="left"/>
      </w:pPr>
      <w:r>
        <w:rPr>
          <w:rFonts w:ascii="Calibri" w:hAnsi="Calibri" w:eastAsia="Calibri" w:cs="Calibri"/>
          <w:color w:val="000000"/>
          <w:sz w:val="22"/>
          <w:szCs w:val="22"/>
        </w:rPr>
        <w:t xml:space="preserve">Udell BJ, Monzo C, Paris TM, Allan SA &amp; Stansly PA (2017) Influence of limiting and regulating factors on populations of Asian citrus psyllid and the risk of insect and disease outbreaks.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 70-88.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Cesar Monzo from Instituto Valenciano de Investigaciones Agrarias (IVIA), Moncada, Valencia, Spain.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EPPO datasheets on pests recommended for regulation. Available online. </w:t>
      </w:r>
      <w:hyperlink r:id="rId29086aac10ba5010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(1988) Data sheets on quarantine organisms No. 151, Citrus greening bacterium and its vectors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color w:val="000000"/>
          <w:sz w:val="22"/>
          <w:szCs w:val="22"/>
        </w:rPr>
        <w:t xml:space="preserve">18, 497-507.</w:t>
      </w:r>
    </w:p>
    <w:p>
      <w:r>
        <w:drawing>
          <wp:inline distT="0" distB="0" distL="0" distR="0">
            <wp:extent cx="1800000" cy="604800"/>
            <wp:docPr id="61012896" name="name49876aac10ba5066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5196aac10ba5066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71221">
    <w:multiLevelType w:val="hybridMultilevel"/>
    <w:lvl w:ilvl="0" w:tplc="77420045">
      <w:start w:val="1"/>
      <w:numFmt w:val="decimal"/>
      <w:lvlText w:val="%1."/>
      <w:lvlJc w:val="left"/>
      <w:pPr>
        <w:ind w:left="720" w:hanging="360"/>
      </w:pPr>
    </w:lvl>
    <w:lvl w:ilvl="1" w:tplc="77420045" w:tentative="1">
      <w:start w:val="1"/>
      <w:numFmt w:val="lowerLetter"/>
      <w:lvlText w:val="%2."/>
      <w:lvlJc w:val="left"/>
      <w:pPr>
        <w:ind w:left="1440" w:hanging="360"/>
      </w:pPr>
    </w:lvl>
    <w:lvl w:ilvl="2" w:tplc="77420045" w:tentative="1">
      <w:start w:val="1"/>
      <w:numFmt w:val="lowerRoman"/>
      <w:lvlText w:val="%3."/>
      <w:lvlJc w:val="right"/>
      <w:pPr>
        <w:ind w:left="2160" w:hanging="180"/>
      </w:pPr>
    </w:lvl>
    <w:lvl w:ilvl="3" w:tplc="77420045" w:tentative="1">
      <w:start w:val="1"/>
      <w:numFmt w:val="decimal"/>
      <w:lvlText w:val="%4."/>
      <w:lvlJc w:val="left"/>
      <w:pPr>
        <w:ind w:left="2880" w:hanging="360"/>
      </w:pPr>
    </w:lvl>
    <w:lvl w:ilvl="4" w:tplc="77420045" w:tentative="1">
      <w:start w:val="1"/>
      <w:numFmt w:val="lowerLetter"/>
      <w:lvlText w:val="%5."/>
      <w:lvlJc w:val="left"/>
      <w:pPr>
        <w:ind w:left="3600" w:hanging="360"/>
      </w:pPr>
    </w:lvl>
    <w:lvl w:ilvl="5" w:tplc="77420045" w:tentative="1">
      <w:start w:val="1"/>
      <w:numFmt w:val="lowerRoman"/>
      <w:lvlText w:val="%6."/>
      <w:lvlJc w:val="right"/>
      <w:pPr>
        <w:ind w:left="4320" w:hanging="180"/>
      </w:pPr>
    </w:lvl>
    <w:lvl w:ilvl="6" w:tplc="77420045" w:tentative="1">
      <w:start w:val="1"/>
      <w:numFmt w:val="decimal"/>
      <w:lvlText w:val="%7."/>
      <w:lvlJc w:val="left"/>
      <w:pPr>
        <w:ind w:left="5040" w:hanging="360"/>
      </w:pPr>
    </w:lvl>
    <w:lvl w:ilvl="7" w:tplc="77420045" w:tentative="1">
      <w:start w:val="1"/>
      <w:numFmt w:val="lowerLetter"/>
      <w:lvlText w:val="%8."/>
      <w:lvlJc w:val="left"/>
      <w:pPr>
        <w:ind w:left="5760" w:hanging="360"/>
      </w:pPr>
    </w:lvl>
    <w:lvl w:ilvl="8" w:tplc="77420045" w:tentative="1">
      <w:start w:val="1"/>
      <w:numFmt w:val="lowerRoman"/>
      <w:lvlText w:val="%9."/>
      <w:lvlJc w:val="right"/>
      <w:pPr>
        <w:ind w:left="6480" w:hanging="180"/>
      </w:pPr>
    </w:lvl>
  </w:abstractNum>
  <w:abstractNum w:abstractNumId="97671220">
    <w:multiLevelType w:val="hybridMultilevel"/>
    <w:lvl w:ilvl="0" w:tplc="90228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71220">
    <w:abstractNumId w:val="97671220"/>
  </w:num>
  <w:num w:numId="97671221">
    <w:abstractNumId w:val="9767122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319532" Type="http://schemas.microsoft.com/office/2011/relationships/commentsExtended" Target="commentsExtended.xml"/><Relationship Id="rId197894525" Type="http://schemas.microsoft.com/office/2011/relationships/people" Target="people.xml"/><Relationship Id="rId13896aac10ba4c1dd" Type="http://schemas.openxmlformats.org/officeDocument/2006/relationships/hyperlink" Target="https://gd.eppo.int/taxon/DIAACI/" TargetMode="External"/><Relationship Id="rId76666aac10ba4c261" Type="http://schemas.openxmlformats.org/officeDocument/2006/relationships/hyperlink" Target="https://gd.eppo.int/taxon/DIAACI/categorization" TargetMode="External"/><Relationship Id="rId88126aac10ba4cc67" Type="http://schemas.openxmlformats.org/officeDocument/2006/relationships/hyperlink" Target="https://gd.eppo.int/taxon/DIAACI/photos" TargetMode="External"/><Relationship Id="rId36436aac10ba4de80" Type="http://schemas.openxmlformats.org/officeDocument/2006/relationships/hyperlink" Target="https://gd.eppo.int/taxon/LIBEAS/datasheet" TargetMode="External"/><Relationship Id="rId64076aac10ba4f530" Type="http://schemas.openxmlformats.org/officeDocument/2006/relationships/hyperlink" Target="https://doi.org/10.1038/s41598-020-60712-0" TargetMode="External"/><Relationship Id="rId92476aac10ba4f692" Type="http://schemas.openxmlformats.org/officeDocument/2006/relationships/hyperlink" Target="https://doi.org/10.5852/ejt.2021.736.1257" TargetMode="External"/><Relationship Id="rId80006aac10ba4f7dd" Type="http://schemas.openxmlformats.org/officeDocument/2006/relationships/hyperlink" Target="https://doi.org/doi:10.2903/sp.efsa.2019.EN-1574" TargetMode="External"/><Relationship Id="rId32846aac10ba4fc62" Type="http://schemas.openxmlformats.org/officeDocument/2006/relationships/hyperlink" Target="https://doi.org/10.1371/journal.pone.0175333" TargetMode="External"/><Relationship Id="rId29086aac10ba50102" Type="http://schemas.openxmlformats.org/officeDocument/2006/relationships/hyperlink" Target="https://gd.eppo.int" TargetMode="External"/><Relationship Id="rId10106aac10ba4ca27" Type="http://schemas.openxmlformats.org/officeDocument/2006/relationships/image" Target="media/imgrId10106aac10ba4ca27.jpg"/><Relationship Id="rId89916aac10ba4e8a6" Type="http://schemas.openxmlformats.org/officeDocument/2006/relationships/image" Target="media/imgrId89916aac10ba4e8a6.jpg"/><Relationship Id="rId95196aac10ba5066b" Type="http://schemas.openxmlformats.org/officeDocument/2006/relationships/image" Target="media/imgrId95196aac10ba5066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