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tsuneonis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tsuneonis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cheni</w:t>
            </w:r>
            <w:r>
              <w:rPr>
                <w:rFonts w:ascii="Calibri" w:hAnsi="Calibri" w:eastAsia="Calibri" w:cs="Calibri"/>
                <w:color w:val="000000"/>
                <w:position w:val="-3"/>
                <w:sz w:val="22"/>
                <w:szCs w:val="22"/>
              </w:rPr>
              <w:t xml:space="preserve"> Chao, </w:t>
            </w:r>
            <w:r>
              <w:rPr>
                <w:rFonts w:ascii="Calibri" w:hAnsi="Calibri" w:eastAsia="Calibri" w:cs="Calibri"/>
                <w:i/>
                <w:iCs/>
                <w:color w:val="000000"/>
                <w:position w:val="-3"/>
                <w:sz w:val="22"/>
                <w:szCs w:val="22"/>
              </w:rPr>
              <w:t xml:space="preserve">Dacus tsuneonis</w:t>
            </w:r>
            <w:r>
              <w:rPr>
                <w:rFonts w:ascii="Calibri" w:hAnsi="Calibri" w:eastAsia="Calibri" w:cs="Calibri"/>
                <w:color w:val="000000"/>
                <w:position w:val="-3"/>
                <w:sz w:val="22"/>
                <w:szCs w:val="22"/>
              </w:rPr>
              <w:t xml:space="preserve"> Miyake, </w:t>
            </w:r>
            <w:r>
              <w:rPr>
                <w:rFonts w:ascii="Calibri" w:hAnsi="Calibri" w:eastAsia="Calibri" w:cs="Calibri"/>
                <w:i/>
                <w:iCs/>
                <w:color w:val="000000"/>
                <w:position w:val="-3"/>
                <w:sz w:val="22"/>
                <w:szCs w:val="22"/>
              </w:rPr>
              <w:t xml:space="preserve">Tetradacus tsuneonis</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orange fly, Japanese orange fruit fly</w:t>
            </w:r>
            <w:hyperlink r:id="rId9638662a5c68a151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74662a5c68a158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DACUTS</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belongs to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within the genus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As such it can be referred to in the literature as </w:t>
      </w:r>
      <w:r>
        <w:rPr>
          <w:rFonts w:ascii="Calibri" w:hAnsi="Calibri" w:eastAsia="Calibri" w:cs="Calibri"/>
          <w:i/>
          <w:iCs/>
          <w:color w:val="000000"/>
          <w:sz w:val="22"/>
          <w:szCs w:val="22"/>
        </w:rPr>
        <w:t xml:space="preserve">Bactrocera (Tetradacus) tsuneonis. </w:t>
      </w:r>
      <w:r>
        <w:rPr>
          <w:rFonts w:ascii="Calibri" w:hAnsi="Calibri" w:eastAsia="Calibri" w:cs="Calibri"/>
          <w:color w:val="000000"/>
          <w:sz w:val="22"/>
          <w:szCs w:val="22"/>
        </w:rPr>
        <w:t xml:space="preserve">A recent review of, and identification key to all species of the subgenus </w:t>
      </w:r>
      <w:r>
        <w:rPr>
          <w:rFonts w:ascii="Calibri" w:hAnsi="Calibri" w:eastAsia="Calibri" w:cs="Calibri"/>
          <w:i/>
          <w:iCs/>
          <w:color w:val="000000"/>
          <w:sz w:val="22"/>
          <w:szCs w:val="22"/>
        </w:rPr>
        <w:t xml:space="preserve">Tetradacus </w:t>
      </w:r>
      <w:r>
        <w:rPr>
          <w:rFonts w:ascii="Calibri" w:hAnsi="Calibri" w:eastAsia="Calibri" w:cs="Calibri"/>
          <w:color w:val="000000"/>
          <w:sz w:val="22"/>
          <w:szCs w:val="22"/>
        </w:rPr>
        <w:t xml:space="preserve">is given by Hancock &amp; Drew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has erroneously been considered synonymous with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found exclusively on Rutaceae,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the former being the main potential hosts in the EPPO region.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parts of Japan and southern China. Older records from Taiwan and Vietnam are considered unsubstantiated and not confirmed.</w:t>
      </w:r>
    </w:p>
    <w:p>
      <w:r>
        <w:drawing>
          <wp:inline distT="0" distB="0" distL="0" distR="0">
            <wp:extent cx="6120000" cy="3067200"/>
            <wp:docPr id="80201846" name="name5205662a5c68a1f7c" descr="DACUT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S_distribution_map.jpg"/>
                    <pic:cNvPicPr/>
                  </pic:nvPicPr>
                  <pic:blipFill>
                    <a:blip r:embed="rId5136662a5c68a1f7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Gansu, Guangdong, Guangxi, Guizhou, Hainan, Henan, Hubei, Hunan, Jiangsu, Jiangxi, Shaanxi, Shanghai, Sichuan, Yunnan, Zhejiang), Japan (Kyushu, Ryukyu Archipelago)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The general life cycle is considered similar to the one of other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species infesting fruits: eggs are laid below the skin of the host fruit. Three larval stages develop inside the fruit, feeding on the plant tissue. Once mature the third instar larva will leave the fruit, dig down into the soil and turn into a pupa enclosed in a puparium. In China,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reported to have a single generation per year and to overwinter as a pupa in the soil (Zhang, 1989). Yasuda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suggest that the species has a pupal diapause.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mention the presence of adults from April to September in Guangdong and Guangxi, China, while in Japan adults are present from early June till October. In general,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has a similar biology to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but adults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can be found over a longer time in the field</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 of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is described in some detail by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Redescription, as given by Drew &amp; Romig (2013).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Head. Red-brown with fuscous on anteromedial hump; orbital setae black: 1 superior 2 inferior; lunule red-brown. Vertex red-brown. Face fulvous with a pair of small- to medium-sized oval black spots. Genae fulvous with a very small dark fuscous subocular spot; black seta present. Occiput red-brown, fulvous along eye margins; occipital row with a large number of small black setae. Antennae with all segments red-brown.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red-brown with a mottled appearance from dorsoventral flight muscles and occasionally with irregularly shaped small areas of fuscous. Pleural areas red-brown without dark markings. Yellow markings as follows: postpronotal lobes; notopleura; a moderately broad lateral yellow band joining postpronotal lobe and notopleuron; mesopleural stripe reaching the anterior notopleural seta dorsally, continuing to the katepisternum as a large yellow spot, anterior margin convex; almost entire surfaces of anatergite and katatergite; a pair of moderately broad parallel-sided lateral postsutural vittae ending at intra-alar. seta and turned inwards along notopleural suture; a short medial postsutural vitta. Yellow spot anterior to notopleural suture absent. Postnotum red-brown. Scutellum yellow except for narrow red-brown basal band. </w:t>
      </w:r>
    </w:p>
    <w:p>
      <w:pPr>
        <w:widowControl w:val="on"/>
        <w:pBdr/>
        <w:spacing w:before="220" w:after="220" w:line="240" w:lineRule="auto"/>
        <w:ind w:left="0" w:right="0"/>
        <w:jc w:val="both"/>
      </w:pPr>
      <w:r>
        <w:rPr>
          <w:rFonts w:ascii="Calibri" w:hAnsi="Calibri" w:eastAsia="Calibri" w:cs="Calibri"/>
          <w:color w:val="000000"/>
          <w:sz w:val="22"/>
          <w:szCs w:val="22"/>
        </w:rPr>
        <w:t xml:space="preserve">Setae: 2 scutellar, 1 intra-alar, 1 anterior supra-alar, 1 posterior supra-alar, 1 mesopleural, 1 notopleural, 2 scapular; prescutellar absent.</w:t>
      </w:r>
    </w:p>
    <w:p>
      <w:pPr>
        <w:widowControl w:val="on"/>
        <w:pBdr/>
        <w:spacing w:before="220" w:after="220" w:line="240" w:lineRule="auto"/>
        <w:ind w:left="0" w:right="0"/>
        <w:jc w:val="both"/>
      </w:pPr>
      <w:r>
        <w:rPr>
          <w:rFonts w:ascii="Calibri" w:hAnsi="Calibri" w:eastAsia="Calibri" w:cs="Calibri"/>
          <w:color w:val="000000"/>
          <w:sz w:val="22"/>
          <w:szCs w:val="22"/>
        </w:rPr>
        <w:t xml:space="preserve">Legs. Femora fulvous except fuscous on extreme apical ventral surfaces of mid femora; fore and mid tibiae entirely fulvous, hind tibia red-brown; fore and hind tarsal segments with basal segment fulvous and apical four segments red-brown, mid tarsie with all segment; mid tibiae each with an apical black spur.</w:t>
      </w:r>
    </w:p>
    <w:p>
      <w:pPr>
        <w:widowControl w:val="on"/>
        <w:pBdr/>
        <w:spacing w:before="220" w:after="220" w:line="240" w:lineRule="auto"/>
        <w:ind w:left="0" w:right="0"/>
        <w:jc w:val="both"/>
      </w:pPr>
      <w:r>
        <w:rPr>
          <w:rFonts w:ascii="Calibri" w:hAnsi="Calibri" w:eastAsia="Calibri" w:cs="Calibri"/>
          <w:color w:val="000000"/>
          <w:sz w:val="22"/>
          <w:szCs w:val="22"/>
        </w:rPr>
        <w:t xml:space="preserve">Wings. Length 9.2mm; cells bc and c with a strong pale fulvous tint; microtrichia in outer corner of cell c only; remainder of wings colourless except dark fuscous cell sc, broad fuscous costal band confluent with R4+5 basally overlapping this vein just beyond r-m crossvein to apex of the wing, anal streak reduced to pale fuscous within cell cup; no dense aggregation of microtrichia around A1+CuA2; supernumerary lobe weak.</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Elongate oval (not as petiolate in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terga free; pecten present on tergum III. Tergum I and sterna I and II wider than long. Terga I and II vary from red-brown to fulvous; terga III-V red-brown to fulvous with a dark black ‘T’ pattern consisting of a narrow transverse dark fuscous to black band across anterior margin of tergum III and a narrow medial longitudinal band over all three terga (in some specimens the anterolateral corners of tergum IV are fuscous to dark fuscous); a pair of oval red-brown shining spots on tergum V. Posterior lobe of surstylus short, sternum V with a slight concavity on posterior margin. Abdominal sterna pale.</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except pecten of cilia on abdominal tergum III absent; ovipositor basal segment red-brown and strongly bulbous and rounded basally and narrowing to a cylinder apically, ratio of length of oviscape to length of tergum V, 1.8:1; apex of piercer trilobed.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is morphologically similar to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but anterior supra-alar setae are present. It has a complete lateral yellow band joining postpronotal lobe and the notopleuron and the female has a short ovipositor with a trilobed apex. Full details of the separation of these species were given by Drew &amp; Romig (2013). Hancock &amp; Drew (2019) provide an identification key for all representatives of the subgenus </w:t>
      </w:r>
      <w:r>
        <w:rPr>
          <w:rFonts w:ascii="Calibri" w:hAnsi="Calibri" w:eastAsia="Calibri" w:cs="Calibri"/>
          <w:i/>
          <w:iCs/>
          <w:color w:val="000000"/>
          <w:sz w:val="22"/>
          <w:szCs w:val="22"/>
        </w:rPr>
        <w:t xml:space="preserve">Tetradacus.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BOLD,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only forms monospecific Barcoding Index Number Systems (BINs) including representatives from the geographical distribution of this species. For this reason, DNA barcoding might be considered as a suitable tool for the molecular identification of this species.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2594662a5c68a270c"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not known to be attracted to any male lure. Both sexes can be monitored by traps baited with protein-based attractants (Hou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is stenophagous, only attacking citrus fruits. It is a serious pest of citrus in parts of China (Zhang, 1989) and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important crops in the EPPO region.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a known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the area where it is present. It can be moved in trade with infested fruit. Although no detailed study was made on climatic suitability of the EPPO region for this species,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known to occur in areas with similar climate. Transient populations could also have negative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on the list of fruit flies that satisfy the criteria to be regarded as a potential Union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inspected for symptoms of infestation and fruit suspected to be infested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does not occur, or from a place of production found free from the pest by regular inspections in the 3 months before harvest. Fruits may also be treated, but specific treatment schedules have mostly not been developed for the Asiatic citrus fruit flies, since citrus has not been much exported from the countries where they occur. However, such trade has recently developed from China to the EPPO region. It is unknown whether schedules for cold treatment developed for other species such as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citrus will be adequate.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free from soil, or the soil should be treated against puparia. The plants should not be bearing fruits. Citrus plants are in any case prohibited from importation in many countries because of other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4855662a5c68a2cbd" w:history="1">
        <w:r>
          <w:rPr>
            <w:rFonts w:ascii="Calibri" w:hAnsi="Calibri" w:eastAsia="Calibri" w:cs="Calibri"/>
            <w:color w:val="0000CC"/>
            <w:sz w:val="22"/>
            <w:szCs w:val="22"/>
            <w:u w:val="single"/>
          </w:rPr>
          <w:t xml:space="preserve">https://www.delta-intkey.com/ffl/www/bac_tsun.htm</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(Tephritidae: Dacinae) of South-East Asia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1655662a5c68a2d82" w:history="1">
        <w:r>
          <w:rPr>
            <w:rFonts w:ascii="Calibri" w:hAnsi="Calibri" w:eastAsia="Calibri" w:cs="Calibri"/>
            <w:color w:val="0000CC"/>
            <w:sz w:val="22"/>
            <w:szCs w:val="22"/>
            <w:u w:val="single"/>
          </w:rPr>
          <w:t xml:space="preserve">https://doi.org/10.2903/j.efsa.2020.5931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(2019) Further notes on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with a revised key to species.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Hou BH, Ouyang GC, Lu HL, Ma J, Lu YY &amp; Xia Y (2018) First detection of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(Diptera: Tephritidae) in Guangdong Province of China.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533-535.</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Chang CL, Ching AJF &amp; Nakamichi KAA (2019) Host plant records of the Japanese orange fly,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(Miyake) (Diptera: Tephritidae), Version 1.0 March 26, 2019. United States Department of Agriculture, 9pp. Available online at </w:t>
      </w:r>
      <w:hyperlink r:id="rId2850662a5c68a2ffe"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Yasuda T, Narahara M, Tanaka S &amp; Wakamura S (1994) Thermal responses in the citrus fruit fly, </w:t>
      </w:r>
      <w:r>
        <w:rPr>
          <w:rFonts w:ascii="Calibri" w:hAnsi="Calibri" w:eastAsia="Calibri" w:cs="Calibri"/>
          <w:i/>
          <w:iCs/>
          <w:color w:val="000000"/>
          <w:sz w:val="22"/>
          <w:szCs w:val="22"/>
        </w:rPr>
        <w:t xml:space="preserve">Dacus tsuneonis</w:t>
      </w:r>
      <w:r>
        <w:rPr>
          <w:rFonts w:ascii="Calibri" w:hAnsi="Calibri" w:eastAsia="Calibri" w:cs="Calibri"/>
          <w:color w:val="000000"/>
          <w:sz w:val="22"/>
          <w:szCs w:val="22"/>
        </w:rPr>
        <w:t xml:space="preserve">: evidence for a pupal diapause.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257-261.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(1989) Citrus fruit flies of Sichuan Province (China).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649-654.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EPPO datasheets on pests recommended for regulation. Available online. </w:t>
      </w:r>
      <w:hyperlink r:id="rId4366662a5c68a32f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(non-European), then as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the second edition of the book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513025" name="name5903662a5c68a34a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56662a5c68a34a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85129">
    <w:multiLevelType w:val="hybridMultilevel"/>
    <w:lvl w:ilvl="0" w:tplc="16276865">
      <w:start w:val="1"/>
      <w:numFmt w:val="decimal"/>
      <w:lvlText w:val="%1."/>
      <w:lvlJc w:val="left"/>
      <w:pPr>
        <w:ind w:left="720" w:hanging="360"/>
      </w:pPr>
    </w:lvl>
    <w:lvl w:ilvl="1" w:tplc="16276865" w:tentative="1">
      <w:start w:val="1"/>
      <w:numFmt w:val="lowerLetter"/>
      <w:lvlText w:val="%2."/>
      <w:lvlJc w:val="left"/>
      <w:pPr>
        <w:ind w:left="1440" w:hanging="360"/>
      </w:pPr>
    </w:lvl>
    <w:lvl w:ilvl="2" w:tplc="16276865" w:tentative="1">
      <w:start w:val="1"/>
      <w:numFmt w:val="lowerRoman"/>
      <w:lvlText w:val="%3."/>
      <w:lvlJc w:val="right"/>
      <w:pPr>
        <w:ind w:left="2160" w:hanging="180"/>
      </w:pPr>
    </w:lvl>
    <w:lvl w:ilvl="3" w:tplc="16276865" w:tentative="1">
      <w:start w:val="1"/>
      <w:numFmt w:val="decimal"/>
      <w:lvlText w:val="%4."/>
      <w:lvlJc w:val="left"/>
      <w:pPr>
        <w:ind w:left="2880" w:hanging="360"/>
      </w:pPr>
    </w:lvl>
    <w:lvl w:ilvl="4" w:tplc="16276865" w:tentative="1">
      <w:start w:val="1"/>
      <w:numFmt w:val="lowerLetter"/>
      <w:lvlText w:val="%5."/>
      <w:lvlJc w:val="left"/>
      <w:pPr>
        <w:ind w:left="3600" w:hanging="360"/>
      </w:pPr>
    </w:lvl>
    <w:lvl w:ilvl="5" w:tplc="16276865" w:tentative="1">
      <w:start w:val="1"/>
      <w:numFmt w:val="lowerRoman"/>
      <w:lvlText w:val="%6."/>
      <w:lvlJc w:val="right"/>
      <w:pPr>
        <w:ind w:left="4320" w:hanging="180"/>
      </w:pPr>
    </w:lvl>
    <w:lvl w:ilvl="6" w:tplc="16276865" w:tentative="1">
      <w:start w:val="1"/>
      <w:numFmt w:val="decimal"/>
      <w:lvlText w:val="%7."/>
      <w:lvlJc w:val="left"/>
      <w:pPr>
        <w:ind w:left="5040" w:hanging="360"/>
      </w:pPr>
    </w:lvl>
    <w:lvl w:ilvl="7" w:tplc="16276865" w:tentative="1">
      <w:start w:val="1"/>
      <w:numFmt w:val="lowerLetter"/>
      <w:lvlText w:val="%8."/>
      <w:lvlJc w:val="left"/>
      <w:pPr>
        <w:ind w:left="5760" w:hanging="360"/>
      </w:pPr>
    </w:lvl>
    <w:lvl w:ilvl="8" w:tplc="16276865" w:tentative="1">
      <w:start w:val="1"/>
      <w:numFmt w:val="lowerRoman"/>
      <w:lvlText w:val="%9."/>
      <w:lvlJc w:val="right"/>
      <w:pPr>
        <w:ind w:left="6480" w:hanging="180"/>
      </w:pPr>
    </w:lvl>
  </w:abstractNum>
  <w:abstractNum w:abstractNumId="12785128">
    <w:multiLevelType w:val="hybridMultilevel"/>
    <w:lvl w:ilvl="0" w:tplc="880904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85128">
    <w:abstractNumId w:val="12785128"/>
  </w:num>
  <w:num w:numId="12785129">
    <w:abstractNumId w:val="127851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5218861" Type="http://schemas.microsoft.com/office/2011/relationships/commentsExtended" Target="commentsExtended.xml"/><Relationship Id="rId427132510" Type="http://schemas.microsoft.com/office/2011/relationships/people" Target="people.xml"/><Relationship Id="rId9638662a5c68a1511" Type="http://schemas.openxmlformats.org/officeDocument/2006/relationships/hyperlink" Target="https://gd.eppo.int/taxon/DACUTS/" TargetMode="External"/><Relationship Id="rId3274662a5c68a158e" Type="http://schemas.openxmlformats.org/officeDocument/2006/relationships/hyperlink" Target="https://gd.eppo.int/taxon/DACUTS/categorization" TargetMode="External"/><Relationship Id="rId2594662a5c68a270c" Type="http://schemas.openxmlformats.org/officeDocument/2006/relationships/hyperlink" Target="https://www.boldsystems.org/index.php/Taxbrowser_Taxonpage?taxon=tsuneonis&amp;searchTax=Search+Taxonomy" TargetMode="External"/><Relationship Id="rId4855662a5c68a2cbd" Type="http://schemas.openxmlformats.org/officeDocument/2006/relationships/hyperlink" Target="https://www.delta-intkey.com/ffl/www/bac_tsun.htm" TargetMode="External"/><Relationship Id="rId1655662a5c68a2d82" Type="http://schemas.openxmlformats.org/officeDocument/2006/relationships/hyperlink" Target="https://doi.org/10.2903/j.efsa.2020.5931" TargetMode="External"/><Relationship Id="rId2850662a5c68a2ffe" Type="http://schemas.openxmlformats.org/officeDocument/2006/relationships/hyperlink" Target="https://coffhi.cphst.org/" TargetMode="External"/><Relationship Id="rId4366662a5c68a32fa" Type="http://schemas.openxmlformats.org/officeDocument/2006/relationships/hyperlink" Target="https://gd.eppo.int" TargetMode="External"/><Relationship Id="rId5136662a5c68a1f79" Type="http://schemas.openxmlformats.org/officeDocument/2006/relationships/image" Target="media/imgrId5136662a5c68a1f79.jpg"/><Relationship Id="rId6356662a5c68a34ad" Type="http://schemas.openxmlformats.org/officeDocument/2006/relationships/image" Target="media/imgrId6356662a5c68a34a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