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tryoni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tryoni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(Froggatt)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Chaetodacus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Dacus ferrugineus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Dacus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Strumeta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Tephritis tryoni</w:t>
            </w:r>
            <w:r>
              <w:rPr>
                <w:rFonts w:ascii="Calibri" w:hAnsi="Calibri" w:eastAsia="Calibri" w:cs="Calibri"/>
                <w:color w:val="000000"/>
                <w:position w:val="-3"/>
                <w:sz w:val="22"/>
                <w:szCs w:val="22"/>
              </w:rPr>
              <w:t xml:space="preserve"> Froggatt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Queensland fruit fly</w:t>
            </w:r>
            <w:hyperlink r:id="rId69296a75fd3e548b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8456a75fd3e5492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DACUTR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belongs to a species complex (see Drew, 1989) and differentiation between this species and closely related species is difficult and needs expert confirmation. Separation between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neohumeralis</w:t>
      </w:r>
      <w:r>
        <w:rPr>
          <w:rFonts w:ascii="Calibri" w:hAnsi="Calibri" w:eastAsia="Calibri" w:cs="Calibri"/>
          <w:color w:val="000000"/>
          <w:sz w:val="22"/>
          <w:szCs w:val="22"/>
        </w:rPr>
        <w:t xml:space="preserve"> cannot be done reliably on morphological grounds. See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Clarke (2019) for a discussion on the differentiation of species within the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complex.</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wide range of hosts. In Australia, it has been reported from 234 plant species, belonging to 49 different families, according to the catalogue compiled by Hancock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Leblanc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gives a list of host plant records for the adventive populations in Pacific Islands. In total, it is reported from more than 250 different hosts. Fitt (1986) states that adults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exhibit no particular preference in the species of fruits on which they will lay eggs, but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argue that data on relative susceptibility are largely missing. The main hosts of interest are fruit trees: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avocados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guavas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mangoes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passion fruits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pawpaws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peaches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plums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However, vegetables such as tomatoes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are also infested. Many tree fruit crops of the EPPO region are potential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Acronychia acidula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Acronychia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Acronychia vestita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Aglaia sapindina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Alyxia ruscifolia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Amorphospermum antilogum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x atemoya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calyptrata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Beilschmiedia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mitchellii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Carallia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tetrameria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Castanospermum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Castanospora alphandii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antarctica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Cryptocarya erythroxylon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Davidsonia pruriens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deplanchei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bancroftii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cowleyana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longipedicellata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microneura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sankeyana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wolfei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reinwardtiana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gracilipes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leptoclada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pancheriana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jangomas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rukam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Ganophyllum falcatum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warrenii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Glochidion harveyanum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Hernandia cordigera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Huberantha nitidissima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Inocarpus fagifer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Melastoma malabathricum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Melodorum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troglodytarum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Nauclea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Niemeyera chartacea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Niemeyera prunifera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Normanbya normanbyi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Notelaea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moorei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Owenia venosa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aurantia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 f. flavicarpa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subpeltata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clerodendron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ferdinandi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myrsinodendron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pohlmaniana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sphaerocarpa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Planchonia careya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Pleiogynium cerasiferum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Pleioluma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Polyalthia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Pometia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Pourouma cecropiifolia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Premna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Rhamnella vitiensis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Rhodamnia sessiliflora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Ripogonum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lanceolatum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taccada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Schizomeria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Semecarpus australiensis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Siphonodon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laciniatum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alliiligneum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angophoroides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canicortex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claviflorum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coarctatum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corynanthum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erythrocalyx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fibrosum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forte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hemilamprum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kuranda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luehmannii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puberulum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resa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rubrimolle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suborbiculare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tierneyanum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xerampelinum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arenicola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aridicola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ferdinandiana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muelleri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sericocarpa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subacroptera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 var. anguina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found in Eastern Australia, from the Northern Territory, and Queensland southwards to New South Wales and the eastern part of Victoria. It is also reported from the Torres Strait Islands. See Dominiak &amp; Mapson (2017) for a review of the distribution in Eastern Australia. It was introduced and became established in French Polynesia, New Caledonia, and Pitcairn Island (Leblanc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It has been introduced in other areas but eradicated.</w:t>
      </w:r>
    </w:p>
    <w:p>
      <w:r>
        <w:drawing>
          <wp:inline distT="0" distB="0" distL="0" distR="0">
            <wp:extent cx="6120000" cy="3067200"/>
            <wp:docPr id="4771478" name="name45156a75fd3e57b2f" descr="DACU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TR_distribution_map.jpg"/>
                    <pic:cNvPicPr/>
                  </pic:nvPicPr>
                  <pic:blipFill>
                    <a:blip r:embed="rId63076a75fd3e57b2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Victoria, Western Australia), French Polynesia, New Caledonia, New Zealand, Pitcairn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deposited inside fruits by the female puncturing the fruit skin. Three larval stages develop inside the fruit, feeding on the plant tissue. Once mature the third instar larva will leave the fruit, </w:t>
      </w:r>
      <w:r>
        <w:rPr>
          <w:rFonts w:ascii="Calibri" w:hAnsi="Calibri" w:eastAsia="Calibri" w:cs="Calibri"/>
          <w:color w:val="000000"/>
          <w:sz w:val="22"/>
          <w:szCs w:val="22"/>
        </w:rPr>
        <w:t xml:space="preserve">dig down into </w:t>
      </w:r>
      <w:r>
        <w:rPr>
          <w:rFonts w:ascii="Calibri" w:hAnsi="Calibri" w:eastAsia="Calibri" w:cs="Calibri"/>
          <w:color w:val="000000"/>
          <w:sz w:val="22"/>
          <w:szCs w:val="22"/>
        </w:rPr>
        <w:t xml:space="preserve">the soil and turn into a pupa enclosed in a puparium. The adult fly will emerge from the puparium. During summer larvae mature in 7-10 days, while the pupal stage lasts about 10 days. The full life cycle can be completed in 2.5 weeks during summer but will take considerably longer in cooler conditions. A detailed overview of developmental rates and population dynamic models in relation to different weather conditions in Australia, is given in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Models predict 12-15 generations in the tropical parts of Australia, to 3-4 generations in Southern New South Wales (Clarke, 2019). Adults usually live around 80 days but can survive 7 to 8 months when overwintering (Clarke, 2019). The ability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to survive repeated frosts has been studied by Meats &amp; Fitt (1987). In their review of overwintering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state that available data show the fly to overwinter almost exclusively as an adult.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will usually show signs of oviposition punctures. Fruit with a high sugar content, such as peaches, will exude a sugary liquid, which usually solidifies adjacent to the oviposition site.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of Drew, 1989)</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Medium sized (5-8 mm) species; medium sized black facial spots present; humeral calli and notopleural calli yellow; mesonotum red-brown with fuscous markings, mesopleural stripe reaching midway between anterior margin of notopleural callus and anterior npl. bristle, lateral postsutural vittae present, media postsutural vitta absent, scutellum yellow; wing with a narrow fuscous costal band and broad fuscous anal streak, costal cells fuscous, microtrichia covering second costal cell and outer half of first costal cell; abdominal terga III-V generally red-brown with a medial and 2 broad lateral longitudinal fuscous bands over all 3 terga and joined along anterior margin of tergum III; paler forms of the abdomen are often present.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except no dense aggregation of microtrichia around A1+CuA2; supernumerary lobe weak; pecten of cilia on abdominal tergum III absent; ovipositor basal segment red-brown in, dorsoventrally compressed and tapering in dorsal view; ratio of length of oviscape to length of tergum V, 0.53:1; apex of piercer rounded.</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belongs to a species complex (see Drew, 1989) and differentiation between this species and closely related species is difficult and needs expert confirmation. Separation between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neohumeralis</w:t>
      </w:r>
      <w:r>
        <w:rPr>
          <w:rFonts w:ascii="Calibri" w:hAnsi="Calibri" w:eastAsia="Calibri" w:cs="Calibri"/>
          <w:color w:val="000000"/>
          <w:sz w:val="22"/>
          <w:szCs w:val="22"/>
        </w:rPr>
        <w:t xml:space="preserve"> cannot be done reliably on morphological grounds. See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Clarke (2019) for a discussion on the differentiation of species within the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complex.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through DNA barcoding proves to be problematic as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cannot be properly distinguished from a number of closely related species, including </w:t>
      </w:r>
      <w:r>
        <w:rPr>
          <w:rFonts w:ascii="Calibri" w:hAnsi="Calibri" w:eastAsia="Calibri" w:cs="Calibri"/>
          <w:i/>
          <w:iCs/>
          <w:color w:val="000000"/>
          <w:sz w:val="22"/>
          <w:szCs w:val="22"/>
        </w:rPr>
        <w:t xml:space="preserve">B. aquilonis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 neohumeralis</w:t>
      </w:r>
      <w:r>
        <w:rPr>
          <w:rFonts w:ascii="Calibri" w:hAnsi="Calibri" w:eastAsia="Calibri" w:cs="Calibri"/>
          <w:color w:val="000000"/>
          <w:sz w:val="22"/>
          <w:szCs w:val="22"/>
        </w:rPr>
        <w:t xml:space="preserve">. Additionally, the presence of unidentified / possibly misidentified reference sequence in Barcoding Index Number Systems (BINs) in which this species is represented, might also bias its molecular identification. Sequences are available in the </w:t>
      </w:r>
      <w:hyperlink r:id="rId39286a75fd3e58212"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89556a75fd3e5825f"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cue lure (Drew, 1989) and melolure (Royer, 2015).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discuss the efficiency of a visual trap (‘Ladd trap’) for monitoring both sexes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Both sexes can be monitored by traps baited with protein-based attractants.  The trapping system used to monitor for possible introductions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into New Zealand has been described by Cowley (1990).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Meats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established that the dispersal rate was almost always less than 1 km.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is a serious pest of a wide variety of unrelated fruit and vegetable crops (Dominiak, 2012). Sutherst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estimated the annual cost in Australia to be between 25.7 and 49.9 million AUD.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A specific area-wide management approach for this species in Queensland, using bait spraying and Male Annihilation Technique (MAT), and its effects on trap catches and overall fruit fly infestation is given in Lloyd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gives an overview of ecological factors relevant to control techniques, while Clarke (2019) discusses different aspects of management practices used against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Sterile Insect Technique (SIT) application specifically for this species has been deployed at quarantined areas for localized outbreaks (Jessup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is a known pest of several fruit and vegetable crops in the area where it is present. It can be moved in trade with infested fruit. Although several studies were conducted on the present and potential distribution range of this species within Australia including the impact of climate change (e.g. Sutherst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no detailed study has been made on climatic suitability of the EPPO region, and it is unclear whether it could become established in the EPPO region. However, taken into consideration that the species co-occurred with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and displaced the latter in eastern Australia (Dominiak &amp; Mapson, 2017), it is considered likely that </w:t>
      </w:r>
      <w:r>
        <w:rPr>
          <w:rFonts w:ascii="Calibri" w:hAnsi="Calibri" w:eastAsia="Calibri" w:cs="Calibri"/>
          <w:i/>
          <w:iCs/>
          <w:color w:val="000000"/>
          <w:sz w:val="22"/>
          <w:szCs w:val="22"/>
        </w:rPr>
        <w:t xml:space="preserve">B. tryoni </w:t>
      </w:r>
      <w:r>
        <w:rPr>
          <w:rFonts w:ascii="Calibri" w:hAnsi="Calibri" w:eastAsia="Calibri" w:cs="Calibri"/>
          <w:color w:val="000000"/>
          <w:sz w:val="22"/>
          <w:szCs w:val="22"/>
        </w:rPr>
        <w:t xml:space="preserve">could survive in parts of the EPPO region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currently occurs. Transient populations could have impacts on the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tryoni </w:t>
      </w:r>
      <w:r>
        <w:rPr>
          <w:rFonts w:ascii="Calibri" w:hAnsi="Calibri" w:eastAsia="Calibri" w:cs="Calibri"/>
          <w:color w:val="000000"/>
          <w:sz w:val="22"/>
          <w:szCs w:val="22"/>
        </w:rPr>
        <w:t xml:space="preserve">does not occur, or from a place of production found free from the pest by regular inspection for 3 months before harvest. Cold treatment and irradiation are described in the USDA treatment manual (USDA, 2021). Annex 16 to 18 of ISPM 28 Phytosanitary treatments for regulated pests (FAO, 2015) describe a cold treatment for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respectively. Annex 5 of ISPM 28 Phytosanitary treatments for regulated pests (FAO, 2009) describes an irradiation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72346a75fd3e58907" w:history="1">
        <w:r>
          <w:rPr>
            <w:rFonts w:ascii="Calibri" w:hAnsi="Calibri" w:eastAsia="Calibri" w:cs="Calibri"/>
            <w:color w:val="0000CC"/>
            <w:sz w:val="22"/>
            <w:szCs w:val="22"/>
            <w:u w:val="single"/>
          </w:rPr>
          <w:t xml:space="preserve">https://www.delta-intkey.com/ffl/www/bac_tryo.htm</w:t>
        </w:r>
      </w:hyperlink>
      <w:r>
        <w:rPr>
          <w:rFonts w:ascii="Calibri" w:hAnsi="Calibri" w:eastAsia="Calibri" w:cs="Calibri"/>
          <w:color w:val="000000"/>
          <w:sz w:val="22"/>
          <w:szCs w:val="22"/>
        </w:rPr>
        <w:t xml:space="preserve"> [accessed 15/11/2020]</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AR (2019) </w:t>
      </w:r>
      <w:r>
        <w:rPr>
          <w:rFonts w:ascii="Calibri" w:hAnsi="Calibri" w:eastAsia="Calibri" w:cs="Calibri"/>
          <w:i/>
          <w:iCs/>
          <w:color w:val="000000"/>
          <w:sz w:val="22"/>
          <w:szCs w:val="22"/>
        </w:rPr>
        <w:t xml:space="preserve">Biology and Management of </w:t>
      </w:r>
      <w:r>
        <w:rPr>
          <w:rFonts w:ascii="Calibri" w:hAnsi="Calibri" w:eastAsia="Calibri" w:cs="Calibri"/>
          <w:color w:val="000000"/>
          <w:sz w:val="22"/>
          <w:szCs w:val="22"/>
        </w:rPr>
        <w:t xml:space="preserve">Bactrocera</w:t>
      </w:r>
      <w:r>
        <w:rPr>
          <w:rFonts w:ascii="Calibri" w:hAnsi="Calibri" w:eastAsia="Calibri" w:cs="Calibri"/>
          <w:i/>
          <w:iCs/>
          <w:color w:val="000000"/>
          <w:sz w:val="22"/>
          <w:szCs w:val="22"/>
        </w:rPr>
        <w:t xml:space="preserve"> and Related Fruit Flies</w:t>
      </w:r>
      <w:r>
        <w:rPr>
          <w:rFonts w:ascii="Calibri" w:hAnsi="Calibri" w:eastAsia="Calibri" w:cs="Calibri"/>
          <w:color w:val="000000"/>
          <w:sz w:val="22"/>
          <w:szCs w:val="22"/>
        </w:rPr>
        <w:t xml:space="preserve">. CAB International, Wallingford, xiv+254pp</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AR, Powell KS, Weldon CW &amp; Taylor PW (2011) The ecology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what do we know to assist pest management?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26-54.</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AR, Merkel K, Hulthen AD &amp; Schwarzmueller F (2019)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(Froggatt)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overwintering: an overview.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Cowley JM (1990) A new system of fruit fly surveillance trapping in New Zealand.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81-84.</w:t>
      </w:r>
    </w:p>
    <w:p>
      <w:pPr>
        <w:widowControl w:val="on"/>
        <w:pBdr/>
        <w:spacing w:before="220" w:after="220" w:line="240" w:lineRule="auto"/>
        <w:ind w:left="0" w:right="0"/>
        <w:jc w:val="left"/>
      </w:pPr>
      <w:r>
        <w:rPr>
          <w:rFonts w:ascii="Calibri" w:hAnsi="Calibri" w:eastAsia="Calibri" w:cs="Calibri"/>
          <w:color w:val="000000"/>
          <w:sz w:val="22"/>
          <w:szCs w:val="22"/>
        </w:rPr>
        <w:t xml:space="preserve">Dominiak BC (2012) Review of dispersal, survival, and establishment of </w:t>
      </w: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(Diptera: Tephritidae) for quarantine purposes.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434-446.</w:t>
      </w:r>
    </w:p>
    <w:p>
      <w:pPr>
        <w:widowControl w:val="on"/>
        <w:pBdr/>
        <w:spacing w:before="220" w:after="220" w:line="240" w:lineRule="auto"/>
        <w:ind w:left="0" w:right="0"/>
        <w:jc w:val="left"/>
      </w:pPr>
      <w:r>
        <w:rPr>
          <w:rFonts w:ascii="Calibri" w:hAnsi="Calibri" w:eastAsia="Calibri" w:cs="Calibri"/>
          <w:color w:val="000000"/>
          <w:sz w:val="22"/>
          <w:szCs w:val="22"/>
        </w:rPr>
        <w:t xml:space="preserve">Dominiak BC &amp; Mapson R (2017) Revised distribution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in eastern Australia and effect on possible incursions of Mediterranean fruit fly: development of Australia’s eastern trading block.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2459-2465.</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(1989) The tropical fruit flies (Diptera: Tephritidae: Dacinae) of the Australasian and Oceanian regions. </w:t>
      </w:r>
      <w:r>
        <w:rPr>
          <w:rFonts w:ascii="Calibri" w:hAnsi="Calibri" w:eastAsia="Calibri" w:cs="Calibri"/>
          <w:i/>
          <w:iCs/>
          <w:color w:val="000000"/>
          <w:sz w:val="22"/>
          <w:szCs w:val="22"/>
        </w:rPr>
        <w:t xml:space="preserve">Memoirs of the Queensland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59626a75fd3e58d7e"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(2009) Annex 5 Irradiation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Rome, IPPC, FAO. </w:t>
      </w:r>
      <w:hyperlink r:id="rId72156a75fd3e58dd5" w:history="1">
        <w:r>
          <w:rPr>
            <w:rFonts w:ascii="Calibri" w:hAnsi="Calibri" w:eastAsia="Calibri" w:cs="Calibri"/>
            <w:color w:val="0000CC"/>
            <w:sz w:val="22"/>
            <w:szCs w:val="22"/>
            <w:u w:val="single"/>
          </w:rPr>
          <w:t xml:space="preserve">https://assets.ippc.int/static/media/files/publication/en/2016/06/PT_05_2009_En_2016-04-22_PostCPM11_InkAm.pdf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(2015a) Annex 16 Cold treatment for </w:t>
      </w: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Rome, IPPC, FAO. </w:t>
      </w:r>
      <w:hyperlink r:id="rId44496a75fd3e58e4e" w:history="1">
        <w:r>
          <w:rPr>
            <w:rFonts w:ascii="Calibri" w:hAnsi="Calibri" w:eastAsia="Calibri" w:cs="Calibri"/>
            <w:color w:val="0000CC"/>
            <w:sz w:val="22"/>
            <w:szCs w:val="22"/>
            <w:u w:val="single"/>
          </w:rPr>
          <w:t xml:space="preserve">https://assets.ippc.int/static/media/files/publication/en/2016/06/PT_17_2015_En_2016-05-27_PostCPM11_InkAm.pdf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(2015b) Annex 17 Cold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Rome, IPPC, FAO. </w:t>
      </w:r>
      <w:hyperlink r:id="rId58756a75fd3e58ee0" w:history="1">
        <w:r>
          <w:rPr>
            <w:rFonts w:ascii="Calibri" w:hAnsi="Calibri" w:eastAsia="Calibri" w:cs="Calibri"/>
            <w:color w:val="0000CC"/>
            <w:sz w:val="22"/>
            <w:szCs w:val="22"/>
            <w:u w:val="single"/>
          </w:rPr>
          <w:t xml:space="preserve">https://assets.ippc.int/static/media/files/publication/en/2016/06/PT_17_2015_En_2016-05-27_PostCPM11_InkAm.pdf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(2015c) Annex 18 Cold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Rome, IPPC, FAO. </w:t>
      </w:r>
      <w:hyperlink r:id="rId23106a75fd3e58f60" w:history="1">
        <w:r>
          <w:rPr>
            <w:rFonts w:ascii="Calibri" w:hAnsi="Calibri" w:eastAsia="Calibri" w:cs="Calibri"/>
            <w:color w:val="0000CC"/>
            <w:sz w:val="22"/>
            <w:szCs w:val="22"/>
            <w:u w:val="single"/>
          </w:rPr>
          <w:t xml:space="preserve">https://assets.ippc.int/static/media/files/publication/en/2016/06/PT_17_2015_En_2016-05-27_PostCPM11_InkAm.pdf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Fitt GP (1986) The roles of adult and larval specialisations in limiting the occurrence of five species of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in cultivated fruits.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101-109.</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Hamacek EL, Lloyd AC &amp; Elson-Harris MM (2000) </w:t>
      </w:r>
      <w:r>
        <w:rPr>
          <w:rFonts w:ascii="Calibri" w:hAnsi="Calibri" w:eastAsia="Calibri" w:cs="Calibri"/>
          <w:i/>
          <w:iCs/>
          <w:color w:val="000000"/>
          <w:sz w:val="22"/>
          <w:szCs w:val="22"/>
        </w:rPr>
        <w:t xml:space="preserve">The Distribution and Host Plants of Fruit Flies (Diptera: Tephritidae) in Australia</w:t>
      </w:r>
      <w:r>
        <w:rPr>
          <w:rFonts w:ascii="Calibri" w:hAnsi="Calibri" w:eastAsia="Calibri" w:cs="Calibri"/>
          <w:color w:val="000000"/>
          <w:sz w:val="22"/>
          <w:szCs w:val="22"/>
        </w:rPr>
        <w:t xml:space="preserve">. DPI Publications, Brisbane (Australia), 75 pp</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Jessup AJ, Dominiak B, Woods B, de Lima CBF, Tomkins A &amp; Smallridge CJ (2007) Area-wide management of fruit flies in Australia. In </w:t>
      </w:r>
      <w:r>
        <w:rPr>
          <w:rFonts w:ascii="Calibri" w:hAnsi="Calibri" w:eastAsia="Calibri" w:cs="Calibri"/>
          <w:i/>
          <w:iCs/>
          <w:color w:val="000000"/>
          <w:sz w:val="22"/>
          <w:szCs w:val="22"/>
        </w:rPr>
        <w:t xml:space="preserve">Area-wide Control of Insect Pests: from Research to Field Implementation</w:t>
      </w:r>
      <w:r>
        <w:rPr>
          <w:rFonts w:ascii="Calibri" w:hAnsi="Calibri" w:eastAsia="Calibri" w:cs="Calibri"/>
          <w:color w:val="000000"/>
          <w:sz w:val="22"/>
          <w:szCs w:val="22"/>
        </w:rPr>
        <w:t xml:space="preserve"> (Eds Vreysen MJB, Robinson AS &amp; Hendrich J), pp 685-697.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Leblanc L, Vueti ET, Drew RAI &amp; Allwood AJ (2012) Host plant records for fruit flies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Dacini</w:t>
      </w:r>
      <w:r>
        <w:rPr>
          <w:rFonts w:ascii="Calibri" w:hAnsi="Calibri" w:eastAsia="Calibri" w:cs="Calibri"/>
          <w:color w:val="000000"/>
          <w:sz w:val="22"/>
          <w:szCs w:val="22"/>
        </w:rPr>
        <w:t xml:space="preserve">) in the Pacific Islands. </w:t>
      </w:r>
      <w:r>
        <w:rPr>
          <w:rFonts w:ascii="Calibri" w:hAnsi="Calibri" w:eastAsia="Calibri" w:cs="Calibri"/>
          <w:i/>
          <w:iCs/>
          <w:color w:val="000000"/>
          <w:sz w:val="22"/>
          <w:szCs w:val="22"/>
        </w:rPr>
        <w:t xml:space="preserve">Proceedings of the Hawaiian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11-53.</w:t>
      </w:r>
    </w:p>
    <w:p>
      <w:pPr>
        <w:widowControl w:val="on"/>
        <w:pBdr/>
        <w:spacing w:before="220" w:after="220" w:line="240" w:lineRule="auto"/>
        <w:ind w:left="0" w:right="0"/>
        <w:jc w:val="left"/>
      </w:pPr>
      <w:r>
        <w:rPr>
          <w:rFonts w:ascii="Calibri" w:hAnsi="Calibri" w:eastAsia="Calibri" w:cs="Calibri"/>
          <w:color w:val="000000"/>
          <w:sz w:val="22"/>
          <w:szCs w:val="22"/>
        </w:rPr>
        <w:t xml:space="preserve">Lloyd AC, Hamacek EL, Kopittke RA, Peek T, Wyatt PM, Neale CJ, Eelkema M &amp; Gu NG (2010) Area-wide management of fruit flies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in the Central Burnett District of Queensland, Australia.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462-469.</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 &amp; Fitt GP (1987) Survival of repeated frosts by the Queensland fruit fly, </w:t>
      </w:r>
      <w:r>
        <w:rPr>
          <w:rFonts w:ascii="Calibri" w:hAnsi="Calibri" w:eastAsia="Calibri" w:cs="Calibri"/>
          <w:i/>
          <w:iCs/>
          <w:color w:val="000000"/>
          <w:sz w:val="22"/>
          <w:szCs w:val="22"/>
        </w:rPr>
        <w:t xml:space="preserve">Dacus tryoni</w:t>
      </w:r>
      <w:r>
        <w:rPr>
          <w:rFonts w:ascii="Calibri" w:hAnsi="Calibri" w:eastAsia="Calibri" w:cs="Calibri"/>
          <w:color w:val="000000"/>
          <w:sz w:val="22"/>
          <w:szCs w:val="22"/>
        </w:rPr>
        <w:t xml:space="preserve">: experiments in laboratory simulated climates with either step or ramp fluctuations of temperature.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9-16.</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AW, Clift AD &amp; Robson MK (2003) Incipient founder populations of Mediterranean and Queensland fruit flies in Australia: the relation of trap catch to infestation radius and models for quarantine radius. </w:t>
      </w:r>
      <w:r>
        <w:rPr>
          <w:rFonts w:ascii="Calibri" w:hAnsi="Calibri" w:eastAsia="Calibri" w:cs="Calibri"/>
          <w:i/>
          <w:iCs/>
          <w:color w:val="000000"/>
          <w:sz w:val="22"/>
          <w:szCs w:val="22"/>
        </w:rPr>
        <w:t xml:space="preserve">Australian Journal of Experimental Agriculture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397-406.</w:t>
      </w:r>
    </w:p>
    <w:p>
      <w:pPr>
        <w:widowControl w:val="on"/>
        <w:pBdr/>
        <w:spacing w:before="220" w:after="220" w:line="240" w:lineRule="auto"/>
        <w:ind w:left="0" w:right="0"/>
        <w:jc w:val="left"/>
      </w:pPr>
      <w:r>
        <w:rPr>
          <w:rFonts w:ascii="Calibri" w:hAnsi="Calibri" w:eastAsia="Calibri" w:cs="Calibri"/>
          <w:color w:val="000000"/>
          <w:sz w:val="22"/>
          <w:szCs w:val="22"/>
        </w:rPr>
        <w:t xml:space="preserve">Royer JE (2015) Responses of fruit flies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Dacinae</w:t>
      </w:r>
      <w:r>
        <w:rPr>
          <w:rFonts w:ascii="Calibri" w:hAnsi="Calibri" w:eastAsia="Calibri" w:cs="Calibri"/>
          <w:color w:val="000000"/>
          <w:sz w:val="22"/>
          <w:szCs w:val="22"/>
        </w:rPr>
        <w:t xml:space="preserve">) to novel male attractants in north Queensland, Australia, and improved lures for some pest species.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411-426.</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Cribb BW, Cunningham JP, Newman J, Peek T &amp; Clarke AR (2016) ‘Ladd traps’ as a visual trap for male and female Queensland fruit fly,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324-329.</w:t>
      </w:r>
    </w:p>
    <w:p>
      <w:pPr>
        <w:widowControl w:val="on"/>
        <w:pBdr/>
        <w:spacing w:before="220" w:after="220" w:line="240" w:lineRule="auto"/>
        <w:ind w:left="0" w:right="0"/>
        <w:jc w:val="left"/>
      </w:pPr>
      <w:r>
        <w:rPr>
          <w:rFonts w:ascii="Calibri" w:hAnsi="Calibri" w:eastAsia="Calibri" w:cs="Calibri"/>
          <w:color w:val="000000"/>
          <w:sz w:val="22"/>
          <w:szCs w:val="22"/>
        </w:rPr>
        <w:t xml:space="preserve">Sutherst RW, Collyer BS &amp; Yonow T (2000) The vulnerability of Australian horticulture to the Queensland fruit fly, </w:t>
      </w:r>
      <w:r>
        <w:rPr>
          <w:rFonts w:ascii="Calibri" w:hAnsi="Calibri" w:eastAsia="Calibri" w:cs="Calibri"/>
          <w:i/>
          <w:iCs/>
          <w:color w:val="000000"/>
          <w:sz w:val="22"/>
          <w:szCs w:val="22"/>
        </w:rPr>
        <w:t xml:space="preserve">Bactrocera (Dacus) tryoni</w:t>
      </w:r>
      <w:r>
        <w:rPr>
          <w:rFonts w:ascii="Calibri" w:hAnsi="Calibri" w:eastAsia="Calibri" w:cs="Calibri"/>
          <w:color w:val="000000"/>
          <w:sz w:val="22"/>
          <w:szCs w:val="22"/>
        </w:rPr>
        <w:t xml:space="preserve">, under climate change. </w:t>
      </w:r>
      <w:r>
        <w:rPr>
          <w:rFonts w:ascii="Calibri" w:hAnsi="Calibri" w:eastAsia="Calibri" w:cs="Calibri"/>
          <w:i/>
          <w:iCs/>
          <w:color w:val="000000"/>
          <w:sz w:val="22"/>
          <w:szCs w:val="22"/>
        </w:rPr>
        <w:t xml:space="preserve">Australian Journal of Agricultural Research </w:t>
      </w:r>
      <w:r>
        <w:rPr>
          <w:rFonts w:ascii="Calibri" w:hAnsi="Calibri" w:eastAsia="Calibri" w:cs="Calibri"/>
          <w:b/>
          <w:bCs/>
          <w:color w:val="000000"/>
          <w:sz w:val="22"/>
          <w:szCs w:val="22"/>
        </w:rPr>
        <w:t xml:space="preserve">51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467-480.</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49196a75fd3e59514"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color w:val="000000"/>
          <w:sz w:val="22"/>
          <w:szCs w:val="22"/>
        </w:rPr>
        <w:t xml:space="preserve">Yonow T, Zalucki MP, Sutherst RW, Dominiak BC, Maywald GF, Maelzer DA &amp; Kriticos DJ (2004) Modelling the population dynamics of the Queensland fruit fly,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a cohort-based approach incorporating the effects of weather. </w:t>
      </w:r>
      <w:r>
        <w:rPr>
          <w:rFonts w:ascii="Calibri" w:hAnsi="Calibri" w:eastAsia="Calibri" w:cs="Calibri"/>
          <w:i/>
          <w:iCs/>
          <w:color w:val="000000"/>
          <w:sz w:val="22"/>
          <w:szCs w:val="22"/>
        </w:rPr>
        <w:t xml:space="preserve">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173</w:t>
      </w:r>
      <w:r>
        <w:rPr>
          <w:rFonts w:ascii="Calibri" w:hAnsi="Calibri" w:eastAsia="Calibri" w:cs="Calibri"/>
          <w:color w:val="000000"/>
          <w:sz w:val="22"/>
          <w:szCs w:val="22"/>
        </w:rPr>
        <w:t xml:space="preserve">, 9-30.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0646a75fd3e596f9" w:history="1">
        <w:r>
          <w:rPr>
            <w:rFonts w:ascii="Calibri" w:hAnsi="Calibri" w:eastAsia="Calibri" w:cs="Calibri"/>
            <w:color w:val="0000CC"/>
            <w:sz w:val="22"/>
            <w:szCs w:val="22"/>
            <w:u w:val="single"/>
          </w:rPr>
          <w:t xml:space="preserve">https://www.cabi.org/isc/datasheet/17693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EPPO datasheets on pests recommended for regulation. Available online. </w:t>
      </w:r>
      <w:hyperlink r:id="rId74176a75fd3e597b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45536a75fd3e59941"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2189026" name="name78686a75fd3e59bb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276a75fd3e59bb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830434">
    <w:multiLevelType w:val="hybridMultilevel"/>
    <w:lvl w:ilvl="0" w:tplc="58743170">
      <w:start w:val="1"/>
      <w:numFmt w:val="decimal"/>
      <w:lvlText w:val="%1."/>
      <w:lvlJc w:val="left"/>
      <w:pPr>
        <w:ind w:left="720" w:hanging="360"/>
      </w:pPr>
    </w:lvl>
    <w:lvl w:ilvl="1" w:tplc="58743170" w:tentative="1">
      <w:start w:val="1"/>
      <w:numFmt w:val="lowerLetter"/>
      <w:lvlText w:val="%2."/>
      <w:lvlJc w:val="left"/>
      <w:pPr>
        <w:ind w:left="1440" w:hanging="360"/>
      </w:pPr>
    </w:lvl>
    <w:lvl w:ilvl="2" w:tplc="58743170" w:tentative="1">
      <w:start w:val="1"/>
      <w:numFmt w:val="lowerRoman"/>
      <w:lvlText w:val="%3."/>
      <w:lvlJc w:val="right"/>
      <w:pPr>
        <w:ind w:left="2160" w:hanging="180"/>
      </w:pPr>
    </w:lvl>
    <w:lvl w:ilvl="3" w:tplc="58743170" w:tentative="1">
      <w:start w:val="1"/>
      <w:numFmt w:val="decimal"/>
      <w:lvlText w:val="%4."/>
      <w:lvlJc w:val="left"/>
      <w:pPr>
        <w:ind w:left="2880" w:hanging="360"/>
      </w:pPr>
    </w:lvl>
    <w:lvl w:ilvl="4" w:tplc="58743170" w:tentative="1">
      <w:start w:val="1"/>
      <w:numFmt w:val="lowerLetter"/>
      <w:lvlText w:val="%5."/>
      <w:lvlJc w:val="left"/>
      <w:pPr>
        <w:ind w:left="3600" w:hanging="360"/>
      </w:pPr>
    </w:lvl>
    <w:lvl w:ilvl="5" w:tplc="58743170" w:tentative="1">
      <w:start w:val="1"/>
      <w:numFmt w:val="lowerRoman"/>
      <w:lvlText w:val="%6."/>
      <w:lvlJc w:val="right"/>
      <w:pPr>
        <w:ind w:left="4320" w:hanging="180"/>
      </w:pPr>
    </w:lvl>
    <w:lvl w:ilvl="6" w:tplc="58743170" w:tentative="1">
      <w:start w:val="1"/>
      <w:numFmt w:val="decimal"/>
      <w:lvlText w:val="%7."/>
      <w:lvlJc w:val="left"/>
      <w:pPr>
        <w:ind w:left="5040" w:hanging="360"/>
      </w:pPr>
    </w:lvl>
    <w:lvl w:ilvl="7" w:tplc="58743170" w:tentative="1">
      <w:start w:val="1"/>
      <w:numFmt w:val="lowerLetter"/>
      <w:lvlText w:val="%8."/>
      <w:lvlJc w:val="left"/>
      <w:pPr>
        <w:ind w:left="5760" w:hanging="360"/>
      </w:pPr>
    </w:lvl>
    <w:lvl w:ilvl="8" w:tplc="58743170" w:tentative="1">
      <w:start w:val="1"/>
      <w:numFmt w:val="lowerRoman"/>
      <w:lvlText w:val="%9."/>
      <w:lvlJc w:val="right"/>
      <w:pPr>
        <w:ind w:left="6480" w:hanging="180"/>
      </w:pPr>
    </w:lvl>
  </w:abstractNum>
  <w:abstractNum w:abstractNumId="86830433">
    <w:multiLevelType w:val="hybridMultilevel"/>
    <w:lvl w:ilvl="0" w:tplc="750002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830433">
    <w:abstractNumId w:val="86830433"/>
  </w:num>
  <w:num w:numId="86830434">
    <w:abstractNumId w:val="868304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4841935" Type="http://schemas.microsoft.com/office/2011/relationships/commentsExtended" Target="commentsExtended.xml"/><Relationship Id="rId101267034" Type="http://schemas.microsoft.com/office/2011/relationships/people" Target="people.xml"/><Relationship Id="rId69296a75fd3e548ba" Type="http://schemas.openxmlformats.org/officeDocument/2006/relationships/hyperlink" Target="https://gd.eppo.int/taxon/DACUTR/" TargetMode="External"/><Relationship Id="rId78456a75fd3e54924" Type="http://schemas.openxmlformats.org/officeDocument/2006/relationships/hyperlink" Target="https://gd.eppo.int/taxon/DACUTR/categorization" TargetMode="External"/><Relationship Id="rId39286a75fd3e58212" Type="http://schemas.openxmlformats.org/officeDocument/2006/relationships/hyperlink" Target="http://www.boldsystems.org/index.php/TaxBrowser_TaxonPage?taxid=78910" TargetMode="External"/><Relationship Id="rId89556a75fd3e5825f" Type="http://schemas.openxmlformats.org/officeDocument/2006/relationships/hyperlink" Target="https://qbank.eppo.int/arthropods/taxon/DACUTR/" TargetMode="External"/><Relationship Id="rId72346a75fd3e58907" Type="http://schemas.openxmlformats.org/officeDocument/2006/relationships/hyperlink" Target="https://www.delta-intkey.com/ffl/www/bac_tryo.htm" TargetMode="External"/><Relationship Id="rId59626a75fd3e58d7e" Type="http://schemas.openxmlformats.org/officeDocument/2006/relationships/hyperlink" Target="https://doi.org/10.2903/j.efsa.2020.5931" TargetMode="External"/><Relationship Id="rId72156a75fd3e58dd5" Type="http://schemas.openxmlformats.org/officeDocument/2006/relationships/hyperlink" Target="https://assets.ippc.int/static/media/files/publication/en/2016/06/PT_05_2009_En_2016-04-22_PostCPM11_InkAm.pdf" TargetMode="External"/><Relationship Id="rId44496a75fd3e58e4e" Type="http://schemas.openxmlformats.org/officeDocument/2006/relationships/hyperlink" Target="https://assets.ippc.int/static/media/files/publication/en/2016/06/PT_17_2015_En_2016-05-27_PostCPM11_InkAm.pdf" TargetMode="External"/><Relationship Id="rId58756a75fd3e58ee0" Type="http://schemas.openxmlformats.org/officeDocument/2006/relationships/hyperlink" Target="https://assets.ippc.int/static/media/files/publication/en/2016/06/PT_17_2015_En_2016-05-27_PostCPM11_InkAm.pdf" TargetMode="External"/><Relationship Id="rId23106a75fd3e58f60" Type="http://schemas.openxmlformats.org/officeDocument/2006/relationships/hyperlink" Target="https://assets.ippc.int/static/media/files/publication/en/2016/06/PT_17_2015_En_2016-05-27_PostCPM11_InkAm.pdf" TargetMode="External"/><Relationship Id="rId49196a75fd3e59514" Type="http://schemas.openxmlformats.org/officeDocument/2006/relationships/hyperlink" Target="https://www.aphis.usda.gov/import_export/plants/manuals/ports/downloads/treatment.pdf" TargetMode="External"/><Relationship Id="rId20646a75fd3e596f9" Type="http://schemas.openxmlformats.org/officeDocument/2006/relationships/hyperlink" Target="https://www.cabi.org/isc/datasheet/17693" TargetMode="External"/><Relationship Id="rId74176a75fd3e597b1" Type="http://schemas.openxmlformats.org/officeDocument/2006/relationships/hyperlink" Target="https://gd.eppo.int" TargetMode="External"/><Relationship Id="rId45536a75fd3e59941" Type="http://schemas.openxmlformats.org/officeDocument/2006/relationships/hyperlink" Target="https://doi.org/10.1111/j.1365-2338.1983.tb01715.x" TargetMode="External"/><Relationship Id="rId63076a75fd3e57b2c" Type="http://schemas.openxmlformats.org/officeDocument/2006/relationships/image" Target="media/imgrId63076a75fd3e57b2c.jpg"/><Relationship Id="rId33276a75fd3e59bbd" Type="http://schemas.openxmlformats.org/officeDocument/2006/relationships/image" Target="media/imgrId33276a75fd3e59bb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