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Bactrocera tryoni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2021-04-28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Bactrocera tryoni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(Froggatt)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Tephritidae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Chaetodacus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Dacus ferrugineus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Dacus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Strumeta tryoni</w:t>
            </w:r>
            <w:r>
              <w:rPr>
                <w:rFonts w:ascii="Calibri" w:hAnsi="Calibri" w:eastAsia="Calibri" w:cs="Calibri"/>
                <w:color w:val="000000"/>
                <w:position w:val="-3"/>
                <w:sz w:val="22"/>
                <w:szCs w:val="22"/>
              </w:rPr>
              <w:t xml:space="preserve"> (Froggatt), </w:t>
            </w:r>
            <w:r>
              <w:rPr>
                <w:rFonts w:ascii="Calibri" w:hAnsi="Calibri" w:eastAsia="Calibri" w:cs="Calibri"/>
                <w:i/>
                <w:iCs/>
                <w:color w:val="000000"/>
                <w:position w:val="-3"/>
                <w:sz w:val="22"/>
                <w:szCs w:val="22"/>
              </w:rPr>
              <w:t xml:space="preserve">Tephritis tryoni</w:t>
            </w:r>
            <w:r>
              <w:rPr>
                <w:rFonts w:ascii="Calibri" w:hAnsi="Calibri" w:eastAsia="Calibri" w:cs="Calibri"/>
                <w:color w:val="000000"/>
                <w:position w:val="-3"/>
                <w:sz w:val="22"/>
                <w:szCs w:val="22"/>
              </w:rPr>
              <w:t xml:space="preserve"> Froggatt</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Queensland fruit fly</w:t>
            </w:r>
            <w:hyperlink r:id="rId61416a90c6fc5ab2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51466a90c6fc5ab9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DACUTR</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belongs to a species complex (see Drew, 1989) and differentiation between this species and closely related species is difficult and needs expert confirmation. Separation between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neohumeralis</w:t>
      </w:r>
      <w:r>
        <w:rPr>
          <w:rFonts w:ascii="Calibri" w:hAnsi="Calibri" w:eastAsia="Calibri" w:cs="Calibri"/>
          <w:color w:val="000000"/>
          <w:sz w:val="22"/>
          <w:szCs w:val="22"/>
        </w:rPr>
        <w:t xml:space="preserve"> cannot be done reliably on morphological grounds. See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Clarke (2019) for a discussion on the differentiation of species within the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complex.</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 wide range of hosts. In Australia, it has been reported from 234 plant species, belonging to 49 different families, according to the catalogue compiled by Hancock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Leblanc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gives a list of host plant records for the adventive populations in Pacific Islands. In total, it is reported from more than 250 different hosts. Fitt (1986) states that adults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exhibit no particular preference in the species of fruits on which they will lay eggs, but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argue that data on relative susceptibility are largely missing. The main hosts of interest are fruit trees: </w:t>
      </w:r>
      <w:r>
        <w:rPr>
          <w:rFonts w:ascii="Calibri" w:hAnsi="Calibri" w:eastAsia="Calibri" w:cs="Calibri"/>
          <w:i/>
          <w:iCs/>
          <w:color w:val="000000"/>
          <w:sz w:val="22"/>
          <w:szCs w:val="22"/>
        </w:rPr>
        <w:t xml:space="preserve">Annona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avocados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guavas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mangoes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passion fruits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pawpaws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peaches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plums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However, vegetables such as tomatoes (</w:t>
      </w:r>
      <w:r>
        <w:rPr>
          <w:rFonts w:ascii="Calibri" w:hAnsi="Calibri" w:eastAsia="Calibri" w:cs="Calibri"/>
          <w:i/>
          <w:iCs/>
          <w:color w:val="000000"/>
          <w:sz w:val="22"/>
          <w:szCs w:val="22"/>
        </w:rPr>
        <w:t xml:space="preserve">Lycopersicon esculentum</w:t>
      </w:r>
      <w:r>
        <w:rPr>
          <w:rFonts w:ascii="Calibri" w:hAnsi="Calibri" w:eastAsia="Calibri" w:cs="Calibri"/>
          <w:color w:val="000000"/>
          <w:sz w:val="22"/>
          <w:szCs w:val="22"/>
        </w:rPr>
        <w:t xml:space="preserve">) are also infested. Many tree fruit crops of the EPPO region are potential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acidula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laevis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Acronychia vestita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Aegle marmelos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Aglaia sapindina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Alyxia ruscifolia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Amorphospermum antilogum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Anacardium occidentale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squamosa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x atemoya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altilis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heterophyllus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Artocarpus odoratissimus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bilimbi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Averrhoa carambola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calyptrata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Barringtonia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Beilschmiedia obtusifolia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Blighia sapida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Bouea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Calophyllum inophyllum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Cananga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lucida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mitchellii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Capparis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Carallia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Carissa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Cascabela thevetia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tetrameria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Castanospermum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Castanospora alphandii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Chrysophyllum cainito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antarctica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Cissus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glauca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lansium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Cryptocarya erythroxylon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Davidsonia pruriens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Dimocarpus longan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ebenum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mespiliformis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Diplocyclos palmatus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Dovyalis caffra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Drypetes deplanchei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angustifolius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Elaeocarpus bancroftii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Elaeodendron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compressa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cowleyana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discolor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longipedicellata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microneura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sankeyana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Endiandra wolfei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dombeyi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reinwardtiana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Eugenia uniflora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Fagraea gracilipes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Feijoa sellowiana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carica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leptoclada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pancheriana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racemosa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inermis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jangomas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Flacourtia rukam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crassifolia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Ganophyllum falcatum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Garcinia warrenii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Glochidion harveyanum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Grewia asiatica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Hernandia cordigera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Huberantha nitidissima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Inocarpus fagifer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Litchi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Maclura cochinchinensis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Malpighia glabra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Manilkara zapota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Melastoma malabathricum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Melodorum leichhardtii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Mimusops elengi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Morinda citrifolia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Morus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troglodytarum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Nauclea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Nerium oleander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Niemeyera chartacea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Niemeyera prunifera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Normanbya normanbyi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Notelaea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elliptica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Ochrosia moorei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ficus-indica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Opuntia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Owenia venosa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aurantia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 f. flavicarpa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laurifolia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quadrangularis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suberosa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subpeltata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Phaleria clerodendron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 dactylifera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acidus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ferdinandi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myrsinodendron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pohlmaniana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Planchonella sphaerocarpa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Planchonia careya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Pleiogynium cerasiferum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Pleioluma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Plinia cauliflora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Polyalthia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Pometia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Pourouma cecropiifolia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caimito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campechiana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Pouteria sapota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Premna serratifolia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acutangulum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cattleyanum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guineense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Punica granatum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pyrifolia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Rhamnella vitiensis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Rhodamnia sessiliflora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Ripogonum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Rollinia mucosa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fruticosus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loganobaccus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Salacia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Sandoricum koetjape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Santalum lanceolatum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Scaevola taccada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Schizomeria 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Semecarpus australiensis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Siphonodon australis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betaceum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laciniatum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mauritianum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seaforthianum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Spondias mombin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Synsepalum dulcificum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alliiligneum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angophoroides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australe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canicortex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claviflorum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coarctatum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cormiflorum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corynanthum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cumini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erythrocalyx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fibrosum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forte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graveolens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hemilamprum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jambos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kuranda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luehmannii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malaccense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puberulum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resa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rubrimolle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samarangense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smithii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suborbiculare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tierneyanum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xerampelinum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arenicola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aridicola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catappa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ferdinandiana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melanocarpa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muelleri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platyphylla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sericocarpa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Terminalia subacroptera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 var. anguina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labrusca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Ximenia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Ziziphus mauritiana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This species is found in Eastern Australia, from the Northern Territory, and Queensland southwards to New South Wales and the eastern part of Victoria. It is also reported from the Torres Strait Islands. See Dominiak &amp; Mapson (2017) for a review of the distribution in Eastern Australia. It was introduced and became established in French Polynesia, New Caledonia, and Pitcairn Island (Leblanc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It has been introduced in other areas but eradicated.</w:t>
      </w:r>
    </w:p>
    <w:p>
      <w:r>
        <w:drawing>
          <wp:inline distT="0" distB="0" distL="0" distR="0">
            <wp:extent cx="6120000" cy="3067200"/>
            <wp:docPr id="11547437" name="name34466a90c6fc5e1cb" descr="DACU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UTR_distribution_map.jpg"/>
                    <pic:cNvPicPr/>
                  </pic:nvPicPr>
                  <pic:blipFill>
                    <a:blip r:embed="rId33576a90c6fc5e1c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Western Australia), French Polynesia, New Caledonia, New Zealand, Pitcairn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general life cycle is similar to those of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 infesting fruits: eggs are deposited inside fruits by the female puncturing the fruit skin. Three larval stages develop inside the fruit, feeding on the plant tissue. Once mature the third instar larva will leave the fruit, </w:t>
      </w:r>
      <w:r>
        <w:rPr>
          <w:rFonts w:ascii="Calibri" w:hAnsi="Calibri" w:eastAsia="Calibri" w:cs="Calibri"/>
          <w:color w:val="000000"/>
          <w:sz w:val="22"/>
          <w:szCs w:val="22"/>
        </w:rPr>
        <w:t xml:space="preserve">dig down into </w:t>
      </w:r>
      <w:r>
        <w:rPr>
          <w:rFonts w:ascii="Calibri" w:hAnsi="Calibri" w:eastAsia="Calibri" w:cs="Calibri"/>
          <w:color w:val="000000"/>
          <w:sz w:val="22"/>
          <w:szCs w:val="22"/>
        </w:rPr>
        <w:t xml:space="preserve">the soil and turn into a pupa enclosed in a puparium. The adult fly will emerge from the puparium. During summer larvae mature in 7-10 days, while the pupal stage lasts about 10 days. The full life cycle can be completed in 2.5 weeks during summer but will take considerably longer in cooler conditions. A detailed overview of developmental rates and population dynamic models in relation to different weather conditions in Australia, is given in Yonow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Models predict 12-15 generations in the tropical parts of Australia, to 3-4 generations in Southern New South Wales (Clarke, 2019). Adults usually live around 80 days but can survive 7 to 8 months when overwintering (Clarke, 2019). The ability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to survive repeated frosts has been studied by Meats &amp; Fitt (1987). In their review of overwintering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state that available data show the fly to overwinter almost exclusively as an adult.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Attacked fruit will usually show signs of oviposition punctures. Fruit with a high sugar content, such as peaches, will exude a sugary liquid, which usually solidifies adjacent to the oviposition site.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Fruit fly larvae in general have a typical shape, i.e., cylindrical maggot-shape, elongate, anterior end narrowed and somewhat recurved ventrally, with anterior mouth hooks, and flattened caudal end. Their length varies from 5 to 15 mm. Identification to species level is not possible based on larvae. The 3rd-instar larvae have been described by White &amp; Elson-Harris (1992) and Carroll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(2004). The former work provides a key to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-instar larvae which is useful for an identification to genus level.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(after diagnostic description of Drew, 1989)</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Male</w:t>
      </w:r>
    </w:p>
    <w:p>
      <w:pPr>
        <w:widowControl w:val="on"/>
        <w:pBdr/>
        <w:spacing w:before="220" w:after="220" w:line="240" w:lineRule="auto"/>
        <w:ind w:left="0" w:right="0"/>
        <w:jc w:val="both"/>
      </w:pPr>
      <w:r>
        <w:rPr>
          <w:rFonts w:ascii="Calibri" w:hAnsi="Calibri" w:eastAsia="Calibri" w:cs="Calibri"/>
          <w:color w:val="000000"/>
          <w:sz w:val="22"/>
          <w:szCs w:val="22"/>
        </w:rPr>
        <w:t xml:space="preserve">Medium sized (5-8 mm) species; medium sized black facial spots present; humeral calli and notopleural calli yellow; mesonotum red-brown with fuscous markings, mesopleural stripe reaching midway between anterior margin of notopleural callus and anterior npl. bristle, lateral postsutural vittae present, media postsutural vitta absent, scutellum yellow; wing with a narrow fuscous costal band and broad fuscous anal streak, costal cells fuscous, microtrichia covering second costal cell and outer half of first costal cell; abdominal terga III-V generally red-brown with a medial and 2 broad lateral longitudinal fuscous bands over all 3 terga and joined along anterior margin of tergum III; paler forms of the abdomen are often present. </w:t>
      </w:r>
    </w:p>
    <w:p>
      <w:pPr>
        <w:widowControl w:val="on"/>
        <w:pBdr/>
        <w:spacing w:before="220" w:after="220" w:line="240" w:lineRule="auto"/>
        <w:ind w:left="0" w:right="0"/>
        <w:jc w:val="both"/>
      </w:pPr>
      <w:r>
        <w:rPr>
          <w:rFonts w:ascii="Calibri" w:hAnsi="Calibri" w:eastAsia="Calibri" w:cs="Calibri"/>
          <w:color w:val="000000"/>
          <w:sz w:val="22"/>
          <w:szCs w:val="22"/>
          <w:u w:val="single"/>
        </w:rPr>
        <w:t xml:space="preserve">Female</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male except no dense aggregation of microtrichia around A1+CuA2; supernumerary lobe weak; pecten of cilia on abdominal tergum III absent; ovipositor basal segment red-brown in, dorsoventrally compressed and tapering in dorsal view; ratio of length of oviscape to length of tergum V, 0.53:1; apex of piercer rounded.</w:t>
      </w:r>
    </w:p>
    <w:p>
      <w:pPr>
        <w:widowControl w:val="on"/>
        <w:pBdr/>
        <w:spacing w:before="220" w:after="220" w:line="240" w:lineRule="auto"/>
        <w:ind w:left="0" w:right="0"/>
        <w:jc w:val="both"/>
      </w:pPr>
      <w:r>
        <w:rPr>
          <w:rFonts w:ascii="Calibri" w:hAnsi="Calibri" w:eastAsia="Calibri" w:cs="Calibri"/>
          <w:color w:val="000000"/>
          <w:sz w:val="22"/>
          <w:szCs w:val="22"/>
        </w:rPr>
        <w:t xml:space="preserve">Remark: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belongs to a species complex (see Drew, 1989) and differentiation between this species and closely related species is difficult and needs expert confirmation. Separation between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B. neohumeralis</w:t>
      </w:r>
      <w:r>
        <w:rPr>
          <w:rFonts w:ascii="Calibri" w:hAnsi="Calibri" w:eastAsia="Calibri" w:cs="Calibri"/>
          <w:color w:val="000000"/>
          <w:sz w:val="22"/>
          <w:szCs w:val="22"/>
        </w:rPr>
        <w:t xml:space="preserve"> cannot be done reliably on morphological grounds. See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Clarke (2019) for a discussion on the differentiation of species within the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complex.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DNA barcoding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molecular identification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through DNA barcoding proves to be problematic as this species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cannot be properly distinguished from a number of closely related species, including </w:t>
      </w:r>
      <w:r>
        <w:rPr>
          <w:rFonts w:ascii="Calibri" w:hAnsi="Calibri" w:eastAsia="Calibri" w:cs="Calibri"/>
          <w:i/>
          <w:iCs/>
          <w:color w:val="000000"/>
          <w:sz w:val="22"/>
          <w:szCs w:val="22"/>
        </w:rPr>
        <w:t xml:space="preserve">B. aquilonis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B. neohumeralis</w:t>
      </w:r>
      <w:r>
        <w:rPr>
          <w:rFonts w:ascii="Calibri" w:hAnsi="Calibri" w:eastAsia="Calibri" w:cs="Calibri"/>
          <w:color w:val="000000"/>
          <w:sz w:val="22"/>
          <w:szCs w:val="22"/>
        </w:rPr>
        <w:t xml:space="preserve">. Additionally, the presence of unidentified / possibly misidentified reference sequence in Barcoding Index Number Systems (BINs) in which this species is represented, might also bias its molecular identification. Sequences are available in the </w:t>
      </w:r>
      <w:hyperlink r:id="rId55986a90c6fc5e8e3" w:history="1">
        <w:r>
          <w:rPr>
            <w:rFonts w:ascii="Calibri" w:hAnsi="Calibri" w:eastAsia="Calibri" w:cs="Calibri"/>
            <w:b/>
            <w:bCs/>
            <w:color w:val="0000CC"/>
            <w:sz w:val="22"/>
            <w:szCs w:val="22"/>
            <w:u w:val="single"/>
          </w:rPr>
          <w:t xml:space="preserve">Barcode of Life Data Systems</w:t>
        </w:r>
        <w:r>
          <w:rPr>
            <w:rFonts w:ascii="Calibri" w:hAnsi="Calibri" w:eastAsia="Calibri" w:cs="Calibri"/>
            <w:b/>
            <w:bCs/>
            <w:i/>
            <w:iCs/>
            <w:color w:val="0000CC"/>
            <w:sz w:val="22"/>
            <w:szCs w:val="22"/>
            <w:u w:val="single"/>
          </w:rPr>
          <w:t xml:space="preserve"> </w:t>
        </w:r>
        <w:r>
          <w:rPr>
            <w:rFonts w:ascii="Calibri" w:hAnsi="Calibri" w:eastAsia="Calibri" w:cs="Calibri"/>
            <w:b/>
            <w:bCs/>
            <w:color w:val="0000CC"/>
            <w:sz w:val="22"/>
            <w:szCs w:val="22"/>
            <w:u w:val="single"/>
          </w:rPr>
          <w:t xml:space="preserve">(BOLD)</w:t>
        </w:r>
      </w:hyperlink>
      <w:r>
        <w:rPr>
          <w:rFonts w:ascii="Calibri" w:hAnsi="Calibri" w:eastAsia="Calibri" w:cs="Calibri"/>
          <w:color w:val="000000"/>
          <w:sz w:val="22"/>
          <w:szCs w:val="22"/>
        </w:rPr>
        <w:t xml:space="preserve"> and </w:t>
      </w:r>
      <w:hyperlink r:id="rId30066a90c6fc5e931" w:history="1">
        <w:r>
          <w:rPr>
            <w:rFonts w:ascii="Calibri" w:hAnsi="Calibri" w:eastAsia="Calibri" w:cs="Calibri"/>
            <w:b/>
            <w:bCs/>
            <w:color w:val="0000CC"/>
            <w:sz w:val="22"/>
            <w:szCs w:val="22"/>
            <w:u w:val="single"/>
          </w:rPr>
          <w:t xml:space="preserve">EPPO-Q-Bank</w:t>
        </w:r>
      </w:hyperlink>
      <w:r>
        <w:rPr>
          <w:rFonts w:ascii="Calibri" w:hAnsi="Calibri" w:eastAsia="Calibri" w:cs="Calibri"/>
          <w:color w:val="000000"/>
          <w:sz w:val="22"/>
          <w:szCs w:val="22"/>
        </w:rPr>
        <w:t xml:space="preserv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Males are attracted to cue lure (Drew, 1989) and melolure (Royer, 2015). Schutze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discuss the efficiency of a visual trap (‘Ladd trap’) for monitoring both sexes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Both sexes can be monitored by traps baited with protein-based attractants.  The trapping system used to monitor for possible introductions of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into New Zealand has been described by Cowley (1990). Detection is also possible by examination of fruit for oviposition punctures and then rearing the larvae through to the adult stage.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Transport of infested fruits is the main mean of movement and dispersal to previously uninfested areas.  Adult flight can also result in dispersal but previous citations of long (50-100 km) dispersal movements for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spp. are unsubstantiated according to a recent review by Hicks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Meats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established that the dispersal rate was almost always less than 1 km.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is a serious pest of a wide variety of unrelated fruit and vegetable crops (Dominiak, 2012). Sutherst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estimated the annual cost in Australia to be between 25.7 and 49.9 million AUD.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for this species includes the general control measures for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spp. (see Vargas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for an overview of management options). These include sanitation (to gather all fallen and infested host fruits and destroy them). Insecticidal protection is possible by using a cover spray or a bait spray. Bait sprays work on the principle that both male and female tephritids are strongly attracted to a protein source from which ammonia emanates. Bait sprays have the advantage over cover sprays in that they can be applied as a spot treatment so that the flies are attracted to the insecticide and there is minimal impact on natural enemies and other beneficials. A specific area-wide management approach for this species in Queensland, using bait spraying and Male Annihilation Technique (MAT), and its effects on trap catches and overall fruit fly infestation is given in Lloyd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Clarke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gives an overview of ecological factors relevant to control techniques, while Clarke (2019) discusses different aspects of management practices used against </w:t>
      </w:r>
      <w:r>
        <w:rPr>
          <w:rFonts w:ascii="Calibri" w:hAnsi="Calibri" w:eastAsia="Calibri" w:cs="Calibri"/>
          <w:i/>
          <w:iCs/>
          <w:color w:val="000000"/>
          <w:sz w:val="22"/>
          <w:szCs w:val="22"/>
        </w:rPr>
        <w:t xml:space="preserv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Sterile Insect Technique (SIT) application specifically for this species has been deployed at quarantined areas for localized outbreaks (Jessup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is a known pest of several fruit and vegetable crops in the area where it is present. It can be moved in trade with infested fruit. Although several studies were conducted on the present and potential distribution range of this species within Australia including the impact of climate change (e.g. Sutherst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no detailed study has been made on climatic suitability of the EPPO region, and it is unclear whether it could become established in the EPPO region. However, taken into consideration that the species co-occurred with </w:t>
      </w:r>
      <w:r>
        <w:rPr>
          <w:rFonts w:ascii="Calibri" w:hAnsi="Calibri" w:eastAsia="Calibri" w:cs="Calibri"/>
          <w:i/>
          <w:iCs/>
          <w:color w:val="000000"/>
          <w:sz w:val="22"/>
          <w:szCs w:val="22"/>
        </w:rPr>
        <w:t xml:space="preserve">Ceratitis capitata </w:t>
      </w:r>
      <w:r>
        <w:rPr>
          <w:rFonts w:ascii="Calibri" w:hAnsi="Calibri" w:eastAsia="Calibri" w:cs="Calibri"/>
          <w:color w:val="000000"/>
          <w:sz w:val="22"/>
          <w:szCs w:val="22"/>
        </w:rPr>
        <w:t xml:space="preserve">and displaced the latter in eastern Australia (Dominiak &amp; Mapson, 2017), it is considered likely that </w:t>
      </w:r>
      <w:r>
        <w:rPr>
          <w:rFonts w:ascii="Calibri" w:hAnsi="Calibri" w:eastAsia="Calibri" w:cs="Calibri"/>
          <w:i/>
          <w:iCs/>
          <w:color w:val="000000"/>
          <w:sz w:val="22"/>
          <w:szCs w:val="22"/>
        </w:rPr>
        <w:t xml:space="preserve">B. tryoni </w:t>
      </w:r>
      <w:r>
        <w:rPr>
          <w:rFonts w:ascii="Calibri" w:hAnsi="Calibri" w:eastAsia="Calibri" w:cs="Calibri"/>
          <w:color w:val="000000"/>
          <w:sz w:val="22"/>
          <w:szCs w:val="22"/>
        </w:rPr>
        <w:t xml:space="preserve">could survive in parts of the EPPO region where </w:t>
      </w:r>
      <w:r>
        <w:rPr>
          <w:rFonts w:ascii="Calibri" w:hAnsi="Calibri" w:eastAsia="Calibri" w:cs="Calibri"/>
          <w:i/>
          <w:iCs/>
          <w:color w:val="000000"/>
          <w:sz w:val="22"/>
          <w:szCs w:val="22"/>
        </w:rPr>
        <w:t xml:space="preserve">C. capitata </w:t>
      </w:r>
      <w:r>
        <w:rPr>
          <w:rFonts w:ascii="Calibri" w:hAnsi="Calibri" w:eastAsia="Calibri" w:cs="Calibri"/>
          <w:color w:val="000000"/>
          <w:sz w:val="22"/>
          <w:szCs w:val="22"/>
        </w:rPr>
        <w:t xml:space="preserve">currently occurs. Transient populations could have impacts on the export of host fruit from the EPPO region. The EFSA Panel on Plant Health, in their Pest Categorization of non-EU Tephritidae (EFSA, 2020) placed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on the list of fruit flies that satisfy the criteria to be regarded as a potential Union quarantine pest for the EU.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Consignments of fruits from countries or regions where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occurs should be inspected for symptoms of infestation and those suspected should be cut open in order to look for larvae. Possible measures include that such fruits should come from an area where </w:t>
      </w:r>
      <w:r>
        <w:rPr>
          <w:rFonts w:ascii="Calibri" w:hAnsi="Calibri" w:eastAsia="Calibri" w:cs="Calibri"/>
          <w:i/>
          <w:iCs/>
          <w:color w:val="000000"/>
          <w:sz w:val="22"/>
          <w:szCs w:val="22"/>
        </w:rPr>
        <w:t xml:space="preserve">B. tryoni </w:t>
      </w:r>
      <w:r>
        <w:rPr>
          <w:rFonts w:ascii="Calibri" w:hAnsi="Calibri" w:eastAsia="Calibri" w:cs="Calibri"/>
          <w:color w:val="000000"/>
          <w:sz w:val="22"/>
          <w:szCs w:val="22"/>
        </w:rPr>
        <w:t xml:space="preserve">does not occur, or from a place of production found free from the pest by regular inspection for 3 months before harvest. Cold treatment and irradiation are described in the USDA treatment manual (USDA, 2021). Annex 16 to 18 of ISPM 28 Phytosanitary treatments for regulated pests (FAO, 2015) describe a cold treatment for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respectively. Annex 5 of ISPM 28 Phytosanitary treatments for regulated pests (FAO, 2009) describes an irradiation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of host species transported with roots from countries where </w:t>
      </w:r>
      <w:r>
        <w:rPr>
          <w:rFonts w:ascii="Calibri" w:hAnsi="Calibri" w:eastAsia="Calibri" w:cs="Calibri"/>
          <w:i/>
          <w:iCs/>
          <w:color w:val="000000"/>
          <w:sz w:val="22"/>
          <w:szCs w:val="22"/>
        </w:rPr>
        <w:t xml:space="preserve">B. tryoni</w:t>
      </w:r>
      <w:r>
        <w:rPr>
          <w:rFonts w:ascii="Calibri" w:hAnsi="Calibri" w:eastAsia="Calibri" w:cs="Calibri"/>
          <w:color w:val="000000"/>
          <w:sz w:val="22"/>
          <w:szCs w:val="22"/>
        </w:rPr>
        <w:t xml:space="preserve"> occurs should be free from soil, or the soil should be treated against puparia. The plants should not carry fruits.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Carroll LE, Norrbom AL, Dallwitz MJ &amp; Thompson FC (2004). Pest fruit flies of the world – larvae. Version 9</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April 2019. </w:t>
      </w:r>
      <w:hyperlink r:id="rId14586a90c6fc5efdc" w:history="1">
        <w:r>
          <w:rPr>
            <w:rFonts w:ascii="Calibri" w:hAnsi="Calibri" w:eastAsia="Calibri" w:cs="Calibri"/>
            <w:color w:val="0000CC"/>
            <w:sz w:val="22"/>
            <w:szCs w:val="22"/>
            <w:u w:val="single"/>
          </w:rPr>
          <w:t xml:space="preserve">https://www.delta-intkey.com/ffl/www/bac_tryo.htm</w:t>
        </w:r>
      </w:hyperlink>
      <w:r>
        <w:rPr>
          <w:rFonts w:ascii="Calibri" w:hAnsi="Calibri" w:eastAsia="Calibri" w:cs="Calibri"/>
          <w:color w:val="000000"/>
          <w:sz w:val="22"/>
          <w:szCs w:val="22"/>
        </w:rPr>
        <w:t xml:space="preserve"> [accessed 15/11/2020]</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(2019) </w:t>
      </w:r>
      <w:r>
        <w:rPr>
          <w:rFonts w:ascii="Calibri" w:hAnsi="Calibri" w:eastAsia="Calibri" w:cs="Calibri"/>
          <w:i/>
          <w:iCs/>
          <w:color w:val="000000"/>
          <w:sz w:val="22"/>
          <w:szCs w:val="22"/>
        </w:rPr>
        <w:t xml:space="preserve">Biology and Management of </w:t>
      </w:r>
      <w:r>
        <w:rPr>
          <w:rFonts w:ascii="Calibri" w:hAnsi="Calibri" w:eastAsia="Calibri" w:cs="Calibri"/>
          <w:color w:val="000000"/>
          <w:sz w:val="22"/>
          <w:szCs w:val="22"/>
        </w:rPr>
        <w:t xml:space="preserve">Bactrocera</w:t>
      </w:r>
      <w:r>
        <w:rPr>
          <w:rFonts w:ascii="Calibri" w:hAnsi="Calibri" w:eastAsia="Calibri" w:cs="Calibri"/>
          <w:i/>
          <w:iCs/>
          <w:color w:val="000000"/>
          <w:sz w:val="22"/>
          <w:szCs w:val="22"/>
        </w:rPr>
        <w:t xml:space="preserve"> and Related Fruit Flies</w:t>
      </w:r>
      <w:r>
        <w:rPr>
          <w:rFonts w:ascii="Calibri" w:hAnsi="Calibri" w:eastAsia="Calibri" w:cs="Calibri"/>
          <w:color w:val="000000"/>
          <w:sz w:val="22"/>
          <w:szCs w:val="22"/>
        </w:rPr>
        <w:t xml:space="preserve">. CAB International, Wallingford, xiv+254pp</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Powell KS, Weldon CW &amp; Taylor PW (2011) The ecology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what do we know to assist pest management?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26-54.</w:t>
      </w:r>
    </w:p>
    <w:p>
      <w:pPr>
        <w:widowControl w:val="on"/>
        <w:pBdr/>
        <w:spacing w:before="220" w:after="220" w:line="240" w:lineRule="auto"/>
        <w:ind w:left="0" w:right="0"/>
        <w:jc w:val="left"/>
      </w:pPr>
      <w:r>
        <w:rPr>
          <w:rFonts w:ascii="Calibri" w:hAnsi="Calibri" w:eastAsia="Calibri" w:cs="Calibri"/>
          <w:color w:val="000000"/>
          <w:sz w:val="22"/>
          <w:szCs w:val="22"/>
        </w:rPr>
        <w:t xml:space="preserve">Clarke AR, Merkel K, Hulthen AD &amp; Schwarzmueller F (2019)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(Froggatt)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overwintering: an overview.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3-8.</w:t>
      </w:r>
    </w:p>
    <w:p>
      <w:pPr>
        <w:widowControl w:val="on"/>
        <w:pBdr/>
        <w:spacing w:before="220" w:after="220" w:line="240" w:lineRule="auto"/>
        <w:ind w:left="0" w:right="0"/>
        <w:jc w:val="left"/>
      </w:pPr>
      <w:r>
        <w:rPr>
          <w:rFonts w:ascii="Calibri" w:hAnsi="Calibri" w:eastAsia="Calibri" w:cs="Calibri"/>
          <w:color w:val="000000"/>
          <w:sz w:val="22"/>
          <w:szCs w:val="22"/>
        </w:rPr>
        <w:t xml:space="preserve">Cowley JM (1990) A new system of fruit fly surveillance trapping in New Zealand.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81-84.</w:t>
      </w:r>
    </w:p>
    <w:p>
      <w:pPr>
        <w:widowControl w:val="on"/>
        <w:pBdr/>
        <w:spacing w:before="220" w:after="220" w:line="240" w:lineRule="auto"/>
        <w:ind w:left="0" w:right="0"/>
        <w:jc w:val="left"/>
      </w:pPr>
      <w:r>
        <w:rPr>
          <w:rFonts w:ascii="Calibri" w:hAnsi="Calibri" w:eastAsia="Calibri" w:cs="Calibri"/>
          <w:color w:val="000000"/>
          <w:sz w:val="22"/>
          <w:szCs w:val="22"/>
        </w:rPr>
        <w:t xml:space="preserve">Dominiak BC (2012) Review of dispersal, survival, and establishment of </w:t>
      </w: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(Diptera: Tephritidae) for quarantine purposes. </w:t>
      </w:r>
      <w:r>
        <w:rPr>
          <w:rFonts w:ascii="Calibri" w:hAnsi="Calibri" w:eastAsia="Calibri" w:cs="Calibri"/>
          <w:i/>
          <w:iCs/>
          <w:color w:val="000000"/>
          <w:sz w:val="22"/>
          <w:szCs w:val="22"/>
        </w:rPr>
        <w:t xml:space="preserve">Annals of the Entomological Society of America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434-446.</w:t>
      </w:r>
    </w:p>
    <w:p>
      <w:pPr>
        <w:widowControl w:val="on"/>
        <w:pBdr/>
        <w:spacing w:before="220" w:after="220" w:line="240" w:lineRule="auto"/>
        <w:ind w:left="0" w:right="0"/>
        <w:jc w:val="left"/>
      </w:pPr>
      <w:r>
        <w:rPr>
          <w:rFonts w:ascii="Calibri" w:hAnsi="Calibri" w:eastAsia="Calibri" w:cs="Calibri"/>
          <w:color w:val="000000"/>
          <w:sz w:val="22"/>
          <w:szCs w:val="22"/>
        </w:rPr>
        <w:t xml:space="preserve">Dominiak BC &amp; Mapson R (2017) Revised distribution of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in eastern Australia and effect on possible incursions of Mediterranean fruit fly: development of Australia’s eastern trading block.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2459-2465.</w:t>
      </w:r>
    </w:p>
    <w:p>
      <w:pPr>
        <w:widowControl w:val="on"/>
        <w:pBdr/>
        <w:spacing w:before="220" w:after="220" w:line="240" w:lineRule="auto"/>
        <w:ind w:left="0" w:right="0"/>
        <w:jc w:val="left"/>
      </w:pPr>
      <w:r>
        <w:rPr>
          <w:rFonts w:ascii="Calibri" w:hAnsi="Calibri" w:eastAsia="Calibri" w:cs="Calibri"/>
          <w:color w:val="000000"/>
          <w:sz w:val="22"/>
          <w:szCs w:val="22"/>
        </w:rPr>
        <w:t xml:space="preserve">Drew RAI (1989) The tropical fruit flies (Diptera: Tephritidae: Dacinae) of the Australasian and Oceanian regions. </w:t>
      </w:r>
      <w:r>
        <w:rPr>
          <w:rFonts w:ascii="Calibri" w:hAnsi="Calibri" w:eastAsia="Calibri" w:cs="Calibri"/>
          <w:i/>
          <w:iCs/>
          <w:color w:val="000000"/>
          <w:sz w:val="22"/>
          <w:szCs w:val="22"/>
        </w:rPr>
        <w:t xml:space="preserve">Memoirs of the Queensland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1-521.</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Di Serio F, Gonthier P, Jacques MA, Jaques Miret JA, Justesen AF, Magnusson CS, Milonas P, Navas-Cortes JA, Parnell S, Potting R, Reignault PL, Thulke HH, Van der Werf W, Vicent Civera A, Yuen J, Zappalà L, Bali EM, Papadopoulos N, Papanastassiou S, Czwienczek E &amp; MacLeod A (2020) Pest categorization of non-EU Tephritidae. EFSA Journal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5931, 62pp. </w:t>
      </w:r>
      <w:hyperlink r:id="rId56006a90c6fc5f429" w:history="1">
        <w:r>
          <w:rPr>
            <w:rFonts w:ascii="Calibri" w:hAnsi="Calibri" w:eastAsia="Calibri" w:cs="Calibri"/>
            <w:color w:val="0000CC"/>
            <w:sz w:val="22"/>
            <w:szCs w:val="22"/>
            <w:u w:val="single"/>
          </w:rPr>
          <w:t xml:space="preserve">https://doi.org/10.2903/j.efsa.2020.5931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(2009) Annex 5 Irradiation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Rome, IPPC, FAO. </w:t>
      </w:r>
      <w:hyperlink r:id="rId42446a90c6fc5f47e" w:history="1">
        <w:r>
          <w:rPr>
            <w:rFonts w:ascii="Calibri" w:hAnsi="Calibri" w:eastAsia="Calibri" w:cs="Calibri"/>
            <w:color w:val="0000CC"/>
            <w:sz w:val="22"/>
            <w:szCs w:val="22"/>
            <w:u w:val="single"/>
          </w:rPr>
          <w:t xml:space="preserve">https://assets.ippc.int/static/media/files/publication/en/2016/06/PT_05_2009_En_2016-04-22_PostCPM11_InkAm.pdf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(2015a) Annex 16 Cold treatment for </w:t>
      </w:r>
      <w:r>
        <w:rPr>
          <w:rFonts w:ascii="Calibri" w:hAnsi="Calibri" w:eastAsia="Calibri" w:cs="Calibri"/>
          <w:i/>
          <w:iCs/>
          <w:color w:val="000000"/>
          <w:sz w:val="22"/>
          <w:szCs w:val="22"/>
        </w:rPr>
        <w:t xml:space="preserve">Bactrocera tryoni </w:t>
      </w:r>
      <w:r>
        <w:rPr>
          <w:rFonts w:ascii="Calibri" w:hAnsi="Calibri" w:eastAsia="Calibri" w:cs="Calibri"/>
          <w:color w:val="000000"/>
          <w:sz w:val="22"/>
          <w:szCs w:val="22"/>
        </w:rPr>
        <w:t xml:space="preserve">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Rome, IPPC, FAO. </w:t>
      </w:r>
      <w:hyperlink r:id="rId96596a90c6fc5f4f5"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(2015b) Annex 17 Cold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Rome, IPPC, FAO. </w:t>
      </w:r>
      <w:hyperlink r:id="rId13756a90c6fc5f588"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 (2015c) Annex 18 Cold treatment for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Rome, IPPC, FAO. </w:t>
      </w:r>
      <w:hyperlink r:id="rId17046a90c6fc5f5fd" w:history="1">
        <w:r>
          <w:rPr>
            <w:rFonts w:ascii="Calibri" w:hAnsi="Calibri" w:eastAsia="Calibri" w:cs="Calibri"/>
            <w:color w:val="0000CC"/>
            <w:sz w:val="22"/>
            <w:szCs w:val="22"/>
            <w:u w:val="single"/>
          </w:rPr>
          <w:t xml:space="preserve">https://assets.ippc.int/static/media/files/publication/en/2016/06/PT_17_2015_En_2016-05-27_PostCPM11_InkAm.pdf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Fitt GP (1986) The roles of adult and larval specialisations in limiting the occurrence of five species of </w:t>
      </w:r>
      <w:r>
        <w:rPr>
          <w:rFonts w:ascii="Calibri" w:hAnsi="Calibri" w:eastAsia="Calibri" w:cs="Calibri"/>
          <w:i/>
          <w:iCs/>
          <w:color w:val="000000"/>
          <w:sz w:val="22"/>
          <w:szCs w:val="22"/>
        </w:rPr>
        <w:t xml:space="preserve">Dacus </w:t>
      </w:r>
      <w:r>
        <w:rPr>
          <w:rFonts w:ascii="Calibri" w:hAnsi="Calibri" w:eastAsia="Calibri" w:cs="Calibri"/>
          <w:color w:val="000000"/>
          <w:sz w:val="22"/>
          <w:szCs w:val="22"/>
        </w:rPr>
        <w:t xml:space="preserve">in cultivated fruits.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101-109.</w:t>
      </w:r>
    </w:p>
    <w:p>
      <w:pPr>
        <w:widowControl w:val="on"/>
        <w:pBdr/>
        <w:spacing w:before="220" w:after="220" w:line="240" w:lineRule="auto"/>
        <w:ind w:left="0" w:right="0"/>
        <w:jc w:val="left"/>
      </w:pPr>
      <w:r>
        <w:rPr>
          <w:rFonts w:ascii="Calibri" w:hAnsi="Calibri" w:eastAsia="Calibri" w:cs="Calibri"/>
          <w:color w:val="000000"/>
          <w:sz w:val="22"/>
          <w:szCs w:val="22"/>
        </w:rPr>
        <w:t xml:space="preserve">Hancock DL, Hamacek EL, Lloyd AC &amp; Elson-Harris MM (2000) </w:t>
      </w:r>
      <w:r>
        <w:rPr>
          <w:rFonts w:ascii="Calibri" w:hAnsi="Calibri" w:eastAsia="Calibri" w:cs="Calibri"/>
          <w:i/>
          <w:iCs/>
          <w:color w:val="000000"/>
          <w:sz w:val="22"/>
          <w:szCs w:val="22"/>
        </w:rPr>
        <w:t xml:space="preserve">The Distribution and Host Plants of Fruit Flies (Diptera: Tephritidae) in Australia</w:t>
      </w:r>
      <w:r>
        <w:rPr>
          <w:rFonts w:ascii="Calibri" w:hAnsi="Calibri" w:eastAsia="Calibri" w:cs="Calibri"/>
          <w:color w:val="000000"/>
          <w:sz w:val="22"/>
          <w:szCs w:val="22"/>
        </w:rPr>
        <w:t xml:space="preserve">. DPI Publications, Brisbane (Australia), 75 pp</w:t>
      </w:r>
    </w:p>
    <w:p>
      <w:pPr>
        <w:widowControl w:val="on"/>
        <w:pBdr/>
        <w:spacing w:before="220" w:after="220" w:line="240" w:lineRule="auto"/>
        <w:ind w:left="0" w:right="0"/>
        <w:jc w:val="left"/>
      </w:pPr>
      <w:r>
        <w:rPr>
          <w:rFonts w:ascii="Calibri" w:hAnsi="Calibri" w:eastAsia="Calibri" w:cs="Calibri"/>
          <w:color w:val="000000"/>
          <w:sz w:val="22"/>
          <w:szCs w:val="22"/>
        </w:rPr>
        <w:t xml:space="preserve">Hicks CB, Bloem K, Pallipparambil GR &amp; Hartzog HM (2019) Reported long-distance flight of the invasive Oriental fruit fly and its trade implications. In </w:t>
      </w:r>
      <w:r>
        <w:rPr>
          <w:rFonts w:ascii="Calibri" w:hAnsi="Calibri" w:eastAsia="Calibri" w:cs="Calibri"/>
          <w:i/>
          <w:iCs/>
          <w:color w:val="000000"/>
          <w:sz w:val="22"/>
          <w:szCs w:val="22"/>
        </w:rPr>
        <w:t xml:space="preserve">Area-Wide Management of Fruit Flies</w:t>
      </w:r>
      <w:r>
        <w:rPr>
          <w:rFonts w:ascii="Calibri" w:hAnsi="Calibri" w:eastAsia="Calibri" w:cs="Calibri"/>
          <w:color w:val="000000"/>
          <w:sz w:val="22"/>
          <w:szCs w:val="22"/>
        </w:rPr>
        <w:t xml:space="preserve"> (eds Pérez-Staples D, Diaz-Fleischer F, Montoya P &amp; Vera MT), pp. 9-26. CRC Press, Boca Raton (US) </w:t>
      </w:r>
    </w:p>
    <w:p>
      <w:pPr>
        <w:widowControl w:val="on"/>
        <w:pBdr/>
        <w:spacing w:before="220" w:after="220" w:line="240" w:lineRule="auto"/>
        <w:ind w:left="0" w:right="0"/>
        <w:jc w:val="left"/>
      </w:pPr>
      <w:r>
        <w:rPr>
          <w:rFonts w:ascii="Calibri" w:hAnsi="Calibri" w:eastAsia="Calibri" w:cs="Calibri"/>
          <w:color w:val="000000"/>
          <w:sz w:val="22"/>
          <w:szCs w:val="22"/>
        </w:rPr>
        <w:t xml:space="preserve">Jessup AJ, Dominiak B, Woods B, de Lima CBF, Tomkins A &amp; Smallridge CJ (2007) Area-wide management of fruit flies in Australia. In </w:t>
      </w:r>
      <w:r>
        <w:rPr>
          <w:rFonts w:ascii="Calibri" w:hAnsi="Calibri" w:eastAsia="Calibri" w:cs="Calibri"/>
          <w:i/>
          <w:iCs/>
          <w:color w:val="000000"/>
          <w:sz w:val="22"/>
          <w:szCs w:val="22"/>
        </w:rPr>
        <w:t xml:space="preserve">Area-wide Control of Insect Pests: from Research to Field Implementation</w:t>
      </w:r>
      <w:r>
        <w:rPr>
          <w:rFonts w:ascii="Calibri" w:hAnsi="Calibri" w:eastAsia="Calibri" w:cs="Calibri"/>
          <w:color w:val="000000"/>
          <w:sz w:val="22"/>
          <w:szCs w:val="22"/>
        </w:rPr>
        <w:t xml:space="preserve"> (Eds Vreysen MJB, Robinson AS &amp; Hendrich J), pp 685-697. Springer Verlag, Dordrecht (the Netherlands)</w:t>
      </w:r>
    </w:p>
    <w:p>
      <w:pPr>
        <w:widowControl w:val="on"/>
        <w:pBdr/>
        <w:spacing w:before="220" w:after="220" w:line="240" w:lineRule="auto"/>
        <w:ind w:left="0" w:right="0"/>
        <w:jc w:val="left"/>
      </w:pPr>
      <w:r>
        <w:rPr>
          <w:rFonts w:ascii="Calibri" w:hAnsi="Calibri" w:eastAsia="Calibri" w:cs="Calibri"/>
          <w:color w:val="000000"/>
          <w:sz w:val="22"/>
          <w:szCs w:val="22"/>
        </w:rPr>
        <w:t xml:space="preserve">Leblanc L, Vueti ET, Drew RAI &amp; Allwood AJ (2012) Host plant records for fruit flies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Dacini</w:t>
      </w:r>
      <w:r>
        <w:rPr>
          <w:rFonts w:ascii="Calibri" w:hAnsi="Calibri" w:eastAsia="Calibri" w:cs="Calibri"/>
          <w:color w:val="000000"/>
          <w:sz w:val="22"/>
          <w:szCs w:val="22"/>
        </w:rPr>
        <w:t xml:space="preserve">) in the Pacific Islands. </w:t>
      </w:r>
      <w:r>
        <w:rPr>
          <w:rFonts w:ascii="Calibri" w:hAnsi="Calibri" w:eastAsia="Calibri" w:cs="Calibri"/>
          <w:i/>
          <w:iCs/>
          <w:color w:val="000000"/>
          <w:sz w:val="22"/>
          <w:szCs w:val="22"/>
        </w:rPr>
        <w:t xml:space="preserve">Proceedings of the Hawaiian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11-53.</w:t>
      </w:r>
    </w:p>
    <w:p>
      <w:pPr>
        <w:widowControl w:val="on"/>
        <w:pBdr/>
        <w:spacing w:before="220" w:after="220" w:line="240" w:lineRule="auto"/>
        <w:ind w:left="0" w:right="0"/>
        <w:jc w:val="left"/>
      </w:pPr>
      <w:r>
        <w:rPr>
          <w:rFonts w:ascii="Calibri" w:hAnsi="Calibri" w:eastAsia="Calibri" w:cs="Calibri"/>
          <w:color w:val="000000"/>
          <w:sz w:val="22"/>
          <w:szCs w:val="22"/>
        </w:rPr>
        <w:t xml:space="preserve">Lloyd AC, Hamacek EL, Kopittke RA, Peek T, Wyatt PM, Neale CJ, Eelkema M &amp; Gu NG (2010) Area-wide management of fruit flies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in the Central Burnett District of Queensland, Australia.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462-469.</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 &amp; Fitt GP (1987) Survival of repeated frosts by the Queensland fruit fly, </w:t>
      </w:r>
      <w:r>
        <w:rPr>
          <w:rFonts w:ascii="Calibri" w:hAnsi="Calibri" w:eastAsia="Calibri" w:cs="Calibri"/>
          <w:i/>
          <w:iCs/>
          <w:color w:val="000000"/>
          <w:sz w:val="22"/>
          <w:szCs w:val="22"/>
        </w:rPr>
        <w:t xml:space="preserve">Dacus tryoni</w:t>
      </w:r>
      <w:r>
        <w:rPr>
          <w:rFonts w:ascii="Calibri" w:hAnsi="Calibri" w:eastAsia="Calibri" w:cs="Calibri"/>
          <w:color w:val="000000"/>
          <w:sz w:val="22"/>
          <w:szCs w:val="22"/>
        </w:rPr>
        <w:t xml:space="preserve">: experiments in laboratory simulated climates with either step or ramp fluctuations of temperature.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9-16.</w:t>
      </w:r>
    </w:p>
    <w:p>
      <w:pPr>
        <w:widowControl w:val="on"/>
        <w:pBdr/>
        <w:spacing w:before="220" w:after="220" w:line="240" w:lineRule="auto"/>
        <w:ind w:left="0" w:right="0"/>
        <w:jc w:val="left"/>
      </w:pPr>
      <w:r>
        <w:rPr>
          <w:rFonts w:ascii="Calibri" w:hAnsi="Calibri" w:eastAsia="Calibri" w:cs="Calibri"/>
          <w:color w:val="000000"/>
          <w:sz w:val="22"/>
          <w:szCs w:val="22"/>
        </w:rPr>
        <w:t xml:space="preserve">Meats AW, Clift AD &amp; Robson MK (2003) Incipient founder populations of Mediterranean and Queensland fruit flies in Australia: the relation of trap catch to infestation radius and models for quarantine radius. </w:t>
      </w:r>
      <w:r>
        <w:rPr>
          <w:rFonts w:ascii="Calibri" w:hAnsi="Calibri" w:eastAsia="Calibri" w:cs="Calibri"/>
          <w:i/>
          <w:iCs/>
          <w:color w:val="000000"/>
          <w:sz w:val="22"/>
          <w:szCs w:val="22"/>
        </w:rPr>
        <w:t xml:space="preserve">Australian Journal of Experimental Agriculture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397-406.</w:t>
      </w:r>
    </w:p>
    <w:p>
      <w:pPr>
        <w:widowControl w:val="on"/>
        <w:pBdr/>
        <w:spacing w:before="220" w:after="220" w:line="240" w:lineRule="auto"/>
        <w:ind w:left="0" w:right="0"/>
        <w:jc w:val="left"/>
      </w:pPr>
      <w:r>
        <w:rPr>
          <w:rFonts w:ascii="Calibri" w:hAnsi="Calibri" w:eastAsia="Calibri" w:cs="Calibri"/>
          <w:color w:val="000000"/>
          <w:sz w:val="22"/>
          <w:szCs w:val="22"/>
        </w:rPr>
        <w:t xml:space="preserve">Royer JE (2015) Responses of fruit flies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Dacinae</w:t>
      </w:r>
      <w:r>
        <w:rPr>
          <w:rFonts w:ascii="Calibri" w:hAnsi="Calibri" w:eastAsia="Calibri" w:cs="Calibri"/>
          <w:color w:val="000000"/>
          <w:sz w:val="22"/>
          <w:szCs w:val="22"/>
        </w:rPr>
        <w:t xml:space="preserve">) to novel male attractants in north Queensland, Australia, and improved lures for some pest species.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411-426.</w:t>
      </w:r>
    </w:p>
    <w:p>
      <w:pPr>
        <w:widowControl w:val="on"/>
        <w:pBdr/>
        <w:spacing w:before="220" w:after="220" w:line="240" w:lineRule="auto"/>
        <w:ind w:left="0" w:right="0"/>
        <w:jc w:val="left"/>
      </w:pPr>
      <w:r>
        <w:rPr>
          <w:rFonts w:ascii="Calibri" w:hAnsi="Calibri" w:eastAsia="Calibri" w:cs="Calibri"/>
          <w:color w:val="000000"/>
          <w:sz w:val="22"/>
          <w:szCs w:val="22"/>
        </w:rPr>
        <w:t xml:space="preserve">Schutze MK, Cribb BW, Cunningham JP, Newman J, Peek T &amp; Clarke AR (2016) ‘Ladd traps’ as a visual trap for male and female Queensland fruit fly,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Diptera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Tephritidae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Austral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324-329.</w:t>
      </w:r>
    </w:p>
    <w:p>
      <w:pPr>
        <w:widowControl w:val="on"/>
        <w:pBdr/>
        <w:spacing w:before="220" w:after="220" w:line="240" w:lineRule="auto"/>
        <w:ind w:left="0" w:right="0"/>
        <w:jc w:val="left"/>
      </w:pPr>
      <w:r>
        <w:rPr>
          <w:rFonts w:ascii="Calibri" w:hAnsi="Calibri" w:eastAsia="Calibri" w:cs="Calibri"/>
          <w:color w:val="000000"/>
          <w:sz w:val="22"/>
          <w:szCs w:val="22"/>
        </w:rPr>
        <w:t xml:space="preserve">Sutherst RW, Collyer BS &amp; Yonow T (2000) The vulnerability of Australian horticulture to the Queensland fruit fly, </w:t>
      </w:r>
      <w:r>
        <w:rPr>
          <w:rFonts w:ascii="Calibri" w:hAnsi="Calibri" w:eastAsia="Calibri" w:cs="Calibri"/>
          <w:i/>
          <w:iCs/>
          <w:color w:val="000000"/>
          <w:sz w:val="22"/>
          <w:szCs w:val="22"/>
        </w:rPr>
        <w:t xml:space="preserve">Bactrocera (Dacus) tryoni</w:t>
      </w:r>
      <w:r>
        <w:rPr>
          <w:rFonts w:ascii="Calibri" w:hAnsi="Calibri" w:eastAsia="Calibri" w:cs="Calibri"/>
          <w:color w:val="000000"/>
          <w:sz w:val="22"/>
          <w:szCs w:val="22"/>
        </w:rPr>
        <w:t xml:space="preserve">, under climate change. </w:t>
      </w:r>
      <w:r>
        <w:rPr>
          <w:rFonts w:ascii="Calibri" w:hAnsi="Calibri" w:eastAsia="Calibri" w:cs="Calibri"/>
          <w:i/>
          <w:iCs/>
          <w:color w:val="000000"/>
          <w:sz w:val="22"/>
          <w:szCs w:val="22"/>
        </w:rPr>
        <w:t xml:space="preserve">Australian Journal of Agricultural Research </w:t>
      </w:r>
      <w:r>
        <w:rPr>
          <w:rFonts w:ascii="Calibri" w:hAnsi="Calibri" w:eastAsia="Calibri" w:cs="Calibri"/>
          <w:b/>
          <w:bCs/>
          <w:color w:val="000000"/>
          <w:sz w:val="22"/>
          <w:szCs w:val="22"/>
        </w:rPr>
        <w:t xml:space="preserve">51</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467-480.</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(2021) United States Department of Agriculture Treatment Manual.  </w:t>
      </w:r>
      <w:hyperlink r:id="rId68066a90c6fc5fbc9" w:history="1">
        <w:r>
          <w:rPr>
            <w:rFonts w:ascii="Calibri" w:hAnsi="Calibri" w:eastAsia="Calibri" w:cs="Calibri"/>
            <w:color w:val="0000CC"/>
            <w:sz w:val="22"/>
            <w:szCs w:val="22"/>
            <w:u w:val="single"/>
          </w:rPr>
          <w:t xml:space="preserve">https://www.aphis.usda.gov/import_export/plants/manuals/ports/downloads/treatment.pdf</w:t>
        </w:r>
      </w:hyperlink>
      <w:r>
        <w:rPr>
          <w:rFonts w:ascii="Calibri" w:hAnsi="Calibri" w:eastAsia="Calibri" w:cs="Calibri"/>
          <w:color w:val="000000"/>
          <w:sz w:val="22"/>
          <w:szCs w:val="22"/>
        </w:rPr>
        <w:t xml:space="preserve"> [accessed on 2021-04-23]</w:t>
      </w:r>
    </w:p>
    <w:p>
      <w:pPr>
        <w:widowControl w:val="on"/>
        <w:pBdr/>
        <w:spacing w:before="220" w:after="220" w:line="240" w:lineRule="auto"/>
        <w:ind w:left="0" w:right="0"/>
        <w:jc w:val="left"/>
      </w:pPr>
      <w:r>
        <w:rPr>
          <w:rFonts w:ascii="Calibri" w:hAnsi="Calibri" w:eastAsia="Calibri" w:cs="Calibri"/>
          <w:color w:val="000000"/>
          <w:sz w:val="22"/>
          <w:szCs w:val="22"/>
        </w:rPr>
        <w:t xml:space="preserve">Vargas RI, Pinero JC &amp; Leblanc L (2015) An overview of pest species of </w:t>
      </w:r>
      <w:r>
        <w:rPr>
          <w:rFonts w:ascii="Calibri" w:hAnsi="Calibri" w:eastAsia="Calibri" w:cs="Calibri"/>
          <w:i/>
          <w:iCs/>
          <w:color w:val="000000"/>
          <w:sz w:val="22"/>
          <w:szCs w:val="22"/>
        </w:rPr>
        <w:t xml:space="preserve">Bactrocera </w:t>
      </w:r>
      <w:r>
        <w:rPr>
          <w:rFonts w:ascii="Calibri" w:hAnsi="Calibri" w:eastAsia="Calibri" w:cs="Calibri"/>
          <w:color w:val="000000"/>
          <w:sz w:val="22"/>
          <w:szCs w:val="22"/>
        </w:rPr>
        <w:t xml:space="preserve">fruit flies (Diptera: Tephritidae) and the integration of biopesticides with other biological approaches for their management with a focus on the Pacific region.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297-318.</w:t>
      </w:r>
    </w:p>
    <w:p>
      <w:pPr>
        <w:widowControl w:val="on"/>
        <w:pBdr/>
        <w:spacing w:before="220" w:after="220" w:line="240" w:lineRule="auto"/>
        <w:ind w:left="0" w:right="0"/>
        <w:jc w:val="left"/>
      </w:pPr>
      <w:r>
        <w:rPr>
          <w:rFonts w:ascii="Calibri" w:hAnsi="Calibri" w:eastAsia="Calibri" w:cs="Calibri"/>
          <w:color w:val="000000"/>
          <w:sz w:val="22"/>
          <w:szCs w:val="22"/>
        </w:rPr>
        <w:t xml:space="preserve">White IM &amp; Elson-Harris MM (1992) </w:t>
      </w:r>
      <w:r>
        <w:rPr>
          <w:rFonts w:ascii="Calibri" w:hAnsi="Calibri" w:eastAsia="Calibri" w:cs="Calibri"/>
          <w:i/>
          <w:iCs/>
          <w:color w:val="000000"/>
          <w:sz w:val="22"/>
          <w:szCs w:val="22"/>
        </w:rPr>
        <w:t xml:space="preserve">Fruit flies of economic significance: their identification and bionomics</w:t>
      </w:r>
      <w:r>
        <w:rPr>
          <w:rFonts w:ascii="Calibri" w:hAnsi="Calibri" w:eastAsia="Calibri" w:cs="Calibri"/>
          <w:color w:val="000000"/>
          <w:sz w:val="22"/>
          <w:szCs w:val="22"/>
        </w:rPr>
        <w:t xml:space="preserve">. CAB International, Wallingford (UK), xii+601pp</w:t>
      </w:r>
    </w:p>
    <w:p>
      <w:pPr>
        <w:widowControl w:val="on"/>
        <w:pBdr/>
        <w:spacing w:before="220" w:after="220" w:line="240" w:lineRule="auto"/>
        <w:ind w:left="0" w:right="0"/>
        <w:jc w:val="left"/>
      </w:pPr>
      <w:r>
        <w:rPr>
          <w:rFonts w:ascii="Calibri" w:hAnsi="Calibri" w:eastAsia="Calibri" w:cs="Calibri"/>
          <w:color w:val="000000"/>
          <w:sz w:val="22"/>
          <w:szCs w:val="22"/>
        </w:rPr>
        <w:t xml:space="preserve">Yonow T, Zalucki MP, Sutherst RW, Dominiak BC, Maywald GF, Maelzer DA &amp; Kriticos DJ (2004) Modelling the population dynamics of the Queensland fruit fly, </w:t>
      </w:r>
      <w:r>
        <w:rPr>
          <w:rFonts w:ascii="Calibri" w:hAnsi="Calibri" w:eastAsia="Calibri" w:cs="Calibri"/>
          <w:i/>
          <w:iCs/>
          <w:color w:val="000000"/>
          <w:sz w:val="22"/>
          <w:szCs w:val="22"/>
        </w:rPr>
        <w:t xml:space="preserve">Bactrocera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tryoni</w:t>
      </w:r>
      <w:r>
        <w:rPr>
          <w:rFonts w:ascii="Calibri" w:hAnsi="Calibri" w:eastAsia="Calibri" w:cs="Calibri"/>
          <w:color w:val="000000"/>
          <w:sz w:val="22"/>
          <w:szCs w:val="22"/>
        </w:rPr>
        <w:t xml:space="preserve">: a cohort-based approach incorporating the effects of weather. </w:t>
      </w:r>
      <w:r>
        <w:rPr>
          <w:rFonts w:ascii="Calibri" w:hAnsi="Calibri" w:eastAsia="Calibri" w:cs="Calibri"/>
          <w:i/>
          <w:iCs/>
          <w:color w:val="000000"/>
          <w:sz w:val="22"/>
          <w:szCs w:val="22"/>
        </w:rPr>
        <w:t xml:space="preserve">Ecological Modelling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173</w:t>
      </w:r>
      <w:r>
        <w:rPr>
          <w:rFonts w:ascii="Calibri" w:hAnsi="Calibri" w:eastAsia="Calibri" w:cs="Calibri"/>
          <w:color w:val="000000"/>
          <w:sz w:val="22"/>
          <w:szCs w:val="22"/>
        </w:rPr>
        <w:t xml:space="preserve">, 9-30.</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Pest </w:t>
      </w:r>
      <w:hyperlink r:id="rId99186a90c6fc5fdb4" w:history="1">
        <w:r>
          <w:rPr>
            <w:rFonts w:ascii="Calibri" w:hAnsi="Calibri" w:eastAsia="Calibri" w:cs="Calibri"/>
            <w:color w:val="0000CC"/>
            <w:sz w:val="22"/>
            <w:szCs w:val="22"/>
            <w:u w:val="single"/>
          </w:rPr>
          <w:t xml:space="preserve">https://www.cabi.org/isc/datasheet/17693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M. De Meyer.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Bactrocera tryoni</w:t>
      </w:r>
      <w:r>
        <w:rPr>
          <w:rFonts w:ascii="Calibri" w:hAnsi="Calibri" w:eastAsia="Calibri" w:cs="Calibri"/>
          <w:color w:val="000000"/>
          <w:sz w:val="22"/>
          <w:szCs w:val="22"/>
        </w:rPr>
        <w:t xml:space="preserve">. EPPO datasheets on pests recommended for regulation. Available online. </w:t>
      </w:r>
      <w:hyperlink r:id="rId87426a90c6fc5fe6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(1983) Data sheets on quarantine organisms No. 41, Trypetidae (non-European).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w:t>
      </w:r>
      <w:hyperlink r:id="rId30486a90c6fc5ffdb" w:history="1">
        <w:r>
          <w:rPr>
            <w:rFonts w:ascii="Calibri" w:hAnsi="Calibri" w:eastAsia="Calibri" w:cs="Calibri"/>
            <w:color w:val="0000CC"/>
            <w:sz w:val="22"/>
            <w:szCs w:val="22"/>
            <w:u w:val="single"/>
          </w:rPr>
          <w:t xml:space="preserve">https://doi.org/10.1111/j.1365-2338.1983.tb01715.x</w:t>
        </w:r>
      </w:hyperlink>
      <w:r>
        <w:rPr>
          <w:rFonts w:ascii="Calibri" w:hAnsi="Calibri" w:eastAsia="Calibri" w:cs="Calibri"/>
          <w:color w:val="000000"/>
          <w:sz w:val="22"/>
          <w:szCs w:val="22"/>
        </w:rPr>
        <w:t xml:space="preserve"> </w:t>
      </w:r>
    </w:p>
    <w:p>
      <w:r>
        <w:drawing>
          <wp:inline distT="0" distB="0" distL="0" distR="0">
            <wp:extent cx="1800000" cy="604800"/>
            <wp:docPr id="14288398" name="name47176a90c6fc605e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9606a90c6fc605e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995047">
    <w:multiLevelType w:val="hybridMultilevel"/>
    <w:lvl w:ilvl="0" w:tplc="39568036">
      <w:start w:val="1"/>
      <w:numFmt w:val="decimal"/>
      <w:lvlText w:val="%1."/>
      <w:lvlJc w:val="left"/>
      <w:pPr>
        <w:ind w:left="720" w:hanging="360"/>
      </w:pPr>
    </w:lvl>
    <w:lvl w:ilvl="1" w:tplc="39568036" w:tentative="1">
      <w:start w:val="1"/>
      <w:numFmt w:val="lowerLetter"/>
      <w:lvlText w:val="%2."/>
      <w:lvlJc w:val="left"/>
      <w:pPr>
        <w:ind w:left="1440" w:hanging="360"/>
      </w:pPr>
    </w:lvl>
    <w:lvl w:ilvl="2" w:tplc="39568036" w:tentative="1">
      <w:start w:val="1"/>
      <w:numFmt w:val="lowerRoman"/>
      <w:lvlText w:val="%3."/>
      <w:lvlJc w:val="right"/>
      <w:pPr>
        <w:ind w:left="2160" w:hanging="180"/>
      </w:pPr>
    </w:lvl>
    <w:lvl w:ilvl="3" w:tplc="39568036" w:tentative="1">
      <w:start w:val="1"/>
      <w:numFmt w:val="decimal"/>
      <w:lvlText w:val="%4."/>
      <w:lvlJc w:val="left"/>
      <w:pPr>
        <w:ind w:left="2880" w:hanging="360"/>
      </w:pPr>
    </w:lvl>
    <w:lvl w:ilvl="4" w:tplc="39568036" w:tentative="1">
      <w:start w:val="1"/>
      <w:numFmt w:val="lowerLetter"/>
      <w:lvlText w:val="%5."/>
      <w:lvlJc w:val="left"/>
      <w:pPr>
        <w:ind w:left="3600" w:hanging="360"/>
      </w:pPr>
    </w:lvl>
    <w:lvl w:ilvl="5" w:tplc="39568036" w:tentative="1">
      <w:start w:val="1"/>
      <w:numFmt w:val="lowerRoman"/>
      <w:lvlText w:val="%6."/>
      <w:lvlJc w:val="right"/>
      <w:pPr>
        <w:ind w:left="4320" w:hanging="180"/>
      </w:pPr>
    </w:lvl>
    <w:lvl w:ilvl="6" w:tplc="39568036" w:tentative="1">
      <w:start w:val="1"/>
      <w:numFmt w:val="decimal"/>
      <w:lvlText w:val="%7."/>
      <w:lvlJc w:val="left"/>
      <w:pPr>
        <w:ind w:left="5040" w:hanging="360"/>
      </w:pPr>
    </w:lvl>
    <w:lvl w:ilvl="7" w:tplc="39568036" w:tentative="1">
      <w:start w:val="1"/>
      <w:numFmt w:val="lowerLetter"/>
      <w:lvlText w:val="%8."/>
      <w:lvlJc w:val="left"/>
      <w:pPr>
        <w:ind w:left="5760" w:hanging="360"/>
      </w:pPr>
    </w:lvl>
    <w:lvl w:ilvl="8" w:tplc="39568036" w:tentative="1">
      <w:start w:val="1"/>
      <w:numFmt w:val="lowerRoman"/>
      <w:lvlText w:val="%9."/>
      <w:lvlJc w:val="right"/>
      <w:pPr>
        <w:ind w:left="6480" w:hanging="180"/>
      </w:pPr>
    </w:lvl>
  </w:abstractNum>
  <w:abstractNum w:abstractNumId="41995046">
    <w:multiLevelType w:val="hybridMultilevel"/>
    <w:lvl w:ilvl="0" w:tplc="231195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995046">
    <w:abstractNumId w:val="41995046"/>
  </w:num>
  <w:num w:numId="41995047">
    <w:abstractNumId w:val="4199504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1912055" Type="http://schemas.microsoft.com/office/2011/relationships/commentsExtended" Target="commentsExtended.xml"/><Relationship Id="rId148192508" Type="http://schemas.microsoft.com/office/2011/relationships/people" Target="people.xml"/><Relationship Id="rId61416a90c6fc5ab2e" Type="http://schemas.openxmlformats.org/officeDocument/2006/relationships/hyperlink" Target="https://gd.eppo.int/taxon/DACUTR/" TargetMode="External"/><Relationship Id="rId51466a90c6fc5ab99" Type="http://schemas.openxmlformats.org/officeDocument/2006/relationships/hyperlink" Target="https://gd.eppo.int/taxon/DACUTR/categorization" TargetMode="External"/><Relationship Id="rId55986a90c6fc5e8e3" Type="http://schemas.openxmlformats.org/officeDocument/2006/relationships/hyperlink" Target="http://www.boldsystems.org/index.php/TaxBrowser_TaxonPage?taxid=78910" TargetMode="External"/><Relationship Id="rId30066a90c6fc5e931" Type="http://schemas.openxmlformats.org/officeDocument/2006/relationships/hyperlink" Target="https://qbank.eppo.int/arthropods/taxon/DACUTR/" TargetMode="External"/><Relationship Id="rId14586a90c6fc5efdc" Type="http://schemas.openxmlformats.org/officeDocument/2006/relationships/hyperlink" Target="https://www.delta-intkey.com/ffl/www/bac_tryo.htm" TargetMode="External"/><Relationship Id="rId56006a90c6fc5f429" Type="http://schemas.openxmlformats.org/officeDocument/2006/relationships/hyperlink" Target="https://doi.org/10.2903/j.efsa.2020.5931" TargetMode="External"/><Relationship Id="rId42446a90c6fc5f47e" Type="http://schemas.openxmlformats.org/officeDocument/2006/relationships/hyperlink" Target="https://assets.ippc.int/static/media/files/publication/en/2016/06/PT_05_2009_En_2016-04-22_PostCPM11_InkAm.pdf" TargetMode="External"/><Relationship Id="rId96596a90c6fc5f4f5" Type="http://schemas.openxmlformats.org/officeDocument/2006/relationships/hyperlink" Target="https://assets.ippc.int/static/media/files/publication/en/2016/06/PT_17_2015_En_2016-05-27_PostCPM11_InkAm.pdf" TargetMode="External"/><Relationship Id="rId13756a90c6fc5f588" Type="http://schemas.openxmlformats.org/officeDocument/2006/relationships/hyperlink" Target="https://assets.ippc.int/static/media/files/publication/en/2016/06/PT_17_2015_En_2016-05-27_PostCPM11_InkAm.pdf" TargetMode="External"/><Relationship Id="rId17046a90c6fc5f5fd" Type="http://schemas.openxmlformats.org/officeDocument/2006/relationships/hyperlink" Target="https://assets.ippc.int/static/media/files/publication/en/2016/06/PT_17_2015_En_2016-05-27_PostCPM11_InkAm.pdf" TargetMode="External"/><Relationship Id="rId68066a90c6fc5fbc9" Type="http://schemas.openxmlformats.org/officeDocument/2006/relationships/hyperlink" Target="https://www.aphis.usda.gov/import_export/plants/manuals/ports/downloads/treatment.pdf" TargetMode="External"/><Relationship Id="rId99186a90c6fc5fdb4" Type="http://schemas.openxmlformats.org/officeDocument/2006/relationships/hyperlink" Target="https://www.cabi.org/isc/datasheet/17693" TargetMode="External"/><Relationship Id="rId87426a90c6fc5fe6c" Type="http://schemas.openxmlformats.org/officeDocument/2006/relationships/hyperlink" Target="https://gd.eppo.int" TargetMode="External"/><Relationship Id="rId30486a90c6fc5ffdb" Type="http://schemas.openxmlformats.org/officeDocument/2006/relationships/hyperlink" Target="https://doi.org/10.1111/j.1365-2338.1983.tb01715.x" TargetMode="External"/><Relationship Id="rId33576a90c6fc5e1c8" Type="http://schemas.openxmlformats.org/officeDocument/2006/relationships/image" Target="media/imgrId33576a90c6fc5e1c8.jpg"/><Relationship Id="rId89606a90c6fc605ec" Type="http://schemas.openxmlformats.org/officeDocument/2006/relationships/image" Target="media/imgrId89606a90c6fc605e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