
<file path=[Content_Types].xml><?xml version="1.0" encoding="utf-8"?>
<Types xmlns="http://schemas.openxmlformats.org/package/2006/content-types">
  <Override PartName="/word/footnotes.xml" ContentType="application/vnd.openxmlformats-officedocument.wordprocessingml.footnotes+xml"/>
  <Override PartName="/word/comments.xml" ContentType="application/vnd.openxmlformats-officedocument.wordprocessingml.comments+xml"/>
  <Override PartName="/customXml/itemProps1.xml" ContentType="application/vnd.openxmlformats-officedocument.customXmlProperties+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Default Extension="gif" ContentType="image/gif"> </Default>
  <Default Extension="jpg" ContentType="image/jpg"> </Default>
  <Default Extension="png" ContentType="image/png"> </Default>
  <Default Extension="jpeg" ContentType="image/jpeg"> </Default>
  <Default Extension="bmp" ContentType="image/bmp"> </Default>
  <Override PartName="/word/commentsExtended.xml" ContentType="application/vnd.openxmlformats-officedocument.wordprocessingml.commentsExtended+xml"/>
  <Override PartName="/word/people.xml" ContentType="application/vnd.openxmlformats-officedocument.wordprocessingml.people+xml"/>
</Types>
</file>

<file path=_rels/.rels><?xml version="1.0" encoding="UTF-8" standalone="yes"?><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widowControl w:val="on"/>
        <w:pBdr/>
        <w:spacing w:before="188" w:after="188" w:line="240" w:lineRule="auto"/>
        <w:ind w:left="0" w:right="0"/>
        <w:jc w:val="left"/>
        <w:outlineLvl w:val="0"/>
      </w:pPr>
      <w:r>
        <w:rPr>
          <w:rFonts w:ascii="Calibri" w:hAnsi="Calibri" w:eastAsia="Calibri" w:cs="Calibri"/>
          <w:b/>
          <w:bCs/>
          <w:color w:val="000000"/>
          <w:sz w:val="28"/>
          <w:szCs w:val="28"/>
        </w:rPr>
        <w:t xml:space="preserve">EPPO Datasheet: </w:t>
      </w:r>
      <w:r>
        <w:rPr>
          <w:rFonts w:ascii="Calibri" w:hAnsi="Calibri" w:eastAsia="Calibri" w:cs="Calibri"/>
          <w:b/>
          <w:bCs/>
          <w:i/>
          <w:iCs/>
          <w:color w:val="000000"/>
          <w:sz w:val="28"/>
          <w:szCs w:val="28"/>
        </w:rPr>
        <w:t xml:space="preserve">Bactrocera dorsalis</w:t>
      </w:r>
    </w:p>
    <w:p>
      <w:pPr>
        <w:widowControl w:val="on"/>
        <w:pBdr/>
        <w:spacing w:before="0" w:after="0" w:line="240" w:lineRule="auto"/>
        <w:ind w:left="0" w:right="0"/>
        <w:jc w:val="left"/>
      </w:pPr>
      <w:r>
        <w:rPr>
          <w:rFonts w:ascii="Calibri" w:hAnsi="Calibri" w:eastAsia="Calibri" w:cs="Calibri"/>
          <w:color w:val="000000"/>
          <w:sz w:val="22"/>
          <w:szCs w:val="22"/>
        </w:rPr>
        <w:t xml:space="preserve">Last updated: 2021-04-28</w:t>
      </w:r>
    </w:p>
    <w:p>
      <w:pPr>
        <w:widowControl w:val="on"/>
        <w:pBdr/>
        <w:spacing w:before="300" w:after="150" w:line="240" w:lineRule="auto"/>
        <w:ind w:left="0" w:right="0"/>
        <w:jc w:val="left"/>
        <w:outlineLvl w:val="2"/>
      </w:pPr>
      <w:r>
        <w:rPr>
          <w:rFonts w:ascii="Calibri" w:hAnsi="Calibri" w:eastAsia="Calibri" w:cs="Calibri"/>
          <w:b/>
          <w:bCs/>
          <w:color w:val="000000"/>
          <w:sz w:val="22"/>
          <w:szCs w:val="22"/>
        </w:rPr>
        <w:t xml:space="preserve">IDENTITY</w:t>
      </w:r>
    </w:p>
    <w:tbl>
      <w:tblPr>
        <w:tblStyle w:val="NormalTablePHPDOCX"/>
        <w:tblCellMar>
          <w:left w:type="dxa" w:w="0"/>
          <w:right w:type="dxa" w:w="0"/>
        </w:tblCellMar>
        <w:tblW w:w="5000" w:type="pct"/>
        <w:tblCellSpacing w:w="30" w:type="dxa"/>
        <w:tblInd w:w="0" w:type="auto"/>
        <w:tblBorders/>
      </w:tblPr>
      <w:tblGrid>
        <w:gridCol w:w="3000"/>
        <w:gridCol w:w="2000"/>
      </w:tblGrid>
      <w:tr>
        <w:trPr>
          <w:trHeight w:val="0" w:hRule="atLeast"/>
        </w:trPr>
        <w:tc>
          <w:tcPr>
            <w:tcW w:w="3000" w:type="pct"/>
            <w:tcMar>
              <w:top w:w="15" w:type="dxa"/>
              <w:left w:w="15" w:type="dxa"/>
              <w:bottom w:w="15" w:type="dxa"/>
              <w:right w:w="15" w:type="dxa"/>
            </w:tcMar>
            <w:vAlign w:val="center"/>
          </w:tcPr>
          <w:p>
            <w:pPr>
              <w:widowControl w:val="on"/>
              <w:pBdr/>
              <w:spacing w:before="0" w:after="0" w:line="240" w:lineRule="auto"/>
              <w:ind w:left="0" w:right="0"/>
              <w:jc w:val="left"/>
            </w:pPr>
            <w:r>
              <w:rPr>
                <w:rFonts w:ascii="Calibri" w:hAnsi="Calibri" w:eastAsia="Calibri" w:cs="Calibri"/>
                <w:b/>
                <w:bCs/>
                <w:color w:val="000000"/>
                <w:position w:val="-3"/>
                <w:sz w:val="22"/>
                <w:szCs w:val="22"/>
              </w:rPr>
              <w:t xml:space="preserve">Preferred name:</w:t>
            </w:r>
            <w:r>
              <w:rPr>
                <w:rFonts w:ascii="Calibri" w:hAnsi="Calibri" w:eastAsia="Calibri" w:cs="Calibri"/>
                <w:color w:val="000000"/>
                <w:position w:val="-3"/>
                <w:sz w:val="22"/>
                <w:szCs w:val="22"/>
              </w:rPr>
              <w:t xml:space="preserve"> </w:t>
            </w:r>
            <w:r>
              <w:rPr>
                <w:rFonts w:ascii="Calibri" w:hAnsi="Calibri" w:eastAsia="Calibri" w:cs="Calibri"/>
                <w:i/>
                <w:iCs/>
                <w:color w:val="000000"/>
                <w:position w:val="-3"/>
                <w:sz w:val="22"/>
                <w:szCs w:val="22"/>
              </w:rPr>
              <w:t xml:space="preserve">Bactrocera dorsalis</w:t>
            </w:r>
            <w:r>
              <w:rPr>
                <w:rFonts w:ascii="Calibri" w:hAnsi="Calibri" w:eastAsia="Calibri" w:cs="Calibri"/>
                <w:b/>
                <w:bCs/>
                <w:color w:val="000000"/>
                <w:position w:val="-3"/>
                <w:sz w:val="22"/>
                <w:szCs w:val="22"/>
              </w:rPr>
              <w:br/>
              <w:t xml:space="preserve">Authority:</w:t>
            </w:r>
            <w:r>
              <w:rPr>
                <w:rFonts w:ascii="Calibri" w:hAnsi="Calibri" w:eastAsia="Calibri" w:cs="Calibri"/>
                <w:color w:val="000000"/>
                <w:position w:val="-3"/>
                <w:sz w:val="22"/>
                <w:szCs w:val="22"/>
              </w:rPr>
              <w:t xml:space="preserve"> (Hendel)</w:t>
            </w:r>
            <w:r>
              <w:rPr>
                <w:rFonts w:ascii="Calibri" w:hAnsi="Calibri" w:eastAsia="Calibri" w:cs="Calibri"/>
                <w:b/>
                <w:bCs/>
                <w:color w:val="000000"/>
                <w:position w:val="-3"/>
                <w:sz w:val="22"/>
                <w:szCs w:val="22"/>
              </w:rPr>
              <w:br/>
              <w:t xml:space="preserve">Taxonomic position:</w:t>
            </w:r>
            <w:r>
              <w:rPr>
                <w:rFonts w:ascii="Calibri" w:hAnsi="Calibri" w:eastAsia="Calibri" w:cs="Calibri"/>
                <w:color w:val="000000"/>
                <w:position w:val="-3"/>
                <w:sz w:val="22"/>
                <w:szCs w:val="22"/>
              </w:rPr>
              <w:t xml:space="preserve"> Animalia: Arthropoda: Hexapoda: Insecta: Diptera: Tephritidae</w:t>
            </w:r>
            <w:r>
              <w:rPr>
                <w:rFonts w:ascii="Calibri" w:hAnsi="Calibri" w:eastAsia="Calibri" w:cs="Calibri"/>
                <w:b/>
                <w:bCs/>
                <w:color w:val="000000"/>
                <w:position w:val="-3"/>
                <w:sz w:val="22"/>
                <w:szCs w:val="22"/>
              </w:rPr>
              <w:br/>
              <w:t xml:space="preserve">Other scientific names:</w:t>
            </w:r>
            <w:r>
              <w:rPr>
                <w:rFonts w:ascii="Calibri" w:hAnsi="Calibri" w:eastAsia="Calibri" w:cs="Calibri"/>
                <w:color w:val="000000"/>
                <w:position w:val="-3"/>
                <w:sz w:val="22"/>
                <w:szCs w:val="22"/>
              </w:rPr>
              <w:t xml:space="preserve"> </w:t>
            </w:r>
            <w:r>
              <w:rPr>
                <w:rFonts w:ascii="Calibri" w:hAnsi="Calibri" w:eastAsia="Calibri" w:cs="Calibri"/>
                <w:i/>
                <w:iCs/>
                <w:color w:val="000000"/>
                <w:position w:val="-3"/>
                <w:sz w:val="22"/>
                <w:szCs w:val="22"/>
              </w:rPr>
              <w:t xml:space="preserve">Bactrocera invadens</w:t>
            </w:r>
            <w:r>
              <w:rPr>
                <w:rFonts w:ascii="Calibri" w:hAnsi="Calibri" w:eastAsia="Calibri" w:cs="Calibri"/>
                <w:color w:val="000000"/>
                <w:position w:val="-3"/>
                <w:sz w:val="22"/>
                <w:szCs w:val="22"/>
              </w:rPr>
              <w:t xml:space="preserve"> Drew, Tsuruta &amp; White, </w:t>
            </w:r>
            <w:r>
              <w:rPr>
                <w:rFonts w:ascii="Calibri" w:hAnsi="Calibri" w:eastAsia="Calibri" w:cs="Calibri"/>
                <w:i/>
                <w:iCs/>
                <w:color w:val="000000"/>
                <w:position w:val="-3"/>
                <w:sz w:val="22"/>
                <w:szCs w:val="22"/>
              </w:rPr>
              <w:t xml:space="preserve">Bactrocera papayae</w:t>
            </w:r>
            <w:r>
              <w:rPr>
                <w:rFonts w:ascii="Calibri" w:hAnsi="Calibri" w:eastAsia="Calibri" w:cs="Calibri"/>
                <w:color w:val="000000"/>
                <w:position w:val="-3"/>
                <w:sz w:val="22"/>
                <w:szCs w:val="22"/>
              </w:rPr>
              <w:t xml:space="preserve"> Drew &amp; Hancock, </w:t>
            </w:r>
            <w:r>
              <w:rPr>
                <w:rFonts w:ascii="Calibri" w:hAnsi="Calibri" w:eastAsia="Calibri" w:cs="Calibri"/>
                <w:i/>
                <w:iCs/>
                <w:color w:val="000000"/>
                <w:position w:val="-3"/>
                <w:sz w:val="22"/>
                <w:szCs w:val="22"/>
              </w:rPr>
              <w:t xml:space="preserve">Bactrocera philippinensis</w:t>
            </w:r>
            <w:r>
              <w:rPr>
                <w:rFonts w:ascii="Calibri" w:hAnsi="Calibri" w:eastAsia="Calibri" w:cs="Calibri"/>
                <w:color w:val="000000"/>
                <w:position w:val="-3"/>
                <w:sz w:val="22"/>
                <w:szCs w:val="22"/>
              </w:rPr>
              <w:t xml:space="preserve"> Drew &amp; Hancock, </w:t>
            </w:r>
            <w:r>
              <w:rPr>
                <w:rFonts w:ascii="Calibri" w:hAnsi="Calibri" w:eastAsia="Calibri" w:cs="Calibri"/>
                <w:i/>
                <w:iCs/>
                <w:color w:val="000000"/>
                <w:position w:val="-3"/>
                <w:sz w:val="22"/>
                <w:szCs w:val="22"/>
              </w:rPr>
              <w:t xml:space="preserve">Chaetodacus dorsalis</w:t>
            </w:r>
            <w:r>
              <w:rPr>
                <w:rFonts w:ascii="Calibri" w:hAnsi="Calibri" w:eastAsia="Calibri" w:cs="Calibri"/>
                <w:color w:val="000000"/>
                <w:position w:val="-3"/>
                <w:sz w:val="22"/>
                <w:szCs w:val="22"/>
              </w:rPr>
              <w:t xml:space="preserve"> (Hendel), </w:t>
            </w:r>
            <w:r>
              <w:rPr>
                <w:rFonts w:ascii="Calibri" w:hAnsi="Calibri" w:eastAsia="Calibri" w:cs="Calibri"/>
                <w:i/>
                <w:iCs/>
                <w:color w:val="000000"/>
                <w:position w:val="-3"/>
                <w:sz w:val="22"/>
                <w:szCs w:val="22"/>
              </w:rPr>
              <w:t xml:space="preserve">Chaetodacus ferrugineus dorsalis</w:t>
            </w:r>
            <w:r>
              <w:rPr>
                <w:rFonts w:ascii="Calibri" w:hAnsi="Calibri" w:eastAsia="Calibri" w:cs="Calibri"/>
                <w:color w:val="000000"/>
                <w:position w:val="-3"/>
                <w:sz w:val="22"/>
                <w:szCs w:val="22"/>
              </w:rPr>
              <w:t xml:space="preserve"> (Hendel), </w:t>
            </w:r>
            <w:r>
              <w:rPr>
                <w:rFonts w:ascii="Calibri" w:hAnsi="Calibri" w:eastAsia="Calibri" w:cs="Calibri"/>
                <w:i/>
                <w:iCs/>
                <w:color w:val="000000"/>
                <w:position w:val="-3"/>
                <w:sz w:val="22"/>
                <w:szCs w:val="22"/>
              </w:rPr>
              <w:t xml:space="preserve">Chaetodacus ferrugineus okinawanus</w:t>
            </w:r>
            <w:r>
              <w:rPr>
                <w:rFonts w:ascii="Calibri" w:hAnsi="Calibri" w:eastAsia="Calibri" w:cs="Calibri"/>
                <w:color w:val="000000"/>
                <w:position w:val="-3"/>
                <w:sz w:val="22"/>
                <w:szCs w:val="22"/>
              </w:rPr>
              <w:t xml:space="preserve"> Shiraki, </w:t>
            </w:r>
            <w:r>
              <w:rPr>
                <w:rFonts w:ascii="Calibri" w:hAnsi="Calibri" w:eastAsia="Calibri" w:cs="Calibri"/>
                <w:i/>
                <w:iCs/>
                <w:color w:val="000000"/>
                <w:position w:val="-3"/>
                <w:sz w:val="22"/>
                <w:szCs w:val="22"/>
              </w:rPr>
              <w:t xml:space="preserve">Chaetodacus ferrugineus</w:t>
            </w:r>
            <w:r>
              <w:rPr>
                <w:rFonts w:ascii="Calibri" w:hAnsi="Calibri" w:eastAsia="Calibri" w:cs="Calibri"/>
                <w:color w:val="000000"/>
                <w:position w:val="-3"/>
                <w:sz w:val="22"/>
                <w:szCs w:val="22"/>
              </w:rPr>
              <w:t xml:space="preserve"> (Fabricius), </w:t>
            </w:r>
            <w:r>
              <w:rPr>
                <w:rFonts w:ascii="Calibri" w:hAnsi="Calibri" w:eastAsia="Calibri" w:cs="Calibri"/>
                <w:i/>
                <w:iCs/>
                <w:color w:val="000000"/>
                <w:position w:val="-3"/>
                <w:sz w:val="22"/>
                <w:szCs w:val="22"/>
              </w:rPr>
              <w:t xml:space="preserve">Dacus dorsalis</w:t>
            </w:r>
            <w:r>
              <w:rPr>
                <w:rFonts w:ascii="Calibri" w:hAnsi="Calibri" w:eastAsia="Calibri" w:cs="Calibri"/>
                <w:color w:val="000000"/>
                <w:position w:val="-3"/>
                <w:sz w:val="22"/>
                <w:szCs w:val="22"/>
              </w:rPr>
              <w:t xml:space="preserve"> Hendel, </w:t>
            </w:r>
            <w:r>
              <w:rPr>
                <w:rFonts w:ascii="Calibri" w:hAnsi="Calibri" w:eastAsia="Calibri" w:cs="Calibri"/>
                <w:i/>
                <w:iCs/>
                <w:color w:val="000000"/>
                <w:position w:val="-3"/>
                <w:sz w:val="22"/>
                <w:szCs w:val="22"/>
              </w:rPr>
              <w:t xml:space="preserve">Dacus ferrugineus dorsalis</w:t>
            </w:r>
            <w:r>
              <w:rPr>
                <w:rFonts w:ascii="Calibri" w:hAnsi="Calibri" w:eastAsia="Calibri" w:cs="Calibri"/>
                <w:color w:val="000000"/>
                <w:position w:val="-3"/>
                <w:sz w:val="22"/>
                <w:szCs w:val="22"/>
              </w:rPr>
              <w:t xml:space="preserve"> Hendel, </w:t>
            </w:r>
            <w:r>
              <w:rPr>
                <w:rFonts w:ascii="Calibri" w:hAnsi="Calibri" w:eastAsia="Calibri" w:cs="Calibri"/>
                <w:i/>
                <w:iCs/>
                <w:color w:val="000000"/>
                <w:position w:val="-3"/>
                <w:sz w:val="22"/>
                <w:szCs w:val="22"/>
              </w:rPr>
              <w:t xml:space="preserve">Dacus ferrugineus okinawanus</w:t>
            </w:r>
            <w:r>
              <w:rPr>
                <w:rFonts w:ascii="Calibri" w:hAnsi="Calibri" w:eastAsia="Calibri" w:cs="Calibri"/>
                <w:color w:val="000000"/>
                <w:position w:val="-3"/>
                <w:sz w:val="22"/>
                <w:szCs w:val="22"/>
              </w:rPr>
              <w:t xml:space="preserve"> Shiraki, </w:t>
            </w:r>
            <w:r>
              <w:rPr>
                <w:rFonts w:ascii="Calibri" w:hAnsi="Calibri" w:eastAsia="Calibri" w:cs="Calibri"/>
                <w:i/>
                <w:iCs/>
                <w:color w:val="000000"/>
                <w:position w:val="-3"/>
                <w:sz w:val="22"/>
                <w:szCs w:val="22"/>
              </w:rPr>
              <w:t xml:space="preserve">Dacus ferrugineus</w:t>
            </w:r>
            <w:r>
              <w:rPr>
                <w:rFonts w:ascii="Calibri" w:hAnsi="Calibri" w:eastAsia="Calibri" w:cs="Calibri"/>
                <w:color w:val="000000"/>
                <w:position w:val="-3"/>
                <w:sz w:val="22"/>
                <w:szCs w:val="22"/>
              </w:rPr>
              <w:t xml:space="preserve"> Fabricius, </w:t>
            </w:r>
            <w:r>
              <w:rPr>
                <w:rFonts w:ascii="Calibri" w:hAnsi="Calibri" w:eastAsia="Calibri" w:cs="Calibri"/>
                <w:i/>
                <w:iCs/>
                <w:color w:val="000000"/>
                <w:position w:val="-3"/>
                <w:sz w:val="22"/>
                <w:szCs w:val="22"/>
              </w:rPr>
              <w:t xml:space="preserve">Strumeta dorsalis</w:t>
            </w:r>
            <w:r>
              <w:rPr>
                <w:rFonts w:ascii="Calibri" w:hAnsi="Calibri" w:eastAsia="Calibri" w:cs="Calibri"/>
                <w:color w:val="000000"/>
                <w:position w:val="-3"/>
                <w:sz w:val="22"/>
                <w:szCs w:val="22"/>
              </w:rPr>
              <w:t xml:space="preserve"> (Hendel)</w:t>
            </w:r>
            <w:r>
              <w:rPr>
                <w:rFonts w:ascii="Calibri" w:hAnsi="Calibri" w:eastAsia="Calibri" w:cs="Calibri"/>
                <w:b/>
                <w:bCs/>
                <w:color w:val="000000"/>
                <w:position w:val="-3"/>
                <w:sz w:val="22"/>
                <w:szCs w:val="22"/>
              </w:rPr>
              <w:br/>
              <w:t xml:space="preserve">Common names in English:</w:t>
            </w:r>
            <w:r>
              <w:rPr>
                <w:rFonts w:ascii="Calibri" w:hAnsi="Calibri" w:eastAsia="Calibri" w:cs="Calibri"/>
                <w:color w:val="000000"/>
                <w:position w:val="-3"/>
                <w:sz w:val="22"/>
                <w:szCs w:val="22"/>
              </w:rPr>
              <w:t xml:space="preserve"> oriental fruit fly</w:t>
            </w:r>
            <w:hyperlink r:id="rId918367eea4de14903" w:history="1">
              <w:r>
                <w:rPr>
                  <w:rFonts w:ascii="Calibri" w:hAnsi="Calibri" w:eastAsia="Calibri" w:cs="Calibri"/>
                  <w:color w:val="0000CC"/>
                  <w:position w:val="-3"/>
                  <w:sz w:val="22"/>
                  <w:szCs w:val="22"/>
                  <w:u w:val="single"/>
                </w:rPr>
                <w:br/>
                <w:t xml:space="preserve">view more common names online...</w:t>
              </w:r>
            </w:hyperlink>
            <w:r>
              <w:rPr>
                <w:rFonts w:ascii="Calibri" w:hAnsi="Calibri" w:eastAsia="Calibri" w:cs="Calibri"/>
                <w:b/>
                <w:bCs/>
                <w:color w:val="000000"/>
                <w:position w:val="-3"/>
                <w:sz w:val="22"/>
                <w:szCs w:val="22"/>
              </w:rPr>
              <w:br/>
              <w:t xml:space="preserve">EPPO Categorization:</w:t>
            </w:r>
            <w:r>
              <w:rPr>
                <w:rFonts w:ascii="Calibri" w:hAnsi="Calibri" w:eastAsia="Calibri" w:cs="Calibri"/>
                <w:color w:val="000000"/>
                <w:position w:val="-3"/>
                <w:sz w:val="22"/>
                <w:szCs w:val="22"/>
              </w:rPr>
              <w:t xml:space="preserve"> A1 list</w:t>
            </w:r>
            <w:r>
              <w:rPr>
                <w:rFonts w:ascii="Calibri" w:hAnsi="Calibri" w:eastAsia="Calibri" w:cs="Calibri"/>
                <w:b/>
                <w:bCs/>
                <w:color w:val="000000"/>
                <w:position w:val="-3"/>
                <w:sz w:val="22"/>
                <w:szCs w:val="22"/>
              </w:rPr>
              <w:br/>
              <w:t xml:space="preserve">EU Categorization:</w:t>
            </w:r>
            <w:r>
              <w:rPr>
                <w:rFonts w:ascii="Calibri" w:hAnsi="Calibri" w:eastAsia="Calibri" w:cs="Calibri"/>
                <w:color w:val="000000"/>
                <w:position w:val="-3"/>
                <w:sz w:val="22"/>
                <w:szCs w:val="22"/>
              </w:rPr>
              <w:t xml:space="preserve"> A1 Quarantine pest (Annex II A)</w:t>
            </w:r>
            <w:hyperlink r:id="rId345067eea4de1496e" w:history="1">
              <w:r>
                <w:rPr>
                  <w:rFonts w:ascii="Calibri" w:hAnsi="Calibri" w:eastAsia="Calibri" w:cs="Calibri"/>
                  <w:color w:val="0000CC"/>
                  <w:position w:val="-3"/>
                  <w:sz w:val="22"/>
                  <w:szCs w:val="22"/>
                  <w:u w:val="single"/>
                </w:rPr>
                <w:br/>
                <w:t xml:space="preserve">view more categorizations online...</w:t>
              </w:r>
            </w:hyperlink>
            <w:r>
              <w:rPr>
                <w:rFonts w:ascii="Calibri" w:hAnsi="Calibri" w:eastAsia="Calibri" w:cs="Calibri"/>
                <w:b/>
                <w:bCs/>
                <w:color w:val="000000"/>
                <w:position w:val="-3"/>
                <w:sz w:val="22"/>
                <w:szCs w:val="22"/>
              </w:rPr>
              <w:br/>
              <w:t xml:space="preserve">EPPO Code:</w:t>
            </w:r>
            <w:r>
              <w:rPr>
                <w:rFonts w:ascii="Calibri" w:hAnsi="Calibri" w:eastAsia="Calibri" w:cs="Calibri"/>
                <w:color w:val="000000"/>
                <w:position w:val="-3"/>
                <w:sz w:val="22"/>
                <w:szCs w:val="22"/>
              </w:rPr>
              <w:t xml:space="preserve"> DACUDO</w:t>
            </w:r>
          </w:p>
        </w:tc>
        <w:tc>
          <w:tcPr>
            <w:tcW w:w="2000" w:type="pct"/>
            <w:tcMar>
              <w:top w:w="15" w:type="dxa"/>
              <w:left w:w="15" w:type="dxa"/>
              <w:bottom w:w="15" w:type="dxa"/>
              <w:right w:w="15" w:type="dxa"/>
            </w:tcMar>
            <w:vAlign w:val="center"/>
          </w:tcPr>
          <w:p>
            <w:r>
              <w:rPr>
                <w:position w:val="-96"/>
              </w:rPr>
              <w:drawing>
                <wp:inline distT="0" distB="0" distL="0" distR="0">
                  <wp:extent cx="2160000" cy="1281600"/>
                  <wp:docPr id="92733877" name="name207867eea4de14a44" descr="14536.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14536.jpg"/>
                          <pic:cNvPicPr/>
                        </pic:nvPicPr>
                        <pic:blipFill>
                          <a:blip r:embed="rId172367eea4de14a43" cstate="print"/>
                          <a:stretch>
                            <a:fillRect/>
                          </a:stretch>
                        </pic:blipFill>
                        <pic:spPr>
                          <a:xfrm>
                            <a:off x="0" y="0"/>
                            <a:ext cx="2160000" cy="1281600"/>
                          </a:xfrm>
                          <a:prstGeom prst="rect">
                            <a:avLst/>
                          </a:prstGeom>
                          <a:ln w="0">
                            <a:noFill/>
                          </a:ln>
                        </pic:spPr>
                      </pic:pic>
                    </a:graphicData>
                  </a:graphic>
                </wp:inline>
              </w:drawing>
            </w:r>
            <w:hyperlink r:id="rId830367eea4de14f8b" w:history="1">
              <w:r>
                <w:rPr>
                  <w:rFonts w:ascii="Calibri" w:hAnsi="Calibri" w:eastAsia="Calibri" w:cs="Calibri"/>
                  <w:color w:val="0000CC"/>
                  <w:position w:val="-3"/>
                  <w:sz w:val="22"/>
                  <w:szCs w:val="22"/>
                  <w:u w:val="single"/>
                </w:rPr>
                <w:br/>
                <w:t xml:space="preserve">more photos...</w:t>
              </w:r>
            </w:hyperlink>
          </w:p>
          <w:p/>
        </w:tc>
      </w:tr>
    </w:tbl>
    <w:p/>
    <w:p>
      <w:pPr>
        <w:widowControl w:val="on"/>
        <w:pBdr/>
        <w:spacing w:before="0" w:after="0" w:line="240" w:lineRule="auto"/>
        <w:ind w:left="0" w:right="0"/>
        <w:jc w:val="left"/>
      </w:pPr>
      <w:r>
        <w:rPr>
          <w:rFonts w:ascii="Calibri" w:hAnsi="Calibri" w:eastAsia="Calibri" w:cs="Calibri"/>
          <w:b/>
          <w:bCs/>
          <w:color w:val="000000"/>
          <w:sz w:val="22"/>
          <w:szCs w:val="22"/>
        </w:rPr>
        <w:t xml:space="preserve">Notes on taxonomy and nomenclature</w:t>
      </w:r>
    </w:p>
    <w:p>
      <w:pPr>
        <w:widowControl w:val="on"/>
        <w:pBdr/>
        <w:spacing w:before="220" w:after="220" w:line="240" w:lineRule="auto"/>
        <w:ind w:left="0" w:right="0"/>
        <w:jc w:val="both"/>
      </w:pPr>
      <w:r>
        <w:rPr>
          <w:rFonts w:ascii="Calibri" w:hAnsi="Calibri" w:eastAsia="Calibri" w:cs="Calibri"/>
          <w:i/>
          <w:iCs/>
          <w:color w:val="000000"/>
          <w:sz w:val="22"/>
          <w:szCs w:val="22"/>
        </w:rPr>
        <w:t xml:space="preserve">B. dorsalis</w:t>
      </w:r>
      <w:r>
        <w:rPr>
          <w:rFonts w:ascii="Calibri" w:hAnsi="Calibri" w:eastAsia="Calibri" w:cs="Calibri"/>
          <w:color w:val="000000"/>
          <w:sz w:val="22"/>
          <w:szCs w:val="22"/>
        </w:rPr>
        <w:t xml:space="preserve"> forms part of a species complex, within which over 50 species have been described in Asia. Many earlier records of </w:t>
      </w:r>
      <w:r>
        <w:rPr>
          <w:rFonts w:ascii="Calibri" w:hAnsi="Calibri" w:eastAsia="Calibri" w:cs="Calibri"/>
          <w:i/>
          <w:iCs/>
          <w:color w:val="000000"/>
          <w:sz w:val="22"/>
          <w:szCs w:val="22"/>
        </w:rPr>
        <w:t xml:space="preserve">B. dorsalis</w:t>
      </w:r>
      <w:r>
        <w:rPr>
          <w:rFonts w:ascii="Calibri" w:hAnsi="Calibri" w:eastAsia="Calibri" w:cs="Calibri"/>
          <w:color w:val="000000"/>
          <w:sz w:val="22"/>
          <w:szCs w:val="22"/>
        </w:rPr>
        <w:t xml:space="preserve"> from Southern India, Indonesia, Malaysia, the Philippines and Sri Lanka are based on misidentifications of what are now (Drew &amp; Hancock, 1994) known to be other species.  However, some of these taxa previously described as distinct taxa, i.e.</w:t>
      </w:r>
      <w:r>
        <w:rPr>
          <w:rFonts w:ascii="Calibri" w:hAnsi="Calibri" w:eastAsia="Calibri" w:cs="Calibri"/>
          <w:i/>
          <w:iCs/>
          <w:color w:val="000000"/>
          <w:sz w:val="22"/>
          <w:szCs w:val="22"/>
        </w:rPr>
        <w:t xml:space="preserve"> B. invadens</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B. papayae</w:t>
      </w:r>
      <w:r>
        <w:rPr>
          <w:rFonts w:ascii="Calibri" w:hAnsi="Calibri" w:eastAsia="Calibri" w:cs="Calibri"/>
          <w:color w:val="000000"/>
          <w:sz w:val="22"/>
          <w:szCs w:val="22"/>
        </w:rPr>
        <w:t xml:space="preserve">, and </w:t>
      </w:r>
      <w:r>
        <w:rPr>
          <w:rFonts w:ascii="Calibri" w:hAnsi="Calibri" w:eastAsia="Calibri" w:cs="Calibri"/>
          <w:i/>
          <w:iCs/>
          <w:color w:val="000000"/>
          <w:sz w:val="22"/>
          <w:szCs w:val="22"/>
        </w:rPr>
        <w:t xml:space="preserve">B.</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philippinensis</w:t>
      </w:r>
      <w:r>
        <w:rPr>
          <w:rFonts w:ascii="Calibri" w:hAnsi="Calibri" w:eastAsia="Calibri" w:cs="Calibri"/>
          <w:color w:val="000000"/>
          <w:sz w:val="22"/>
          <w:szCs w:val="22"/>
        </w:rPr>
        <w:t xml:space="preserve"> are considered as being synonymous (see Schutze </w:t>
      </w:r>
      <w:r>
        <w:rPr>
          <w:rFonts w:ascii="Calibri" w:hAnsi="Calibri" w:eastAsia="Calibri" w:cs="Calibri"/>
          <w:i/>
          <w:iCs/>
          <w:color w:val="000000"/>
          <w:sz w:val="22"/>
          <w:szCs w:val="22"/>
        </w:rPr>
        <w:t xml:space="preserve">et al</w:t>
      </w:r>
      <w:r>
        <w:rPr>
          <w:rFonts w:ascii="Calibri" w:hAnsi="Calibri" w:eastAsia="Calibri" w:cs="Calibri"/>
          <w:color w:val="000000"/>
          <w:sz w:val="22"/>
          <w:szCs w:val="22"/>
        </w:rPr>
        <w:t xml:space="preserve">., 2014). Part of the literature prior to 2015 will have been published under the junior names in particular with reference to studies in Africa under </w:t>
      </w:r>
      <w:r>
        <w:rPr>
          <w:rFonts w:ascii="Calibri" w:hAnsi="Calibri" w:eastAsia="Calibri" w:cs="Calibri"/>
          <w:i/>
          <w:iCs/>
          <w:color w:val="000000"/>
          <w:sz w:val="22"/>
          <w:szCs w:val="22"/>
        </w:rPr>
        <w:t xml:space="preserve">B. invadens</w:t>
      </w:r>
      <w:r>
        <w:rPr>
          <w:rFonts w:ascii="Calibri" w:hAnsi="Calibri" w:eastAsia="Calibri" w:cs="Calibri"/>
          <w:color w:val="000000"/>
          <w:sz w:val="22"/>
          <w:szCs w:val="22"/>
        </w:rPr>
        <w:t xml:space="preserve">. Some researchers (Drew &amp; Romig, 2013; 2016), however, still consider </w:t>
      </w:r>
      <w:r>
        <w:rPr>
          <w:rFonts w:ascii="Calibri" w:hAnsi="Calibri" w:eastAsia="Calibri" w:cs="Calibri"/>
          <w:i/>
          <w:iCs/>
          <w:color w:val="000000"/>
          <w:sz w:val="22"/>
          <w:szCs w:val="22"/>
        </w:rPr>
        <w:t xml:space="preserve">B. papaya </w:t>
      </w:r>
      <w:r>
        <w:rPr>
          <w:rFonts w:ascii="Calibri" w:hAnsi="Calibri" w:eastAsia="Calibri" w:cs="Calibri"/>
          <w:color w:val="000000"/>
          <w:sz w:val="22"/>
          <w:szCs w:val="22"/>
        </w:rPr>
        <w:t xml:space="preserve">and </w:t>
      </w:r>
      <w:r>
        <w:rPr>
          <w:rFonts w:ascii="Calibri" w:hAnsi="Calibri" w:eastAsia="Calibri" w:cs="Calibri"/>
          <w:i/>
          <w:iCs/>
          <w:color w:val="000000"/>
          <w:sz w:val="22"/>
          <w:szCs w:val="22"/>
        </w:rPr>
        <w:t xml:space="preserve">B. invadens </w:t>
      </w:r>
      <w:r>
        <w:rPr>
          <w:rFonts w:ascii="Calibri" w:hAnsi="Calibri" w:eastAsia="Calibri" w:cs="Calibri"/>
          <w:color w:val="000000"/>
          <w:sz w:val="22"/>
          <w:szCs w:val="22"/>
        </w:rPr>
        <w:t xml:space="preserve">to be valid species, different from </w:t>
      </w:r>
      <w:r>
        <w:rPr>
          <w:rFonts w:ascii="Calibri" w:hAnsi="Calibri" w:eastAsia="Calibri" w:cs="Calibri"/>
          <w:i/>
          <w:iCs/>
          <w:color w:val="000000"/>
          <w:sz w:val="22"/>
          <w:szCs w:val="22"/>
        </w:rPr>
        <w:t xml:space="preserve">B. dorsalis</w:t>
      </w:r>
      <w:r>
        <w:rPr>
          <w:rFonts w:ascii="Calibri" w:hAnsi="Calibri" w:eastAsia="Calibri" w:cs="Calibri"/>
          <w:color w:val="000000"/>
          <w:sz w:val="22"/>
          <w:szCs w:val="22"/>
        </w:rPr>
        <w:t xml:space="preserve">.</w:t>
      </w:r>
    </w:p>
    <w:p>
      <w:pPr>
        <w:widowControl w:val="on"/>
        <w:pBdr/>
        <w:spacing w:before="300" w:after="150" w:line="240" w:lineRule="auto"/>
        <w:ind w:left="0" w:right="0"/>
        <w:jc w:val="left"/>
        <w:outlineLvl w:val="2"/>
      </w:pPr>
      <w:r>
        <w:rPr>
          <w:rFonts w:ascii="Calibri" w:hAnsi="Calibri" w:eastAsia="Calibri" w:cs="Calibri"/>
          <w:b/>
          <w:bCs/>
          <w:color w:val="000000"/>
          <w:sz w:val="22"/>
          <w:szCs w:val="22"/>
        </w:rPr>
        <w:t xml:space="preserve">HOSTS</w:t>
      </w:r>
    </w:p>
    <w:p>
      <w:pPr>
        <w:widowControl w:val="on"/>
        <w:pBdr/>
        <w:spacing w:before="220" w:after="220" w:line="240" w:lineRule="auto"/>
        <w:ind w:left="0" w:right="0"/>
        <w:jc w:val="both"/>
      </w:pPr>
      <w:r>
        <w:rPr>
          <w:rFonts w:ascii="Calibri" w:hAnsi="Calibri" w:eastAsia="Calibri" w:cs="Calibri"/>
          <w:i/>
          <w:iCs/>
          <w:color w:val="000000"/>
          <w:sz w:val="22"/>
          <w:szCs w:val="22"/>
        </w:rPr>
        <w:t xml:space="preserve">B. dorsalis</w:t>
      </w:r>
      <w:r>
        <w:rPr>
          <w:rFonts w:ascii="Calibri" w:hAnsi="Calibri" w:eastAsia="Calibri" w:cs="Calibri"/>
          <w:color w:val="000000"/>
          <w:sz w:val="22"/>
          <w:szCs w:val="22"/>
        </w:rPr>
        <w:t xml:space="preserve"> is one of the most polyphagous fruit fly species, recorded from close to 450 different hosts worldwide, belonging to 80 plant families. In addition, it is associated with a large number of other plant taxa for which the host status is not certain. The USDA Compendium of Fruit Fly Host Information (CoFFHI) (Liquido </w:t>
      </w:r>
      <w:r>
        <w:rPr>
          <w:rFonts w:ascii="Calibri" w:hAnsi="Calibri" w:eastAsia="Calibri" w:cs="Calibri"/>
          <w:i/>
          <w:iCs/>
          <w:color w:val="000000"/>
          <w:sz w:val="22"/>
          <w:szCs w:val="22"/>
        </w:rPr>
        <w:t xml:space="preserve">et al.,</w:t>
      </w:r>
      <w:r>
        <w:rPr>
          <w:rFonts w:ascii="Calibri" w:hAnsi="Calibri" w:eastAsia="Calibri" w:cs="Calibri"/>
          <w:color w:val="000000"/>
          <w:sz w:val="22"/>
          <w:szCs w:val="22"/>
        </w:rPr>
        <w:t xml:space="preserve"> 2019) provides an extensive host list with detailed references. While some fruits (e.g. banana, mangosteen, papaya) are listed as a hosts, it was shown that factors such as ripeness or condition (damaged versus undamaged) can affect the oviposition success of females and the survival of larvae (Cugala </w:t>
      </w:r>
      <w:r>
        <w:rPr>
          <w:rFonts w:ascii="Calibri" w:hAnsi="Calibri" w:eastAsia="Calibri" w:cs="Calibri"/>
          <w:i/>
          <w:iCs/>
          <w:color w:val="000000"/>
          <w:sz w:val="22"/>
          <w:szCs w:val="22"/>
        </w:rPr>
        <w:t xml:space="preserve">et al.,</w:t>
      </w:r>
      <w:r>
        <w:rPr>
          <w:rFonts w:ascii="Calibri" w:hAnsi="Calibri" w:eastAsia="Calibri" w:cs="Calibri"/>
          <w:color w:val="000000"/>
          <w:sz w:val="22"/>
          <w:szCs w:val="22"/>
        </w:rPr>
        <w:t xml:space="preserve"> 2013, 2017; Unahawutti </w:t>
      </w:r>
      <w:r>
        <w:rPr>
          <w:rFonts w:ascii="Calibri" w:hAnsi="Calibri" w:eastAsia="Calibri" w:cs="Calibri"/>
          <w:i/>
          <w:iCs/>
          <w:color w:val="000000"/>
          <w:sz w:val="22"/>
          <w:szCs w:val="22"/>
        </w:rPr>
        <w:t xml:space="preserve">et al.,</w:t>
      </w:r>
      <w:r>
        <w:rPr>
          <w:rFonts w:ascii="Calibri" w:hAnsi="Calibri" w:eastAsia="Calibri" w:cs="Calibri"/>
          <w:color w:val="000000"/>
          <w:sz w:val="22"/>
          <w:szCs w:val="22"/>
        </w:rPr>
        <w:t xml:space="preserve"> 2014).</w:t>
      </w:r>
    </w:p>
    <w:p>
      <w:pPr>
        <w:widowControl w:val="on"/>
        <w:pBdr/>
        <w:spacing w:before="0" w:after="0" w:line="240" w:lineRule="auto"/>
        <w:ind w:left="0" w:right="0"/>
        <w:jc w:val="left"/>
      </w:pPr>
      <w:r>
        <w:rPr>
          <w:rFonts w:ascii="Calibri" w:hAnsi="Calibri" w:eastAsia="Calibri" w:cs="Calibri"/>
          <w:b/>
          <w:bCs/>
          <w:color w:val="000000"/>
          <w:sz w:val="22"/>
          <w:szCs w:val="22"/>
        </w:rPr>
        <w:t xml:space="preserve">Host list:</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Abelmoschus esculentus</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Acca sellowiana</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Actinidia fulvicoma</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Adenanthera pavonina</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Adenia cissampeloides</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Adonidia merrillii</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Aegle marmelos</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Afzelia xylocarpa</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Alangium chinense</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Alangium salviifolium</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Alpinia mutica</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Anacardium occidentale</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Ananas comosus</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Annona cherimola</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Annona glabra</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Annona macroprophyllata</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Annona montana</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Annona muricata</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Annona reticulata</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Annona senegalensis</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Annona squamosa</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Antiaris toxicaria</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Antidesma ghaesembilla</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Aphloia theiformis</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Aporosa villosa</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Ardisia crenata</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Areca catechu</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Arenga engleri</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Arenga pinnata</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Arenga westerhoutii</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Artabotrys monteiroae</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Artabotrys siamensis</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Artocarpus altilis</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Artocarpus chama</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Artocarpus elasticus</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Artocarpus heterophyllus</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Artocarpus integer</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Artocarpus lacucha</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Artocarpus lanceifolius</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Artocarpus nitidus</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Artocarpus odoratissimus</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Artocarpus rigidus</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Artocarpus sericicarpus</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Averrhoa bilimbi</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Averrhoa carambola</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Azadirachta excelsa</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Baccaurea angulata</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Baccaurea motleyana</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Baccaurea racemosa</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Baccaurea ramiflora</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Bactris gasipaes</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Balakata baccata</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Barringtonia edulis</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Benincasa hispida</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Bischofia javanica</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Blighia sapida</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Borassus flabellifer</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Bouea macrophylla</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Bouea oppositifolia</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Breynia racemosa</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Bridelia stipularis</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Broussonetia kaempferi</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Broussonetia papyrifera</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Callicarpa longifolia</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Calophyllum inophyllum</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Calotropis sp.</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Camonea vitifolia</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Cananga odorata</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Canarium album</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Canarium indicum</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Capparis duchesnei</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Capparis sepiaria</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Capparis tomentosa</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Capsicum annuum</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Capsicum frutescens</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Carallia brachiata</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Careya arborea</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Carica papaya</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Carissa carandas</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Carissa spinarum</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Caryota mitis</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Cascabela thevetia</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Casimiroa edulis</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Castanopsis sp.</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Cayratia japonica</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Celtis tetrandra</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Chionanthus parkinsonii</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Choerospondias axillaris</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Chrysobalanus icaco</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Chrysophyllum cainito</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Chukrasia tabularis</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Cinnamomum yabunikkei</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Cissus repens</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Citrullus colocynthis</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Citrullus lanatus</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Citrus depressa</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Citrus maxima</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Citrus natsudaidai</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Citrus reticulata</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Citrus swinglei</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Citrus trifoliata</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Citrus x amblycarpa</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Citrus x aurantiifolia</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Citrus x aurantium var. clementina</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Citrus x aurantium var. deliciosa</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Citrus x aurantium var. paradisi</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Citrus x aurantium var. sinensis</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Citrus x aurantium var. unshiu</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Citrus x aurantium</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Citrus x latifolia</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Citrus x limon var. meyerii</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Citrus x limon</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Citrus x limonia var. jambhiri</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Citrus x nobilis</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Citrus x tangelo</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Clausena lansium</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Clusia rosea</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Coccinia grandis</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Coccoloba uvifera</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Coffea arabica</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Coffea canephora</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Cordia alba</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Cordia sp.</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Cordyla pinnata</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Crescentia cujete</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Crinum asiaticum</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Cucumis melo</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Cucumis prophetarum</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Cucumis sativus</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Cucurbita argyrosperma</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Cucurbita maxima</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Cucurbita moschata</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Cucurbita pepo</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Cydonia oblonga</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Dacryodes edulis</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Desmos chinensis</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Dillenia obovata</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Dimocarpus longan</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Diospyros abyssinica</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Diospyros areolata</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Diospyros castanea</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Diospyros dasyphylla</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Diospyros diepenhorstii</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Diospyros discolor</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Diospyros glandulosa</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Diospyros japonica</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Diospyros kaki</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Diospyros malabarica</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Diospyros maritima</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Diospyros mespiliformis</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Diospyros mollis</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Diospyros montana</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Diospyros morrisiana</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Diospyros nigra</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Diospyros sandwicensis</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Diospyros tutcheri</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Diplocyclos palmatus</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Donella lanceolata</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Dovyalis hebecarpa</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Dracaena reflexa</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Dracaena steudneri</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Drypetes floribunda</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Durio zibethinus</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Dysoxylum parasiticum</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Ehretia microphylla</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Elaeocarpus hygrophilus</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Elaeocarpus serratus</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Eriobotrya japonica</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Erycibe subspicata</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Eugenia dombeyi</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Eugenia palumbis</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Eugenia uniflora</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Excoecaria agallocha</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Fagraea berteroana</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Fagraea ceilanica</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Fibraurea tinctoria</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Ficus auriculata</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Ficus benjamina</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Ficus carica</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Ficus chartacea</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Ficus erecta</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Ficus fistulosa</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Ficus hirta</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Ficus hispida</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Ficus lepicarpa</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Ficus microcarpa</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Ficus obpyramidata</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Ficus polita</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Ficus pumila</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Ficus racemosa</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Ficus religiosa</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Ficus sagittata</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Ficus septica</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Ficus sp.</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Ficus sycomorus</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Ficus virgata</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Flacourtia indica</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Flacourtia rukam</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Flueggea virosa</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Fortunella hindsii</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Fortunella japonica</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Fortunella margarita</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Fragaria chiloensis</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Gambeya albida</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Garcinia atroviridis</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Garcinia celebica</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Garcinia costata</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Garcinia cowa</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Garcinia dulcis</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Garcinia griffithii</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Garcinia intermedia</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Garcinia mangostana</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Garcinia mannii</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Garcinia parvifolia</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Garcinia prainiana</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Garcinia subelliptica</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Garcinia venulosa</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Garcinia xanthochymus</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Garuga floribunda</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Glycosmis pentaphylla</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Gmelina elliptica</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Gmelina philippensis</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Gnetum sp.</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Grewia asiatica</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Gynochthodes umbellata</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Haematostaphis barteri</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Hanguana malayana</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Hexalobus monopetalus</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Heynea trijuga</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Holigarna kurzii</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Horsfieldia irya</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Icacina oliviformis</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Inga laurina</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Inocarpus fagifer</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Irvingia gabonensis</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Irvingia malayana</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Ixora javanica</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Ixora macrothyrsa</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Juglans hindsii</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Juglans nigra</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Juglans regia</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Kaempferia sp.</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Kedrostis leloja</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Knema globularia</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Lagenaria siceraria</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Landolphia heudelotii</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Lansium domesticum</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Lepisanthes alata</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Lepisanthes fruticosa</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Lepisanthes rubiginosa</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Lepisanthes tetraphylla</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Lindera oxyphylla</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Litchi chinensis</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Litsea glutinosa</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Litsea salicifolia</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Luffa acutangula</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Luffa aegyptiaca</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Lycianthes biflora</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Machilus thunbergii</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Maclura cochinchinensis</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Malpighia emarginata</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Malpighia glabra</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Malus domestica</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Malus sylvestris</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Mammea siamensis</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Mangifera caesia</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Mangifera caloneura</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Mangifera casturi</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Mangifera foetida</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Mangifera griffithii</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Mangifera indica</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Mangifera lalijiwa</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Mangifera laurina</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Mangifera odorata</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Mangifera pajang</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Mangifera quadrifida</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Manilkara jaimiqui</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Manilkara zapota</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Melastoma dodecandrum</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Melicope pteleifolia</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Microcos tomentosa</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Mimusops coriacea</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Mimusops elengi</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Mitrephora maingayi</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Momordica balsamina</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Momordica charantia</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Momordica cochinchinensis</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Monoon longifolium</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Monoon simiarum</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Morella rubra</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Morinda citrifolia</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Morinda coreia</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Morus alba</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Morus nigra</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Muntingia calabura</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Murraya paniculata</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Musa acuminata</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Musa balbisiana</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Musa basjoo</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Musa troglodytarum</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Musa x paradisiaca</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Myrianthus arboreus</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Myxopyrum smilacifolium</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Nauclea latifolia</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Nauclea orientalis</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Neolamarckia cadamba</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Neolitsea sericea</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Nephelium cuspidatum</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Nephelium lappaceum</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Noronhia emarginata</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Notelaea sandwicensis</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Ochreinauclea maingayi</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Ochrosia mariannensis</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Olax scandens</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Opilia amentacea</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Opuntia ficus-indica</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Palaquium maingayi</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Pandanus odorifer</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Pandanus tectorius</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Parinari anamensis</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Parkia biglobosa</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Parkia speciosa</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Passiflora caerulea</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Passiflora edulis</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Passiflora foetida</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Passiflora incarnata</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Passiflora laurifolia</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Passiflora ligularis</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Passiflora quadrangularis</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Passiflora suberosa</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Passiflora tripartita</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Persea americana</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Phaleria macrocarpa</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Phaseolus vulgaris</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Phoenix dactylifera</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Phyllanthus acidus</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Phyllanthus emblica</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Phyllanthus littoralis</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Physalis minima</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Physalis peruviana</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Pimenta dioica</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Piper nigrum</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Planchonella duclitan</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Pometia pinnata</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Potentilla indica</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Pouteria caimito</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Pouteria campechiana</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Pouteria sapota</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Pouteria viridis</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Premna serratifolia</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Prunus armeniaca</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Prunus avium</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Prunus campanulata</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Prunus cerasifera</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Prunus cerasoides</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Prunus cerasus</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Prunus davidiana</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Prunus domestica</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Prunus mume</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Prunus persica</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Prunus phaeosticta</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Prunus salicina</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Pseudocydonia sinensis</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Psidium cattleyanum</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Psidium guajava</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Punica granatum</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Pyrus calleryana</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Pyrus communis</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Pyrus pyrifolia</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Rhaphiolepis williamtelliana</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Rhizophora sp.</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Rhodocactus grandifolius</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Rhodomyrtus tomentosa</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Rollinia mucosa</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Rubus leucanthus</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Rubus reflexus</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Rubus rosifolius</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Rubus sumatranus</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Saba comorensis</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Saba senegalensis</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Salacca zalacca</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Salacia verrucosa</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Sambucus javanica</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Sandoricum koetjape</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Santalum paniculatum</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Sauropus androgynus</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Schoepfia fragrans</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Sclerocarya birrea</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Sechium edule</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Selenicereus undatus</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Sesbania grandiflora</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Shirakiopsis indica</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Simarouba glauca</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Siphonodon celastrineus</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Solanum aculeatissimum</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Solanum aethiopicum</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Solanum americanum</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Solanum anguivi</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Solanum betaceum</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Solanum capsicoides</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Solanum donianum</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Solanum erianthum</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Solanum granuloso-leprosum</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Solanum incanum</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Solanum lasiocarpum</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Solanum linnaeanum</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Solanum lycopersicum</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Solanum mauritianum</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Solanum melongena</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Solanum muricatum</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Solanum nigrum</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Solanum pimpinellifolium</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Solanum pseudocapsicum</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Solanum seaforthianum</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Solanum sessiliflorum</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Solanum stramoniifolium</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Solanum torvum</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Solanum trilobatum</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Sorindeia madagascariensis</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Spondias dulcis</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Spondias mombin</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Spondias pinnata</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Spondias purpurea</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Staphylea ternata</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Streblus asper</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Strychnos mellodora</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Strychnos nux-vomica</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Syzygium acuminatissimum</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Syzygium aqueum</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Syzygium aromaticum</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Syzygium borneense</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Syzygium coarctatum</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Syzygium cumini</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Syzygium formosanum</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Syzygium grande</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Syzygium jambos</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Syzygium levinei</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Syzygium lineatum</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Syzygium malaccense</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Syzygium nervosum</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Syzygium samarangense</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Terminalia bellirica</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Terminalia catappa</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Terminalia chebula</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Terminalia citrina</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Theobroma cacao</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Trichosanthes costata</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Trichosanthes pilosa</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Trichosanthes scabra</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Triphasia trifolia</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Uvaria grandiflora</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Uvaria littoralis</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Vaccinium reticulatum</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Vangueria infausta</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Viburnum japonicum</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Vitellaria paradoxa</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Vitis amurensis</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Vitis vinifera</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Voacanga africana</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Wikstroemia phillyreifolia</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Wikstroemia uva-ursi</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Willughbeia coriacea</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Willughbeia edulis</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Xanthophyllum flavescens</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Ximenia americana</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Xylotheca kraussiana</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Zanthoxylum asiaticum</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Zehneria mucronata</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Zehneria wallichii</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Ziziphus jujuba</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Ziziphus mauritiana</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Ziziphus mucronata</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Ziziphus nummularia</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Ziziphus oenopolia</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x Citrofortunella floridana</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x Citrofortunella microcarpa</w:t>
      </w:r>
    </w:p>
    <w:p>
      <w:pPr>
        <w:widowControl w:val="on"/>
        <w:pBdr/>
        <w:spacing w:before="300" w:after="150" w:line="240" w:lineRule="auto"/>
        <w:ind w:left="0" w:right="0"/>
        <w:jc w:val="left"/>
        <w:outlineLvl w:val="2"/>
      </w:pPr>
      <w:r>
        <w:rPr>
          <w:rFonts w:ascii="Calibri" w:hAnsi="Calibri" w:eastAsia="Calibri" w:cs="Calibri"/>
          <w:b/>
          <w:bCs/>
          <w:color w:val="000000"/>
          <w:sz w:val="22"/>
          <w:szCs w:val="22"/>
        </w:rPr>
        <w:t xml:space="preserve">GEOGRAPHICAL DISTRIBUTION</w:t>
      </w:r>
    </w:p>
    <w:p>
      <w:pPr>
        <w:widowControl w:val="on"/>
        <w:pBdr/>
        <w:spacing w:before="220" w:after="220" w:line="240" w:lineRule="auto"/>
        <w:ind w:left="0" w:right="0"/>
        <w:jc w:val="both"/>
      </w:pPr>
      <w:r>
        <w:rPr>
          <w:rFonts w:ascii="Calibri" w:hAnsi="Calibri" w:eastAsia="Calibri" w:cs="Calibri"/>
          <w:i/>
          <w:iCs/>
          <w:color w:val="000000"/>
          <w:sz w:val="22"/>
          <w:szCs w:val="22"/>
        </w:rPr>
        <w:t xml:space="preserve">Bactrocera dorsalis</w:t>
      </w:r>
      <w:r>
        <w:rPr>
          <w:rFonts w:ascii="Calibri" w:hAnsi="Calibri" w:eastAsia="Calibri" w:cs="Calibri"/>
          <w:color w:val="000000"/>
          <w:sz w:val="22"/>
          <w:szCs w:val="22"/>
        </w:rPr>
        <w:t xml:space="preserve"> is an Asian species distributed from the Indian Subcontinent eastwards towards Southeast Asia. It has been introduced into different parts of Oceania, and while it has been eradicated in some of these areas it became established in others. Vargas </w:t>
      </w:r>
      <w:r>
        <w:rPr>
          <w:rFonts w:ascii="Calibri" w:hAnsi="Calibri" w:eastAsia="Calibri" w:cs="Calibri"/>
          <w:i/>
          <w:iCs/>
          <w:color w:val="000000"/>
          <w:sz w:val="22"/>
          <w:szCs w:val="22"/>
        </w:rPr>
        <w:t xml:space="preserve">et al.</w:t>
      </w:r>
      <w:r>
        <w:rPr>
          <w:rFonts w:ascii="Calibri" w:hAnsi="Calibri" w:eastAsia="Calibri" w:cs="Calibri"/>
          <w:color w:val="000000"/>
          <w:sz w:val="22"/>
          <w:szCs w:val="22"/>
        </w:rPr>
        <w:t xml:space="preserve"> (2015) gives an overview of the distribution and invasion history. The species has also been introduced in Africa where it was detected for the first time in 2003 in Kenya. It subsequently spread throughout the whole continent below the Sahara (De Villiers </w:t>
      </w:r>
      <w:r>
        <w:rPr>
          <w:rFonts w:ascii="Calibri" w:hAnsi="Calibri" w:eastAsia="Calibri" w:cs="Calibri"/>
          <w:i/>
          <w:iCs/>
          <w:color w:val="000000"/>
          <w:sz w:val="22"/>
          <w:szCs w:val="22"/>
        </w:rPr>
        <w:t xml:space="preserve">et al</w:t>
      </w:r>
      <w:r>
        <w:rPr>
          <w:rFonts w:ascii="Calibri" w:hAnsi="Calibri" w:eastAsia="Calibri" w:cs="Calibri"/>
          <w:color w:val="000000"/>
          <w:sz w:val="22"/>
          <w:szCs w:val="22"/>
        </w:rPr>
        <w:t xml:space="preserve">., 2016) as well as several islands in the western part of the Indian Ocean. It has been recently detected in the EPPO region (France: Mouttet &amp; Balmès, 2020; Italy: Nugnes </w:t>
      </w:r>
      <w:r>
        <w:rPr>
          <w:rFonts w:ascii="Calibri" w:hAnsi="Calibri" w:eastAsia="Calibri" w:cs="Calibri"/>
          <w:i/>
          <w:iCs/>
          <w:color w:val="000000"/>
          <w:sz w:val="22"/>
          <w:szCs w:val="22"/>
        </w:rPr>
        <w:t xml:space="preserve">et al.</w:t>
      </w:r>
      <w:r>
        <w:rPr>
          <w:rFonts w:ascii="Calibri" w:hAnsi="Calibri" w:eastAsia="Calibri" w:cs="Calibri"/>
          <w:color w:val="000000"/>
          <w:sz w:val="22"/>
          <w:szCs w:val="22"/>
        </w:rPr>
        <w:t xml:space="preserve">, 2018) although there is currently no evidence that it has become established there.</w:t>
      </w:r>
    </w:p>
    <w:p>
      <w:r>
        <w:drawing>
          <wp:inline distT="0" distB="0" distL="0" distR="0">
            <wp:extent cx="6120000" cy="3067200"/>
            <wp:docPr id="25939942" name="name888567eea4de1a125" descr="DACUDO_distribution_map.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DACUDO_distribution_map.jpg"/>
                    <pic:cNvPicPr/>
                  </pic:nvPicPr>
                  <pic:blipFill>
                    <a:blip r:embed="rId636167eea4de1a121" cstate="print"/>
                    <a:stretch>
                      <a:fillRect/>
                    </a:stretch>
                  </pic:blipFill>
                  <pic:spPr>
                    <a:xfrm>
                      <a:off x="0" y="0"/>
                      <a:ext cx="6120000" cy="3067200"/>
                    </a:xfrm>
                    <a:prstGeom prst="rect">
                      <a:avLst/>
                    </a:prstGeom>
                    <a:ln w="0">
                      <a:noFill/>
                    </a:ln>
                  </pic:spPr>
                </pic:pic>
              </a:graphicData>
            </a:graphic>
          </wp:inline>
        </w:drawing>
      </w:r>
      <w:r>
        <w:rPr>
          <w:rFonts w:ascii="Calibri" w:hAnsi="Calibri" w:eastAsia="Calibri" w:cs="Calibri"/>
          <w:b/>
          <w:bCs/>
          <w:color w:val="000000"/>
          <w:sz w:val="22"/>
          <w:szCs w:val="22"/>
        </w:rPr>
        <w:br/>
        <w:t xml:space="preserve">EPPO Region:</w:t>
      </w:r>
      <w:r>
        <w:rPr>
          <w:rFonts w:ascii="Calibri" w:hAnsi="Calibri" w:eastAsia="Calibri" w:cs="Calibri"/>
          <w:color w:val="000000"/>
          <w:sz w:val="22"/>
          <w:szCs w:val="22"/>
        </w:rPr>
        <w:t xml:space="preserve"> France (mainland), Italy (mainland)</w:t>
      </w:r>
      <w:r>
        <w:rPr>
          <w:rFonts w:ascii="Calibri" w:hAnsi="Calibri" w:eastAsia="Calibri" w:cs="Calibri"/>
          <w:b/>
          <w:bCs/>
          <w:color w:val="000000"/>
          <w:sz w:val="22"/>
          <w:szCs w:val="22"/>
        </w:rPr>
        <w:br/>
        <w:t xml:space="preserve">Africa:</w:t>
      </w:r>
      <w:r>
        <w:rPr>
          <w:rFonts w:ascii="Calibri" w:hAnsi="Calibri" w:eastAsia="Calibri" w:cs="Calibri"/>
          <w:color w:val="000000"/>
          <w:sz w:val="22"/>
          <w:szCs w:val="22"/>
        </w:rPr>
        <w:t xml:space="preserve"> Angola, Benin, Botswana, Burkina Faso, Burundi, Cameroon, Cape Verde, Central African Republic, Chad, Comoros, Congo, Congo, The Democratic Republic of the, Cote d'Ivoire, Equatorial Guinea, Eritrea, Eswatini, Ethiopia, Gabon, Gambia, Ghana, Guinea, Guinea-Bissau, Kenya, Liberia, Madagascar, Malawi, Mali, Mauritania, Mauritius, Mayotte, Mozambique, Namibia, Niger, Nigeria, Reunion, Rwanda, Senegal, Sierra Leone, South Africa, Sudan, Tanzania, United Republic of, Togo, Uganda, Zambia, Zimbabwe</w:t>
      </w:r>
      <w:r>
        <w:rPr>
          <w:rFonts w:ascii="Calibri" w:hAnsi="Calibri" w:eastAsia="Calibri" w:cs="Calibri"/>
          <w:b/>
          <w:bCs/>
          <w:color w:val="000000"/>
          <w:sz w:val="22"/>
          <w:szCs w:val="22"/>
        </w:rPr>
        <w:br/>
        <w:t xml:space="preserve">Asia:</w:t>
      </w:r>
      <w:r>
        <w:rPr>
          <w:rFonts w:ascii="Calibri" w:hAnsi="Calibri" w:eastAsia="Calibri" w:cs="Calibri"/>
          <w:color w:val="000000"/>
          <w:sz w:val="22"/>
          <w:szCs w:val="22"/>
        </w:rPr>
        <w:t xml:space="preserve"> Bangladesh, Bhutan, Brunei Darussalam, Cambodia, China (Anhui, Aomen (Macau), Beijing, Chongqing, Fujian, Guangdong, Guangxi, Guizhou, Hainan, Hebei, Henan, Hubei, Hunan, Jiangsu, Jiangxi, Shaanxi, Shandong, Shanghai, Sichuan, Xianggang (Hong Kong), Xizhang, Yunnan, Zhejiang), Christmas Island, East Timor, India (Andaman and Nicobar Islands, Andhra Pradesh, Assam, Bihar, Chhattisgarh, Delhi, Goa, Gujarat, Haryana, Himachal Pradesh, Jammu &amp; Kashmir, Karnataka, Kerala, Madhya Pradesh, Maharashtra, Manipur, Mizoram, Nagaland, Odisha, Punjab, Rajasthan, Sikkim, Tamil Nadu, Telangana, Uttarakhand, Uttar Pradesh, West Bengal), Indonesia (Irian Jaya, Java, Kalimantan, Nusa Tenggara, Sulawesi, Sumatra), Lao People's Democratic Republic, Malaysia (Sabah, Sarawak, West), Myanmar, Nepal, Oman, Pakistan, Philippines, Singapore, Sri Lanka, Taiwan, Thailand, United Arab Emirates, Vietnam</w:t>
      </w:r>
      <w:r>
        <w:rPr>
          <w:rFonts w:ascii="Calibri" w:hAnsi="Calibri" w:eastAsia="Calibri" w:cs="Calibri"/>
          <w:b/>
          <w:bCs/>
          <w:color w:val="000000"/>
          <w:sz w:val="22"/>
          <w:szCs w:val="22"/>
        </w:rPr>
        <w:br/>
        <w:t xml:space="preserve">North America:</w:t>
      </w:r>
      <w:r>
        <w:rPr>
          <w:rFonts w:ascii="Calibri" w:hAnsi="Calibri" w:eastAsia="Calibri" w:cs="Calibri"/>
          <w:color w:val="000000"/>
          <w:sz w:val="22"/>
          <w:szCs w:val="22"/>
        </w:rPr>
        <w:t xml:space="preserve"> United States of America (California, Hawaii)</w:t>
      </w:r>
      <w:r>
        <w:rPr>
          <w:rFonts w:ascii="Calibri" w:hAnsi="Calibri" w:eastAsia="Calibri" w:cs="Calibri"/>
          <w:b/>
          <w:bCs/>
          <w:color w:val="000000"/>
          <w:sz w:val="22"/>
          <w:szCs w:val="22"/>
        </w:rPr>
        <w:br/>
        <w:t xml:space="preserve">Oceania:</w:t>
      </w:r>
      <w:r>
        <w:rPr>
          <w:rFonts w:ascii="Calibri" w:hAnsi="Calibri" w:eastAsia="Calibri" w:cs="Calibri"/>
          <w:color w:val="000000"/>
          <w:sz w:val="22"/>
          <w:szCs w:val="22"/>
        </w:rPr>
        <w:t xml:space="preserve"> Australia (Queensland), French Polynesia, Palau, Papua New Guinea</w:t>
      </w:r>
    </w:p>
    <w:p>
      <w:pPr>
        <w:widowControl w:val="on"/>
        <w:pBdr/>
        <w:spacing w:before="300" w:after="150" w:line="240" w:lineRule="auto"/>
        <w:ind w:left="0" w:right="0"/>
        <w:jc w:val="left"/>
        <w:outlineLvl w:val="2"/>
      </w:pPr>
      <w:r>
        <w:rPr>
          <w:rFonts w:ascii="Calibri" w:hAnsi="Calibri" w:eastAsia="Calibri" w:cs="Calibri"/>
          <w:b/>
          <w:bCs/>
          <w:color w:val="000000"/>
          <w:sz w:val="22"/>
          <w:szCs w:val="22"/>
        </w:rPr>
        <w:br/>
        <w:t xml:space="preserve">BIOLOGY</w:t>
      </w:r>
    </w:p>
    <w:p>
      <w:pPr>
        <w:widowControl w:val="on"/>
        <w:pBdr/>
        <w:spacing w:before="220" w:after="220" w:line="240" w:lineRule="auto"/>
        <w:ind w:left="0" w:right="0"/>
        <w:jc w:val="both"/>
      </w:pPr>
      <w:r>
        <w:rPr>
          <w:rFonts w:ascii="Calibri" w:hAnsi="Calibri" w:eastAsia="Calibri" w:cs="Calibri"/>
          <w:color w:val="000000"/>
          <w:sz w:val="22"/>
          <w:szCs w:val="22"/>
        </w:rPr>
        <w:t xml:space="preserve">The general life cycle is similar to those of other </w:t>
      </w:r>
      <w:r>
        <w:rPr>
          <w:rFonts w:ascii="Calibri" w:hAnsi="Calibri" w:eastAsia="Calibri" w:cs="Calibri"/>
          <w:i/>
          <w:iCs/>
          <w:color w:val="000000"/>
          <w:sz w:val="22"/>
          <w:szCs w:val="22"/>
        </w:rPr>
        <w:t xml:space="preserve">Bactrocera</w:t>
      </w:r>
      <w:r>
        <w:rPr>
          <w:rFonts w:ascii="Calibri" w:hAnsi="Calibri" w:eastAsia="Calibri" w:cs="Calibri"/>
          <w:color w:val="000000"/>
          <w:sz w:val="22"/>
          <w:szCs w:val="22"/>
        </w:rPr>
        <w:t xml:space="preserve"> species infesting fruits: eggs are laid below the skin of the host fruit. Three larval stages develop inside the fruit, feeding on the plant tissue. Once mature the third instar larva will leave the fruit, dig down into the soil and turn into a pupa enclosed in a puparium. The adult fly will emerge from the puparium. </w:t>
      </w:r>
      <w:r>
        <w:rPr>
          <w:rFonts w:ascii="Calibri" w:hAnsi="Calibri" w:eastAsia="Calibri" w:cs="Calibri"/>
          <w:i/>
          <w:iCs/>
          <w:color w:val="000000"/>
          <w:sz w:val="22"/>
          <w:szCs w:val="22"/>
        </w:rPr>
        <w:t xml:space="preserve">Bactrocera dorsalis</w:t>
      </w:r>
      <w:r>
        <w:rPr>
          <w:rFonts w:ascii="Calibri" w:hAnsi="Calibri" w:eastAsia="Calibri" w:cs="Calibri"/>
          <w:color w:val="000000"/>
          <w:sz w:val="22"/>
          <w:szCs w:val="22"/>
        </w:rPr>
        <w:t xml:space="preserve"> can complete its life cycle in  about 37 days at 25°C (Vargas </w:t>
      </w:r>
      <w:r>
        <w:rPr>
          <w:rFonts w:ascii="Calibri" w:hAnsi="Calibri" w:eastAsia="Calibri" w:cs="Calibri"/>
          <w:i/>
          <w:iCs/>
          <w:color w:val="000000"/>
          <w:sz w:val="22"/>
          <w:szCs w:val="22"/>
        </w:rPr>
        <w:t xml:space="preserve">et al.</w:t>
      </w:r>
      <w:r>
        <w:rPr>
          <w:rFonts w:ascii="Calibri" w:hAnsi="Calibri" w:eastAsia="Calibri" w:cs="Calibri"/>
          <w:color w:val="000000"/>
          <w:sz w:val="22"/>
          <w:szCs w:val="22"/>
        </w:rPr>
        <w:t xml:space="preserve">, 1984). Adults can live up to 11 weeks (Vargas </w:t>
      </w:r>
      <w:r>
        <w:rPr>
          <w:rFonts w:ascii="Calibri" w:hAnsi="Calibri" w:eastAsia="Calibri" w:cs="Calibri"/>
          <w:i/>
          <w:iCs/>
          <w:color w:val="000000"/>
          <w:sz w:val="22"/>
          <w:szCs w:val="22"/>
        </w:rPr>
        <w:t xml:space="preserve">et al</w:t>
      </w:r>
      <w:r>
        <w:rPr>
          <w:rFonts w:ascii="Calibri" w:hAnsi="Calibri" w:eastAsia="Calibri" w:cs="Calibri"/>
          <w:color w:val="000000"/>
          <w:sz w:val="22"/>
          <w:szCs w:val="22"/>
        </w:rPr>
        <w:t xml:space="preserve">., 1984). Females start laying eggs between 18 and 48 days after adult emergence depending on prevailing temperatures (Vargas </w:t>
      </w:r>
      <w:r>
        <w:rPr>
          <w:rFonts w:ascii="Calibri" w:hAnsi="Calibri" w:eastAsia="Calibri" w:cs="Calibri"/>
          <w:i/>
          <w:iCs/>
          <w:color w:val="000000"/>
          <w:sz w:val="22"/>
          <w:szCs w:val="22"/>
        </w:rPr>
        <w:t xml:space="preserve">et al.</w:t>
      </w:r>
      <w:r>
        <w:rPr>
          <w:rFonts w:ascii="Calibri" w:hAnsi="Calibri" w:eastAsia="Calibri" w:cs="Calibri"/>
          <w:color w:val="000000"/>
          <w:sz w:val="22"/>
          <w:szCs w:val="22"/>
        </w:rPr>
        <w:t xml:space="preserve">, 2000). The larval duration of </w:t>
      </w:r>
      <w:r>
        <w:rPr>
          <w:rFonts w:ascii="Calibri" w:hAnsi="Calibri" w:eastAsia="Calibri" w:cs="Calibri"/>
          <w:i/>
          <w:iCs/>
          <w:color w:val="000000"/>
          <w:sz w:val="22"/>
          <w:szCs w:val="22"/>
        </w:rPr>
        <w:t xml:space="preserve">B. dorsalis</w:t>
      </w:r>
      <w:r>
        <w:rPr>
          <w:rFonts w:ascii="Calibri" w:hAnsi="Calibri" w:eastAsia="Calibri" w:cs="Calibri"/>
          <w:color w:val="000000"/>
          <w:sz w:val="22"/>
          <w:szCs w:val="22"/>
        </w:rPr>
        <w:t xml:space="preserve"> varies from 7 to 36 days at 35°C and 15°C respectively (Rwomushana </w:t>
      </w:r>
      <w:r>
        <w:rPr>
          <w:rFonts w:ascii="Calibri" w:hAnsi="Calibri" w:eastAsia="Calibri" w:cs="Calibri"/>
          <w:i/>
          <w:iCs/>
          <w:color w:val="000000"/>
          <w:sz w:val="22"/>
          <w:szCs w:val="22"/>
        </w:rPr>
        <w:t xml:space="preserve">et al</w:t>
      </w:r>
      <w:r>
        <w:rPr>
          <w:rFonts w:ascii="Calibri" w:hAnsi="Calibri" w:eastAsia="Calibri" w:cs="Calibri"/>
          <w:color w:val="000000"/>
          <w:sz w:val="22"/>
          <w:szCs w:val="22"/>
        </w:rPr>
        <w:t xml:space="preserve">., 2008b). An adult fly emerges from the pupa after 9 to 34 days at temperatures ranging from 30°C to 15°C (Ekesi </w:t>
      </w:r>
      <w:r>
        <w:rPr>
          <w:rFonts w:ascii="Calibri" w:hAnsi="Calibri" w:eastAsia="Calibri" w:cs="Calibri"/>
          <w:i/>
          <w:iCs/>
          <w:color w:val="000000"/>
          <w:sz w:val="22"/>
          <w:szCs w:val="22"/>
        </w:rPr>
        <w:t xml:space="preserve">et al</w:t>
      </w:r>
      <w:r>
        <w:rPr>
          <w:rFonts w:ascii="Calibri" w:hAnsi="Calibri" w:eastAsia="Calibri" w:cs="Calibri"/>
          <w:color w:val="000000"/>
          <w:sz w:val="22"/>
          <w:szCs w:val="22"/>
        </w:rPr>
        <w:t xml:space="preserve">., 2006; Rwomushana </w:t>
      </w:r>
      <w:r>
        <w:rPr>
          <w:rFonts w:ascii="Calibri" w:hAnsi="Calibri" w:eastAsia="Calibri" w:cs="Calibri"/>
          <w:i/>
          <w:iCs/>
          <w:color w:val="000000"/>
          <w:sz w:val="22"/>
          <w:szCs w:val="22"/>
        </w:rPr>
        <w:t xml:space="preserve">et al.,</w:t>
      </w:r>
      <w:r>
        <w:rPr>
          <w:rFonts w:ascii="Calibri" w:hAnsi="Calibri" w:eastAsia="Calibri" w:cs="Calibri"/>
          <w:color w:val="000000"/>
          <w:sz w:val="22"/>
          <w:szCs w:val="22"/>
        </w:rPr>
        <w:t xml:space="preserve"> 2008b). In places where </w:t>
      </w:r>
      <w:r>
        <w:rPr>
          <w:rFonts w:ascii="Calibri" w:hAnsi="Calibri" w:eastAsia="Calibri" w:cs="Calibri"/>
          <w:i/>
          <w:iCs/>
          <w:color w:val="000000"/>
          <w:sz w:val="22"/>
          <w:szCs w:val="22"/>
        </w:rPr>
        <w:t xml:space="preserve">Bactrocera dorsalis </w:t>
      </w:r>
      <w:r>
        <w:rPr>
          <w:rFonts w:ascii="Calibri" w:hAnsi="Calibri" w:eastAsia="Calibri" w:cs="Calibri"/>
          <w:color w:val="000000"/>
          <w:sz w:val="22"/>
          <w:szCs w:val="22"/>
        </w:rPr>
        <w:t xml:space="preserve">has been invasive, it is known to outcompete native or previously introduced fruit flies (Vargas </w:t>
      </w:r>
      <w:r>
        <w:rPr>
          <w:rFonts w:ascii="Calibri" w:hAnsi="Calibri" w:eastAsia="Calibri" w:cs="Calibri"/>
          <w:i/>
          <w:iCs/>
          <w:color w:val="000000"/>
          <w:sz w:val="22"/>
          <w:szCs w:val="22"/>
        </w:rPr>
        <w:t xml:space="preserve">et al.,</w:t>
      </w:r>
      <w:r>
        <w:rPr>
          <w:rFonts w:ascii="Calibri" w:hAnsi="Calibri" w:eastAsia="Calibri" w:cs="Calibri"/>
          <w:color w:val="000000"/>
          <w:sz w:val="22"/>
          <w:szCs w:val="22"/>
        </w:rPr>
        <w:t xml:space="preserve"> 2007; Ekesi </w:t>
      </w:r>
      <w:r>
        <w:rPr>
          <w:rFonts w:ascii="Calibri" w:hAnsi="Calibri" w:eastAsia="Calibri" w:cs="Calibri"/>
          <w:i/>
          <w:iCs/>
          <w:color w:val="000000"/>
          <w:sz w:val="22"/>
          <w:szCs w:val="22"/>
        </w:rPr>
        <w:t xml:space="preserve">et al.,</w:t>
      </w:r>
      <w:r>
        <w:rPr>
          <w:rFonts w:ascii="Calibri" w:hAnsi="Calibri" w:eastAsia="Calibri" w:cs="Calibri"/>
          <w:color w:val="000000"/>
          <w:sz w:val="22"/>
          <w:szCs w:val="22"/>
        </w:rPr>
        <w:t xml:space="preserve"> 2009).</w:t>
      </w:r>
    </w:p>
    <w:p>
      <w:pPr>
        <w:widowControl w:val="on"/>
        <w:pBdr/>
        <w:spacing w:before="300" w:after="150" w:line="240" w:lineRule="auto"/>
        <w:ind w:left="0" w:right="0"/>
        <w:jc w:val="left"/>
        <w:outlineLvl w:val="2"/>
      </w:pPr>
      <w:r>
        <w:rPr>
          <w:rFonts w:ascii="Calibri" w:hAnsi="Calibri" w:eastAsia="Calibri" w:cs="Calibri"/>
          <w:b/>
          <w:bCs/>
          <w:color w:val="000000"/>
          <w:sz w:val="22"/>
          <w:szCs w:val="22"/>
        </w:rPr>
        <w:t xml:space="preserve">DETECTION AND IDENTIFICATION</w:t>
      </w:r>
    </w:p>
    <w:p>
      <w:pPr>
        <w:widowControl w:val="on"/>
        <w:pBdr/>
        <w:spacing w:before="293" w:after="293" w:line="240" w:lineRule="auto"/>
        <w:ind w:left="0" w:right="0"/>
        <w:jc w:val="left"/>
        <w:outlineLvl w:val="3"/>
      </w:pPr>
      <w:r>
        <w:rPr>
          <w:rFonts w:ascii="Calibri" w:hAnsi="Calibri" w:eastAsia="Calibri" w:cs="Calibri"/>
          <w:b/>
          <w:bCs/>
          <w:color w:val="000000"/>
          <w:sz w:val="22"/>
          <w:szCs w:val="22"/>
        </w:rPr>
        <w:t xml:space="preserve">Symptoms</w:t>
      </w:r>
    </w:p>
    <w:p>
      <w:pPr>
        <w:widowControl w:val="on"/>
        <w:pBdr/>
        <w:spacing w:before="220" w:after="220" w:line="240" w:lineRule="auto"/>
        <w:ind w:left="0" w:right="0"/>
        <w:jc w:val="both"/>
      </w:pPr>
      <w:r>
        <w:rPr>
          <w:rFonts w:ascii="Calibri" w:hAnsi="Calibri" w:eastAsia="Calibri" w:cs="Calibri"/>
          <w:color w:val="000000"/>
          <w:sz w:val="22"/>
          <w:szCs w:val="22"/>
        </w:rPr>
        <w:t xml:space="preserve">Attacked fruit have tiny oviposition punctures, but these and other symptoms of damage are often difficult to detect in the early stages of infestation. Considerable damage may occur inside the fruit before symptoms are visible externally, often as networks of tunnels accompanied by rotting.</w:t>
      </w:r>
    </w:p>
    <w:p>
      <w:pPr>
        <w:widowControl w:val="on"/>
        <w:pBdr/>
        <w:spacing w:before="293" w:after="293" w:line="240" w:lineRule="auto"/>
        <w:ind w:left="0" w:right="0"/>
        <w:jc w:val="both"/>
        <w:outlineLvl w:val="3"/>
      </w:pPr>
      <w:r>
        <w:rPr>
          <w:rFonts w:ascii="Calibri" w:hAnsi="Calibri" w:eastAsia="Calibri" w:cs="Calibri"/>
          <w:b/>
          <w:bCs/>
          <w:color w:val="000000"/>
          <w:sz w:val="22"/>
          <w:szCs w:val="22"/>
        </w:rPr>
        <w:t xml:space="preserve">Morphology</w:t>
      </w:r>
    </w:p>
    <w:p>
      <w:pPr>
        <w:widowControl w:val="on"/>
        <w:pBdr/>
        <w:spacing w:before="220" w:after="220" w:line="240" w:lineRule="auto"/>
        <w:ind w:left="0" w:right="0"/>
        <w:jc w:val="both"/>
      </w:pPr>
      <w:r>
        <w:rPr>
          <w:rFonts w:ascii="Calibri" w:hAnsi="Calibri" w:eastAsia="Calibri" w:cs="Calibri"/>
          <w:b/>
          <w:bCs/>
          <w:i/>
          <w:iCs/>
          <w:color w:val="000000"/>
          <w:sz w:val="22"/>
          <w:szCs w:val="22"/>
        </w:rPr>
        <w:t xml:space="preserve">Larva</w:t>
      </w:r>
    </w:p>
    <w:p>
      <w:pPr>
        <w:widowControl w:val="on"/>
        <w:pBdr/>
        <w:spacing w:before="220" w:after="220" w:line="240" w:lineRule="auto"/>
        <w:ind w:left="0" w:right="0"/>
        <w:jc w:val="both"/>
      </w:pPr>
      <w:r>
        <w:rPr>
          <w:rFonts w:ascii="Calibri" w:hAnsi="Calibri" w:eastAsia="Calibri" w:cs="Calibri"/>
          <w:color w:val="000000"/>
          <w:sz w:val="22"/>
          <w:szCs w:val="22"/>
        </w:rPr>
        <w:t xml:space="preserve">Fruit fly larvae in general have a typical shape, i.e., cylindrical maggot-shape, elongate, anterior end narrowed and somewhat recurved ventrally, with anterior mouth hooks, and flattened caudal end. Their length varies from 5 to 15 mm. Identification to species level is not possible based on larvae. The 3rd-instar larvae have been described by White &amp; Elson-Harris (1992) in detail. The same work provides a key to 3rd-instar larvae which is useful for an identification to genus level.</w:t>
      </w:r>
    </w:p>
    <w:p>
      <w:pPr>
        <w:widowControl w:val="on"/>
        <w:pBdr/>
        <w:spacing w:before="220" w:after="220" w:line="240" w:lineRule="auto"/>
        <w:ind w:left="0" w:right="0"/>
        <w:jc w:val="both"/>
      </w:pPr>
      <w:r>
        <w:rPr>
          <w:rFonts w:ascii="Calibri" w:hAnsi="Calibri" w:eastAsia="Calibri" w:cs="Calibri"/>
          <w:b/>
          <w:bCs/>
          <w:i/>
          <w:iCs/>
          <w:color w:val="000000"/>
          <w:sz w:val="22"/>
          <w:szCs w:val="22"/>
        </w:rPr>
        <w:t xml:space="preserve">Adult</w:t>
      </w:r>
      <w:r>
        <w:rPr>
          <w:rFonts w:ascii="Calibri" w:hAnsi="Calibri" w:eastAsia="Calibri" w:cs="Calibri"/>
          <w:color w:val="000000"/>
          <w:sz w:val="22"/>
          <w:szCs w:val="22"/>
        </w:rPr>
        <w:t xml:space="preserve"> (after diagnostic description given by Drew &amp; Romig, 2013. Additional character states of the female after Drew &amp; Hancock, 1994. Also included are variable states as listed under </w:t>
      </w:r>
      <w:r>
        <w:rPr>
          <w:rFonts w:ascii="Calibri" w:hAnsi="Calibri" w:eastAsia="Calibri" w:cs="Calibri"/>
          <w:i/>
          <w:iCs/>
          <w:color w:val="000000"/>
          <w:sz w:val="22"/>
          <w:szCs w:val="22"/>
        </w:rPr>
        <w:t xml:space="preserve">B. invadens </w:t>
      </w:r>
      <w:r>
        <w:rPr>
          <w:rFonts w:ascii="Calibri" w:hAnsi="Calibri" w:eastAsia="Calibri" w:cs="Calibri"/>
          <w:color w:val="000000"/>
          <w:sz w:val="22"/>
          <w:szCs w:val="22"/>
        </w:rPr>
        <w:t xml:space="preserve">and </w:t>
      </w:r>
      <w:r>
        <w:rPr>
          <w:rFonts w:ascii="Calibri" w:hAnsi="Calibri" w:eastAsia="Calibri" w:cs="Calibri"/>
          <w:i/>
          <w:iCs/>
          <w:color w:val="000000"/>
          <w:sz w:val="22"/>
          <w:szCs w:val="22"/>
        </w:rPr>
        <w:t xml:space="preserve">B. papayae </w:t>
      </w:r>
      <w:r>
        <w:rPr>
          <w:rFonts w:ascii="Calibri" w:hAnsi="Calibri" w:eastAsia="Calibri" w:cs="Calibri"/>
          <w:color w:val="000000"/>
          <w:sz w:val="22"/>
          <w:szCs w:val="22"/>
        </w:rPr>
        <w:t xml:space="preserve">as they are considered synonymous in this datasheet)</w:t>
      </w:r>
    </w:p>
    <w:p>
      <w:pPr>
        <w:widowControl w:val="on"/>
        <w:pBdr/>
        <w:spacing w:before="220" w:after="220" w:line="240" w:lineRule="auto"/>
        <w:ind w:left="0" w:right="0"/>
        <w:jc w:val="both"/>
      </w:pPr>
      <w:r>
        <w:rPr>
          <w:rFonts w:ascii="Calibri" w:hAnsi="Calibri" w:eastAsia="Calibri" w:cs="Calibri"/>
          <w:color w:val="000000"/>
          <w:sz w:val="22"/>
          <w:szCs w:val="22"/>
          <w:u w:val="single"/>
        </w:rPr>
        <w:t xml:space="preserve">Male</w:t>
      </w:r>
    </w:p>
    <w:p>
      <w:pPr>
        <w:widowControl w:val="on"/>
        <w:pBdr/>
        <w:spacing w:before="220" w:after="220" w:line="240" w:lineRule="auto"/>
        <w:ind w:left="0" w:right="0"/>
        <w:jc w:val="both"/>
      </w:pPr>
      <w:r>
        <w:rPr>
          <w:rFonts w:ascii="Calibri" w:hAnsi="Calibri" w:eastAsia="Calibri" w:cs="Calibri"/>
          <w:color w:val="000000"/>
          <w:sz w:val="22"/>
          <w:szCs w:val="22"/>
        </w:rPr>
        <w:t xml:space="preserve">Face fulvous with a pair of medium-sized to large circular to oval black spots; postpronotal lobes and notopleura yellow; scutum black with extensive areas of red-brown to brown below and behind lateral postsutural vittae, around notopleural suture, between postpronotal lobes and notopleura, and inside postpronotal lobes; broad parallel-sided lateral postsutural yellow vittae ending at or behind intra-alar seta; medial postsutural yellow vitta absent; mesopleural stripe reaching midway between anterior margin of notopleuron and anterior notopleural seta dorsally; scutellum yellow; legs with femora entirely fulvous; fore tibiae pale fuscous and hind tibiae fuscous, mid tibiae fulvous with a small area of dark fuscous basally; wing with cells bc and c colourless, microtrichia in outer corner of cell c only; a narrow fuscous costal band confluent with R2+3 and remaining very narrow around apex of wing (occasionally there can be a very slight swelling around apex of R4+5); a narrow pale fuscous anal streak; supernumerary lobe of medium development; abdominal terga III-V orange-brown with variable pattern but normally with the basic ‘T’ shaped pattern consisting of a narrow to broad transverse black band across anterior margin of tergum III, a narrow to medium-width medial longitudinal black band over all three terga, narrow anterolateral fuscous to dark fuscous corners on terga IV and V; a pair of oval orange-brown to pale fuscous shiny spots on tergum V; abdominal sterna dark coloured. </w:t>
      </w:r>
    </w:p>
    <w:p>
      <w:pPr>
        <w:widowControl w:val="on"/>
        <w:pBdr/>
        <w:spacing w:before="220" w:after="220" w:line="240" w:lineRule="auto"/>
        <w:ind w:left="0" w:right="0"/>
        <w:jc w:val="both"/>
      </w:pPr>
      <w:r>
        <w:rPr>
          <w:rFonts w:ascii="Calibri" w:hAnsi="Calibri" w:eastAsia="Calibri" w:cs="Calibri"/>
          <w:color w:val="000000"/>
          <w:sz w:val="22"/>
          <w:szCs w:val="22"/>
          <w:u w:val="single"/>
        </w:rPr>
        <w:t xml:space="preserve">Female</w:t>
      </w:r>
    </w:p>
    <w:p>
      <w:pPr>
        <w:widowControl w:val="on"/>
        <w:pBdr/>
        <w:spacing w:before="220" w:after="220" w:line="240" w:lineRule="auto"/>
        <w:ind w:left="0" w:right="0"/>
        <w:jc w:val="both"/>
      </w:pPr>
      <w:r>
        <w:rPr>
          <w:rFonts w:ascii="Calibri" w:hAnsi="Calibri" w:eastAsia="Calibri" w:cs="Calibri"/>
          <w:color w:val="000000"/>
          <w:sz w:val="22"/>
          <w:szCs w:val="22"/>
        </w:rPr>
        <w:t xml:space="preserve">As for male in the general body colour patterns. Pecten absent from abdominal tergum III. Ovipositor basal segment orange-brown, dorsoventrally compressed and tapering posteriorly in dorsal view; ratio of length of oviscape to length of tergum V varies from 0.7:1 to 1.2:1; aculeus apex needle shaped. </w:t>
      </w:r>
    </w:p>
    <w:p>
      <w:pPr>
        <w:widowControl w:val="on"/>
        <w:pBdr/>
        <w:spacing w:before="220" w:after="220" w:line="240" w:lineRule="auto"/>
        <w:ind w:left="0" w:right="0"/>
        <w:jc w:val="both"/>
      </w:pPr>
      <w:r>
        <w:rPr>
          <w:rFonts w:ascii="Calibri" w:hAnsi="Calibri" w:eastAsia="Calibri" w:cs="Calibri"/>
          <w:color w:val="000000"/>
          <w:sz w:val="22"/>
          <w:szCs w:val="22"/>
        </w:rPr>
        <w:t xml:space="preserve">Remark: differentiation between this species and closely related species within the </w:t>
      </w:r>
      <w:r>
        <w:rPr>
          <w:rFonts w:ascii="Calibri" w:hAnsi="Calibri" w:eastAsia="Calibri" w:cs="Calibri"/>
          <w:i/>
          <w:iCs/>
          <w:color w:val="000000"/>
          <w:sz w:val="22"/>
          <w:szCs w:val="22"/>
        </w:rPr>
        <w:t xml:space="preserve">B. dorsalis </w:t>
      </w:r>
      <w:r>
        <w:rPr>
          <w:rFonts w:ascii="Calibri" w:hAnsi="Calibri" w:eastAsia="Calibri" w:cs="Calibri"/>
          <w:color w:val="000000"/>
          <w:sz w:val="22"/>
          <w:szCs w:val="22"/>
        </w:rPr>
        <w:t xml:space="preserve">species complex (see Drew &amp; Hancock, 1994) is difficult and needs expert confirmation. See ISPM 27 DP 29 (IPPC, 2019) for details on how to differentiate between the main species of commercial importance belonging to the species complex. Aculeus length has been used to differentiate between </w:t>
      </w:r>
      <w:r>
        <w:rPr>
          <w:rFonts w:ascii="Calibri" w:hAnsi="Calibri" w:eastAsia="Calibri" w:cs="Calibri"/>
          <w:i/>
          <w:iCs/>
          <w:color w:val="000000"/>
          <w:sz w:val="22"/>
          <w:szCs w:val="22"/>
        </w:rPr>
        <w:t xml:space="preserve">B. dorsalis </w:t>
      </w:r>
      <w:r>
        <w:rPr>
          <w:rFonts w:ascii="Calibri" w:hAnsi="Calibri" w:eastAsia="Calibri" w:cs="Calibri"/>
          <w:color w:val="000000"/>
          <w:sz w:val="22"/>
          <w:szCs w:val="22"/>
        </w:rPr>
        <w:t xml:space="preserve">and </w:t>
      </w:r>
      <w:r>
        <w:rPr>
          <w:rFonts w:ascii="Calibri" w:hAnsi="Calibri" w:eastAsia="Calibri" w:cs="Calibri"/>
          <w:i/>
          <w:iCs/>
          <w:color w:val="000000"/>
          <w:sz w:val="22"/>
          <w:szCs w:val="22"/>
        </w:rPr>
        <w:t xml:space="preserve">B. papayae </w:t>
      </w:r>
      <w:r>
        <w:rPr>
          <w:rFonts w:ascii="Calibri" w:hAnsi="Calibri" w:eastAsia="Calibri" w:cs="Calibri"/>
          <w:color w:val="000000"/>
          <w:sz w:val="22"/>
          <w:szCs w:val="22"/>
        </w:rPr>
        <w:t xml:space="preserve">but see Schutze </w:t>
      </w:r>
      <w:r>
        <w:rPr>
          <w:rFonts w:ascii="Calibri" w:hAnsi="Calibri" w:eastAsia="Calibri" w:cs="Calibri"/>
          <w:i/>
          <w:iCs/>
          <w:color w:val="000000"/>
          <w:sz w:val="22"/>
          <w:szCs w:val="22"/>
        </w:rPr>
        <w:t xml:space="preserve">et al.</w:t>
      </w:r>
      <w:r>
        <w:rPr>
          <w:rFonts w:ascii="Calibri" w:hAnsi="Calibri" w:eastAsia="Calibri" w:cs="Calibri"/>
          <w:color w:val="000000"/>
          <w:sz w:val="22"/>
          <w:szCs w:val="22"/>
        </w:rPr>
        <w:t xml:space="preserve"> (2014) for review on the intra-specific variability of this aspect.  </w:t>
      </w:r>
    </w:p>
    <w:p>
      <w:pPr>
        <w:widowControl w:val="on"/>
        <w:pBdr/>
        <w:spacing w:before="293" w:after="293" w:line="240" w:lineRule="auto"/>
        <w:ind w:left="0" w:right="0"/>
        <w:jc w:val="both"/>
        <w:outlineLvl w:val="3"/>
      </w:pPr>
      <w:r>
        <w:rPr>
          <w:rFonts w:ascii="Calibri" w:hAnsi="Calibri" w:eastAsia="Calibri" w:cs="Calibri"/>
          <w:b/>
          <w:bCs/>
          <w:color w:val="000000"/>
          <w:sz w:val="22"/>
          <w:szCs w:val="22"/>
        </w:rPr>
        <w:t xml:space="preserve">DNA barcoding</w:t>
      </w:r>
    </w:p>
    <w:p>
      <w:pPr>
        <w:widowControl w:val="on"/>
        <w:pBdr/>
        <w:spacing w:before="220" w:after="220" w:line="240" w:lineRule="auto"/>
        <w:ind w:left="0" w:right="0"/>
        <w:jc w:val="both"/>
      </w:pPr>
      <w:r>
        <w:rPr>
          <w:rFonts w:ascii="Calibri" w:hAnsi="Calibri" w:eastAsia="Calibri" w:cs="Calibri"/>
          <w:color w:val="000000"/>
          <w:sz w:val="22"/>
          <w:szCs w:val="22"/>
        </w:rPr>
        <w:t xml:space="preserve">The molecular identification of </w:t>
      </w:r>
      <w:r>
        <w:rPr>
          <w:rFonts w:ascii="Calibri" w:hAnsi="Calibri" w:eastAsia="Calibri" w:cs="Calibri"/>
          <w:i/>
          <w:iCs/>
          <w:color w:val="000000"/>
          <w:sz w:val="22"/>
          <w:szCs w:val="22"/>
        </w:rPr>
        <w:t xml:space="preserve">B. dorsalis</w:t>
      </w:r>
      <w:r>
        <w:rPr>
          <w:rFonts w:ascii="Calibri" w:hAnsi="Calibri" w:eastAsia="Calibri" w:cs="Calibri"/>
          <w:color w:val="000000"/>
          <w:sz w:val="22"/>
          <w:szCs w:val="22"/>
        </w:rPr>
        <w:t xml:space="preserve"> through DNA barcoding proves to be problematic as this species</w:t>
      </w:r>
      <w:r>
        <w:rPr>
          <w:rFonts w:ascii="Calibri" w:hAnsi="Calibri" w:eastAsia="Calibri" w:cs="Calibri"/>
          <w:i/>
          <w:iCs/>
          <w:color w:val="000000"/>
          <w:sz w:val="22"/>
          <w:szCs w:val="22"/>
        </w:rPr>
        <w:t xml:space="preserve"> </w:t>
      </w:r>
      <w:r>
        <w:rPr>
          <w:rFonts w:ascii="Calibri" w:hAnsi="Calibri" w:eastAsia="Calibri" w:cs="Calibri"/>
          <w:color w:val="000000"/>
          <w:sz w:val="22"/>
          <w:szCs w:val="22"/>
        </w:rPr>
        <w:t xml:space="preserve">cannot be properly distinguished from a number of closely related species, including species from the </w:t>
      </w:r>
      <w:r>
        <w:rPr>
          <w:rFonts w:ascii="Calibri" w:hAnsi="Calibri" w:eastAsia="Calibri" w:cs="Calibri"/>
          <w:i/>
          <w:iCs/>
          <w:color w:val="000000"/>
          <w:sz w:val="22"/>
          <w:szCs w:val="22"/>
        </w:rPr>
        <w:t xml:space="preserve">B. dorsalis </w:t>
      </w:r>
      <w:r>
        <w:rPr>
          <w:rFonts w:ascii="Calibri" w:hAnsi="Calibri" w:eastAsia="Calibri" w:cs="Calibri"/>
          <w:color w:val="000000"/>
          <w:sz w:val="22"/>
          <w:szCs w:val="22"/>
        </w:rPr>
        <w:t xml:space="preserve">species complex (see Drew &amp; Hancock 1994; Drew &amp; Romig 2013; Schutze </w:t>
      </w:r>
      <w:r>
        <w:rPr>
          <w:rFonts w:ascii="Calibri" w:hAnsi="Calibri" w:eastAsia="Calibri" w:cs="Calibri"/>
          <w:i/>
          <w:iCs/>
          <w:color w:val="000000"/>
          <w:sz w:val="22"/>
          <w:szCs w:val="22"/>
        </w:rPr>
        <w:t xml:space="preserve">et al. </w:t>
      </w:r>
      <w:r>
        <w:rPr>
          <w:rFonts w:ascii="Calibri" w:hAnsi="Calibri" w:eastAsia="Calibri" w:cs="Calibri"/>
          <w:color w:val="000000"/>
          <w:sz w:val="22"/>
          <w:szCs w:val="22"/>
        </w:rPr>
        <w:t xml:space="preserve">2014). Additionally, the presence of unidentified / possibly misidentified reference sequence in the Barcoding Index Number Systems (BINs) in which this species is represented, might also bias its molecular identification.</w:t>
      </w:r>
    </w:p>
    <w:p>
      <w:pPr>
        <w:widowControl w:val="on"/>
        <w:pBdr/>
        <w:spacing w:before="220" w:after="220" w:line="240" w:lineRule="auto"/>
        <w:ind w:left="0" w:right="0"/>
        <w:jc w:val="both"/>
      </w:pPr>
      <w:r>
        <w:rPr>
          <w:rFonts w:ascii="Calibri" w:hAnsi="Calibri" w:eastAsia="Calibri" w:cs="Calibri"/>
          <w:color w:val="000000"/>
          <w:sz w:val="22"/>
          <w:szCs w:val="22"/>
        </w:rPr>
        <w:t xml:space="preserve">Sequences (both under </w:t>
      </w:r>
      <w:hyperlink r:id="rId951967eea4de1a90a" w:history="1">
        <w:r>
          <w:rPr>
            <w:rFonts w:ascii="Calibri" w:hAnsi="Calibri" w:eastAsia="Calibri" w:cs="Calibri"/>
            <w:b/>
            <w:bCs/>
            <w:i/>
            <w:iCs/>
            <w:color w:val="0000CC"/>
            <w:sz w:val="22"/>
            <w:szCs w:val="22"/>
            <w:u w:val="single"/>
          </w:rPr>
          <w:t xml:space="preserve">Bactrocera dorsalis</w:t>
        </w:r>
      </w:hyperlink>
      <w:r>
        <w:rPr>
          <w:rFonts w:ascii="Calibri" w:hAnsi="Calibri" w:eastAsia="Calibri" w:cs="Calibri"/>
          <w:i/>
          <w:iCs/>
          <w:color w:val="000000"/>
          <w:sz w:val="22"/>
          <w:szCs w:val="22"/>
        </w:rPr>
        <w:t xml:space="preserve"> </w:t>
      </w:r>
      <w:r>
        <w:rPr>
          <w:rFonts w:ascii="Calibri" w:hAnsi="Calibri" w:eastAsia="Calibri" w:cs="Calibri"/>
          <w:color w:val="000000"/>
          <w:sz w:val="22"/>
          <w:szCs w:val="22"/>
        </w:rPr>
        <w:t xml:space="preserve">and </w:t>
      </w:r>
      <w:hyperlink r:id="rId945467eea4de1a951" w:history="1">
        <w:r>
          <w:rPr>
            <w:rFonts w:ascii="Calibri" w:hAnsi="Calibri" w:eastAsia="Calibri" w:cs="Calibri"/>
            <w:b/>
            <w:bCs/>
            <w:i/>
            <w:iCs/>
            <w:color w:val="0000CC"/>
            <w:sz w:val="22"/>
            <w:szCs w:val="22"/>
            <w:u w:val="single"/>
          </w:rPr>
          <w:t xml:space="preserve">Bactrocera invadens</w:t>
        </w:r>
      </w:hyperlink>
      <w:r>
        <w:rPr>
          <w:rFonts w:ascii="Calibri" w:hAnsi="Calibri" w:eastAsia="Calibri" w:cs="Calibri"/>
          <w:color w:val="000000"/>
          <w:sz w:val="22"/>
          <w:szCs w:val="22"/>
        </w:rPr>
        <w:t xml:space="preserve">) are available in the Barcode of Life Data Systems</w:t>
      </w:r>
      <w:r>
        <w:rPr>
          <w:rFonts w:ascii="Calibri" w:hAnsi="Calibri" w:eastAsia="Calibri" w:cs="Calibri"/>
          <w:i/>
          <w:iCs/>
          <w:color w:val="000000"/>
          <w:sz w:val="22"/>
          <w:szCs w:val="22"/>
        </w:rPr>
        <w:t xml:space="preserve"> </w:t>
      </w:r>
      <w:r>
        <w:rPr>
          <w:rFonts w:ascii="Calibri" w:hAnsi="Calibri" w:eastAsia="Calibri" w:cs="Calibri"/>
          <w:color w:val="000000"/>
          <w:sz w:val="22"/>
          <w:szCs w:val="22"/>
        </w:rPr>
        <w:t xml:space="preserve">(BOLD). Sequences for </w:t>
      </w:r>
      <w:r>
        <w:rPr>
          <w:rFonts w:ascii="Calibri" w:hAnsi="Calibri" w:eastAsia="Calibri" w:cs="Calibri"/>
          <w:i/>
          <w:iCs/>
          <w:color w:val="000000"/>
          <w:sz w:val="22"/>
          <w:szCs w:val="22"/>
        </w:rPr>
        <w:t xml:space="preserve">Bactrocera dorsalis</w:t>
      </w:r>
      <w:r>
        <w:rPr>
          <w:rFonts w:ascii="Calibri" w:hAnsi="Calibri" w:eastAsia="Calibri" w:cs="Calibri"/>
          <w:color w:val="000000"/>
          <w:sz w:val="22"/>
          <w:szCs w:val="22"/>
        </w:rPr>
        <w:t xml:space="preserve"> are available in </w:t>
      </w:r>
      <w:hyperlink r:id="rId683267eea4de1a9bc" w:history="1">
        <w:r>
          <w:rPr>
            <w:rFonts w:ascii="Calibri" w:hAnsi="Calibri" w:eastAsia="Calibri" w:cs="Calibri"/>
            <w:b/>
            <w:bCs/>
            <w:color w:val="0000CC"/>
            <w:sz w:val="22"/>
            <w:szCs w:val="22"/>
            <w:u w:val="single"/>
          </w:rPr>
          <w:t xml:space="preserve">EPPO-Q-Bank</w:t>
        </w:r>
      </w:hyperlink>
      <w:r>
        <w:rPr>
          <w:rFonts w:ascii="Calibri" w:hAnsi="Calibri" w:eastAsia="Calibri" w:cs="Calibri"/>
          <w:b/>
          <w:bCs/>
          <w:color w:val="000000"/>
          <w:sz w:val="22"/>
          <w:szCs w:val="22"/>
        </w:rPr>
        <w:t xml:space="preserve">.</w:t>
      </w:r>
    </w:p>
    <w:p>
      <w:pPr>
        <w:widowControl w:val="on"/>
        <w:pBdr/>
        <w:spacing w:before="293" w:after="293" w:line="240" w:lineRule="auto"/>
        <w:ind w:left="0" w:right="0"/>
        <w:jc w:val="both"/>
        <w:outlineLvl w:val="3"/>
      </w:pPr>
      <w:r>
        <w:rPr>
          <w:rFonts w:ascii="Calibri" w:hAnsi="Calibri" w:eastAsia="Calibri" w:cs="Calibri"/>
          <w:b/>
          <w:bCs/>
          <w:color w:val="000000"/>
          <w:sz w:val="22"/>
          <w:szCs w:val="22"/>
        </w:rPr>
        <w:t xml:space="preserve">Detection and inspection methods</w:t>
      </w:r>
    </w:p>
    <w:p>
      <w:pPr>
        <w:widowControl w:val="on"/>
        <w:pBdr/>
        <w:spacing w:before="220" w:after="220" w:line="240" w:lineRule="auto"/>
        <w:ind w:left="0" w:right="0"/>
        <w:jc w:val="both"/>
      </w:pPr>
      <w:r>
        <w:rPr>
          <w:rFonts w:ascii="Calibri" w:hAnsi="Calibri" w:eastAsia="Calibri" w:cs="Calibri"/>
          <w:color w:val="000000"/>
          <w:sz w:val="22"/>
          <w:szCs w:val="22"/>
        </w:rPr>
        <w:t xml:space="preserve">Males are efficiently attracted to methyl eugenol. Both sexes can be monitored by traps baited with protein-based attractants. Detection is also possible by examination of fruit for oviposition punctures and then rearing the larvae through to the adult stage.</w:t>
      </w:r>
    </w:p>
    <w:p>
      <w:pPr>
        <w:widowControl w:val="on"/>
        <w:pBdr/>
        <w:spacing w:before="300" w:after="150" w:line="240" w:lineRule="auto"/>
        <w:ind w:left="0" w:right="0"/>
        <w:jc w:val="left"/>
        <w:outlineLvl w:val="2"/>
      </w:pPr>
      <w:r>
        <w:rPr>
          <w:rFonts w:ascii="Calibri" w:hAnsi="Calibri" w:eastAsia="Calibri" w:cs="Calibri"/>
          <w:b/>
          <w:bCs/>
          <w:color w:val="000000"/>
          <w:sz w:val="22"/>
          <w:szCs w:val="22"/>
        </w:rPr>
        <w:t xml:space="preserve">PATHWAYS FOR MOVEMENT</w:t>
      </w:r>
    </w:p>
    <w:p>
      <w:pPr>
        <w:widowControl w:val="on"/>
        <w:pBdr/>
        <w:spacing w:before="220" w:after="220" w:line="240" w:lineRule="auto"/>
        <w:ind w:left="0" w:right="0"/>
        <w:jc w:val="both"/>
      </w:pPr>
      <w:r>
        <w:rPr>
          <w:rFonts w:ascii="Calibri" w:hAnsi="Calibri" w:eastAsia="Calibri" w:cs="Calibri"/>
          <w:color w:val="000000"/>
          <w:sz w:val="22"/>
          <w:szCs w:val="22"/>
        </w:rPr>
        <w:t xml:space="preserve">Transport of infested fruits is the main means of movement and dispersal to previously uninfested areas. Adult flight can also result in dispersal but previous citations of long (50-100 km) dispersal movements for </w:t>
      </w:r>
      <w:r>
        <w:rPr>
          <w:rFonts w:ascii="Calibri" w:hAnsi="Calibri" w:eastAsia="Calibri" w:cs="Calibri"/>
          <w:i/>
          <w:iCs/>
          <w:color w:val="000000"/>
          <w:sz w:val="22"/>
          <w:szCs w:val="22"/>
        </w:rPr>
        <w:t xml:space="preserve">Bactrocera </w:t>
      </w:r>
      <w:r>
        <w:rPr>
          <w:rFonts w:ascii="Calibri" w:hAnsi="Calibri" w:eastAsia="Calibri" w:cs="Calibri"/>
          <w:color w:val="000000"/>
          <w:sz w:val="22"/>
          <w:szCs w:val="22"/>
        </w:rPr>
        <w:t xml:space="preserve">spp. are unsubstantiated according to a recent review by Hicks </w:t>
      </w:r>
      <w:r>
        <w:rPr>
          <w:rFonts w:ascii="Calibri" w:hAnsi="Calibri" w:eastAsia="Calibri" w:cs="Calibri"/>
          <w:i/>
          <w:iCs/>
          <w:color w:val="000000"/>
          <w:sz w:val="22"/>
          <w:szCs w:val="22"/>
        </w:rPr>
        <w:t xml:space="preserve">et al.</w:t>
      </w:r>
      <w:r>
        <w:rPr>
          <w:rFonts w:ascii="Calibri" w:hAnsi="Calibri" w:eastAsia="Calibri" w:cs="Calibri"/>
          <w:color w:val="000000"/>
          <w:sz w:val="22"/>
          <w:szCs w:val="22"/>
        </w:rPr>
        <w:t xml:space="preserve"> (2019). Dispersal up to 2 km is considered more typical.</w:t>
      </w:r>
    </w:p>
    <w:p>
      <w:pPr>
        <w:widowControl w:val="on"/>
        <w:pBdr/>
        <w:spacing w:before="300" w:after="150" w:line="240" w:lineRule="auto"/>
        <w:ind w:left="0" w:right="0"/>
        <w:jc w:val="left"/>
        <w:outlineLvl w:val="2"/>
      </w:pPr>
      <w:r>
        <w:rPr>
          <w:rFonts w:ascii="Calibri" w:hAnsi="Calibri" w:eastAsia="Calibri" w:cs="Calibri"/>
          <w:b/>
          <w:bCs/>
          <w:color w:val="000000"/>
          <w:sz w:val="22"/>
          <w:szCs w:val="22"/>
        </w:rPr>
        <w:t xml:space="preserve">PEST SIGNIFICANCE</w:t>
      </w:r>
    </w:p>
    <w:p>
      <w:pPr>
        <w:widowControl w:val="on"/>
        <w:pBdr/>
        <w:spacing w:before="293" w:after="293" w:line="240" w:lineRule="auto"/>
        <w:ind w:left="0" w:right="0"/>
        <w:jc w:val="left"/>
        <w:outlineLvl w:val="3"/>
      </w:pPr>
      <w:r>
        <w:rPr>
          <w:rFonts w:ascii="Calibri" w:hAnsi="Calibri" w:eastAsia="Calibri" w:cs="Calibri"/>
          <w:b/>
          <w:bCs/>
          <w:color w:val="000000"/>
          <w:sz w:val="22"/>
          <w:szCs w:val="22"/>
        </w:rPr>
        <w:t xml:space="preserve">Economic impact</w:t>
      </w:r>
    </w:p>
    <w:p>
      <w:pPr>
        <w:widowControl w:val="on"/>
        <w:pBdr/>
        <w:spacing w:before="220" w:after="220" w:line="240" w:lineRule="auto"/>
        <w:ind w:left="0" w:right="0"/>
        <w:jc w:val="both"/>
      </w:pPr>
      <w:r>
        <w:rPr>
          <w:rFonts w:ascii="Calibri" w:hAnsi="Calibri" w:eastAsia="Calibri" w:cs="Calibri"/>
          <w:color w:val="000000"/>
          <w:sz w:val="22"/>
          <w:szCs w:val="22"/>
        </w:rPr>
        <w:t xml:space="preserve">Losses incurred by </w:t>
      </w:r>
      <w:r>
        <w:rPr>
          <w:rFonts w:ascii="Calibri" w:hAnsi="Calibri" w:eastAsia="Calibri" w:cs="Calibri"/>
          <w:i/>
          <w:iCs/>
          <w:color w:val="000000"/>
          <w:sz w:val="22"/>
          <w:szCs w:val="22"/>
        </w:rPr>
        <w:t xml:space="preserve">Bactrocera dorsalis</w:t>
      </w:r>
      <w:r>
        <w:rPr>
          <w:rFonts w:ascii="Calibri" w:hAnsi="Calibri" w:eastAsia="Calibri" w:cs="Calibri"/>
          <w:color w:val="000000"/>
          <w:sz w:val="22"/>
          <w:szCs w:val="22"/>
        </w:rPr>
        <w:t xml:space="preserve"> can be substantial, especially on mango.  Significant damage can also be caused on guava and citrus (Ekesi </w:t>
      </w:r>
      <w:r>
        <w:rPr>
          <w:rFonts w:ascii="Calibri" w:hAnsi="Calibri" w:eastAsia="Calibri" w:cs="Calibri"/>
          <w:i/>
          <w:iCs/>
          <w:color w:val="000000"/>
          <w:sz w:val="22"/>
          <w:szCs w:val="22"/>
        </w:rPr>
        <w:t xml:space="preserve">et al.,</w:t>
      </w:r>
      <w:r>
        <w:rPr>
          <w:rFonts w:ascii="Calibri" w:hAnsi="Calibri" w:eastAsia="Calibri" w:cs="Calibri"/>
          <w:color w:val="000000"/>
          <w:sz w:val="22"/>
          <w:szCs w:val="22"/>
        </w:rPr>
        <w:t xml:space="preserve"> 2006; Goergen </w:t>
      </w:r>
      <w:r>
        <w:rPr>
          <w:rFonts w:ascii="Calibri" w:hAnsi="Calibri" w:eastAsia="Calibri" w:cs="Calibri"/>
          <w:i/>
          <w:iCs/>
          <w:color w:val="000000"/>
          <w:sz w:val="22"/>
          <w:szCs w:val="22"/>
        </w:rPr>
        <w:t xml:space="preserve">et al.,</w:t>
      </w:r>
      <w:r>
        <w:rPr>
          <w:rFonts w:ascii="Calibri" w:hAnsi="Calibri" w:eastAsia="Calibri" w:cs="Calibri"/>
          <w:color w:val="000000"/>
          <w:sz w:val="22"/>
          <w:szCs w:val="22"/>
        </w:rPr>
        <w:t xml:space="preserve"> 2011; Rwomushana </w:t>
      </w:r>
      <w:r>
        <w:rPr>
          <w:rFonts w:ascii="Calibri" w:hAnsi="Calibri" w:eastAsia="Calibri" w:cs="Calibri"/>
          <w:i/>
          <w:iCs/>
          <w:color w:val="000000"/>
          <w:sz w:val="22"/>
          <w:szCs w:val="22"/>
        </w:rPr>
        <w:t xml:space="preserve">et al.</w:t>
      </w:r>
      <w:r>
        <w:rPr>
          <w:rFonts w:ascii="Calibri" w:hAnsi="Calibri" w:eastAsia="Calibri" w:cs="Calibri"/>
          <w:color w:val="000000"/>
          <w:sz w:val="22"/>
          <w:szCs w:val="22"/>
        </w:rPr>
        <w:t xml:space="preserve">, 2008a; Vayssieres </w:t>
      </w:r>
      <w:r>
        <w:rPr>
          <w:rFonts w:ascii="Calibri" w:hAnsi="Calibri" w:eastAsia="Calibri" w:cs="Calibri"/>
          <w:i/>
          <w:iCs/>
          <w:color w:val="000000"/>
          <w:sz w:val="22"/>
          <w:szCs w:val="22"/>
        </w:rPr>
        <w:t xml:space="preserve">et al.</w:t>
      </w:r>
      <w:r>
        <w:rPr>
          <w:rFonts w:ascii="Calibri" w:hAnsi="Calibri" w:eastAsia="Calibri" w:cs="Calibri"/>
          <w:color w:val="000000"/>
          <w:sz w:val="22"/>
          <w:szCs w:val="22"/>
        </w:rPr>
        <w:t xml:space="preserve">, 2009).  </w:t>
      </w:r>
    </w:p>
    <w:p>
      <w:pPr>
        <w:widowControl w:val="on"/>
        <w:pBdr/>
        <w:spacing w:before="293" w:after="293" w:line="240" w:lineRule="auto"/>
        <w:ind w:left="0" w:right="0"/>
        <w:jc w:val="both"/>
        <w:outlineLvl w:val="3"/>
      </w:pPr>
      <w:r>
        <w:rPr>
          <w:rFonts w:ascii="Calibri" w:hAnsi="Calibri" w:eastAsia="Calibri" w:cs="Calibri"/>
          <w:b/>
          <w:bCs/>
          <w:color w:val="000000"/>
          <w:sz w:val="22"/>
          <w:szCs w:val="22"/>
        </w:rPr>
        <w:t xml:space="preserve">Control</w:t>
      </w:r>
    </w:p>
    <w:p>
      <w:pPr>
        <w:widowControl w:val="on"/>
        <w:pBdr/>
        <w:spacing w:before="220" w:after="220" w:line="240" w:lineRule="auto"/>
        <w:ind w:left="0" w:right="0"/>
        <w:jc w:val="both"/>
      </w:pPr>
      <w:r>
        <w:rPr>
          <w:rFonts w:ascii="Calibri" w:hAnsi="Calibri" w:eastAsia="Calibri" w:cs="Calibri"/>
          <w:color w:val="000000"/>
          <w:sz w:val="22"/>
          <w:szCs w:val="22"/>
        </w:rPr>
        <w:t xml:space="preserve">Management for this species includes the general control measures for </w:t>
      </w:r>
      <w:r>
        <w:rPr>
          <w:rFonts w:ascii="Calibri" w:hAnsi="Calibri" w:eastAsia="Calibri" w:cs="Calibri"/>
          <w:i/>
          <w:iCs/>
          <w:color w:val="000000"/>
          <w:sz w:val="22"/>
          <w:szCs w:val="22"/>
        </w:rPr>
        <w:t xml:space="preserve">Bactrocera</w:t>
      </w:r>
      <w:r>
        <w:rPr>
          <w:rFonts w:ascii="Calibri" w:hAnsi="Calibri" w:eastAsia="Calibri" w:cs="Calibri"/>
          <w:color w:val="000000"/>
          <w:sz w:val="22"/>
          <w:szCs w:val="22"/>
        </w:rPr>
        <w:t xml:space="preserve"> spp. (see Vargas </w:t>
      </w:r>
      <w:r>
        <w:rPr>
          <w:rFonts w:ascii="Calibri" w:hAnsi="Calibri" w:eastAsia="Calibri" w:cs="Calibri"/>
          <w:i/>
          <w:iCs/>
          <w:color w:val="000000"/>
          <w:sz w:val="22"/>
          <w:szCs w:val="22"/>
        </w:rPr>
        <w:t xml:space="preserve">et al.</w:t>
      </w:r>
      <w:r>
        <w:rPr>
          <w:rFonts w:ascii="Calibri" w:hAnsi="Calibri" w:eastAsia="Calibri" w:cs="Calibri"/>
          <w:color w:val="000000"/>
          <w:sz w:val="22"/>
          <w:szCs w:val="22"/>
        </w:rPr>
        <w:t xml:space="preserve"> 2015 for an overview of management options). These include sanitation (to gather all fallen and infested host fruits and destroy them). Insecticidal protection is possible by using a cover spray or a bait spray. Bait sprays work on the principle that both male and female tephritids are strongly attracted to a protein source from which ammonia emanates. Bait sprays have the advantage over cover sprays in that they can be applied as a spot treatment so that the flies are attracted to the insecticide and there is minimal impact on natural enemies and other beneficials. Male annihilation technique (MAT) using methyl-eugenol as main attractant, has been used in several eradication programs against </w:t>
      </w:r>
      <w:r>
        <w:rPr>
          <w:rFonts w:ascii="Calibri" w:hAnsi="Calibri" w:eastAsia="Calibri" w:cs="Calibri"/>
          <w:i/>
          <w:iCs/>
          <w:color w:val="000000"/>
          <w:sz w:val="22"/>
          <w:szCs w:val="22"/>
        </w:rPr>
        <w:t xml:space="preserve">B. dorsalis </w:t>
      </w:r>
      <w:r>
        <w:rPr>
          <w:rFonts w:ascii="Calibri" w:hAnsi="Calibri" w:eastAsia="Calibri" w:cs="Calibri"/>
          <w:color w:val="000000"/>
          <w:sz w:val="22"/>
          <w:szCs w:val="22"/>
        </w:rPr>
        <w:t xml:space="preserve">(for an overview, see Vargas </w:t>
      </w:r>
      <w:r>
        <w:rPr>
          <w:rFonts w:ascii="Calibri" w:hAnsi="Calibri" w:eastAsia="Calibri" w:cs="Calibri"/>
          <w:i/>
          <w:iCs/>
          <w:color w:val="000000"/>
          <w:sz w:val="22"/>
          <w:szCs w:val="22"/>
        </w:rPr>
        <w:t xml:space="preserve">et al.</w:t>
      </w:r>
      <w:r>
        <w:rPr>
          <w:rFonts w:ascii="Calibri" w:hAnsi="Calibri" w:eastAsia="Calibri" w:cs="Calibri"/>
          <w:color w:val="000000"/>
          <w:sz w:val="22"/>
          <w:szCs w:val="22"/>
        </w:rPr>
        <w:t xml:space="preserve"> 2014). Sterile Insect Technique (SIT) has been used as a component in an area-wide integrated pest management (IPM) program to suppress the species in Thailand (Chinvinijkul </w:t>
      </w:r>
      <w:r>
        <w:rPr>
          <w:rFonts w:ascii="Calibri" w:hAnsi="Calibri" w:eastAsia="Calibri" w:cs="Calibri"/>
          <w:i/>
          <w:iCs/>
          <w:color w:val="000000"/>
          <w:sz w:val="22"/>
          <w:szCs w:val="22"/>
        </w:rPr>
        <w:t xml:space="preserve">et al.,</w:t>
      </w:r>
      <w:r>
        <w:rPr>
          <w:rFonts w:ascii="Calibri" w:hAnsi="Calibri" w:eastAsia="Calibri" w:cs="Calibri"/>
          <w:color w:val="000000"/>
          <w:sz w:val="22"/>
          <w:szCs w:val="22"/>
        </w:rPr>
        <w:t xml:space="preserve"> 2016). See Enkerlin (2005) for a review on SIT programs worldwide against this and other tephritid pest species.</w:t>
      </w:r>
    </w:p>
    <w:p>
      <w:pPr>
        <w:widowControl w:val="on"/>
        <w:pBdr/>
        <w:spacing w:before="293" w:after="293" w:line="240" w:lineRule="auto"/>
        <w:ind w:left="0" w:right="0"/>
        <w:jc w:val="both"/>
        <w:outlineLvl w:val="3"/>
      </w:pPr>
      <w:r>
        <w:rPr>
          <w:rFonts w:ascii="Calibri" w:hAnsi="Calibri" w:eastAsia="Calibri" w:cs="Calibri"/>
          <w:b/>
          <w:bCs/>
          <w:color w:val="000000"/>
          <w:sz w:val="22"/>
          <w:szCs w:val="22"/>
        </w:rPr>
        <w:t xml:space="preserve">Phytosanitary risk</w:t>
      </w:r>
    </w:p>
    <w:p>
      <w:pPr>
        <w:widowControl w:val="on"/>
        <w:pBdr/>
        <w:spacing w:before="220" w:after="220" w:line="240" w:lineRule="auto"/>
        <w:ind w:left="0" w:right="0"/>
        <w:jc w:val="both"/>
      </w:pPr>
      <w:r>
        <w:rPr>
          <w:rFonts w:ascii="Calibri" w:hAnsi="Calibri" w:eastAsia="Calibri" w:cs="Calibri"/>
          <w:i/>
          <w:iCs/>
          <w:color w:val="000000"/>
          <w:sz w:val="22"/>
          <w:szCs w:val="22"/>
        </w:rPr>
        <w:t xml:space="preserve">Bactrocera dorsalis </w:t>
      </w:r>
      <w:r>
        <w:rPr>
          <w:rFonts w:ascii="Calibri" w:hAnsi="Calibri" w:eastAsia="Calibri" w:cs="Calibri"/>
          <w:color w:val="000000"/>
          <w:sz w:val="22"/>
          <w:szCs w:val="22"/>
        </w:rPr>
        <w:t xml:space="preserve">is a known pest of several commercial fruit crops in the area where it is present. It can be moved in trade with infested fruit. Several studies have been made on climatic suitability of different regions in the world for this species (see Stephens </w:t>
      </w:r>
      <w:r>
        <w:rPr>
          <w:rFonts w:ascii="Calibri" w:hAnsi="Calibri" w:eastAsia="Calibri" w:cs="Calibri"/>
          <w:i/>
          <w:iCs/>
          <w:color w:val="000000"/>
          <w:sz w:val="22"/>
          <w:szCs w:val="22"/>
        </w:rPr>
        <w:t xml:space="preserve">et al.</w:t>
      </w:r>
      <w:r>
        <w:rPr>
          <w:rFonts w:ascii="Calibri" w:hAnsi="Calibri" w:eastAsia="Calibri" w:cs="Calibri"/>
          <w:color w:val="000000"/>
          <w:sz w:val="22"/>
          <w:szCs w:val="22"/>
        </w:rPr>
        <w:t xml:space="preserve"> 2007; De Meyer </w:t>
      </w:r>
      <w:r>
        <w:rPr>
          <w:rFonts w:ascii="Calibri" w:hAnsi="Calibri" w:eastAsia="Calibri" w:cs="Calibri"/>
          <w:i/>
          <w:iCs/>
          <w:color w:val="000000"/>
          <w:sz w:val="22"/>
          <w:szCs w:val="22"/>
        </w:rPr>
        <w:t xml:space="preserve">et al.,</w:t>
      </w:r>
      <w:r>
        <w:rPr>
          <w:rFonts w:ascii="Calibri" w:hAnsi="Calibri" w:eastAsia="Calibri" w:cs="Calibri"/>
          <w:color w:val="000000"/>
          <w:sz w:val="22"/>
          <w:szCs w:val="22"/>
        </w:rPr>
        <w:t xml:space="preserve"> 2010; Liu </w:t>
      </w:r>
      <w:r>
        <w:rPr>
          <w:rFonts w:ascii="Calibri" w:hAnsi="Calibri" w:eastAsia="Calibri" w:cs="Calibri"/>
          <w:i/>
          <w:iCs/>
          <w:color w:val="000000"/>
          <w:sz w:val="22"/>
          <w:szCs w:val="22"/>
        </w:rPr>
        <w:t xml:space="preserve">et al.,</w:t>
      </w:r>
      <w:r>
        <w:rPr>
          <w:rFonts w:ascii="Calibri" w:hAnsi="Calibri" w:eastAsia="Calibri" w:cs="Calibri"/>
          <w:color w:val="000000"/>
          <w:sz w:val="22"/>
          <w:szCs w:val="22"/>
        </w:rPr>
        <w:t xml:space="preserve"> 2011; De Villiers </w:t>
      </w:r>
      <w:r>
        <w:rPr>
          <w:rFonts w:ascii="Calibri" w:hAnsi="Calibri" w:eastAsia="Calibri" w:cs="Calibri"/>
          <w:i/>
          <w:iCs/>
          <w:color w:val="000000"/>
          <w:sz w:val="22"/>
          <w:szCs w:val="22"/>
        </w:rPr>
        <w:t xml:space="preserve">et al.,</w:t>
      </w:r>
      <w:r>
        <w:rPr>
          <w:rFonts w:ascii="Calibri" w:hAnsi="Calibri" w:eastAsia="Calibri" w:cs="Calibri"/>
          <w:color w:val="000000"/>
          <w:sz w:val="22"/>
          <w:szCs w:val="22"/>
        </w:rPr>
        <w:t xml:space="preserve"> 2016</w:t>
      </w:r>
      <w:r>
        <w:rPr>
          <w:rFonts w:ascii="Calibri" w:hAnsi="Calibri" w:eastAsia="Calibri" w:cs="Calibri"/>
          <w:color w:val="000000"/>
          <w:sz w:val="22"/>
          <w:szCs w:val="22"/>
        </w:rPr>
        <w:t xml:space="preserve">). For the EPPO region EFSA (2020) made a projection of potential establishment within the EPPO region, concluding that the species can potentially become established in the Mediterranean coastal areas, as well as the whole of Spain and Portugal, and the Atlantic coast in France. The EFSA Panel on Plant Health, in their Pest Categorization of non-EU Tephritidae (EFSA, 2020) placed </w:t>
      </w:r>
      <w:r>
        <w:rPr>
          <w:rFonts w:ascii="Calibri" w:hAnsi="Calibri" w:eastAsia="Calibri" w:cs="Calibri"/>
          <w:i/>
          <w:iCs/>
          <w:color w:val="000000"/>
          <w:sz w:val="22"/>
          <w:szCs w:val="22"/>
        </w:rPr>
        <w:t xml:space="preserve">B. dorsalis</w:t>
      </w:r>
      <w:r>
        <w:rPr>
          <w:rFonts w:ascii="Calibri" w:hAnsi="Calibri" w:eastAsia="Calibri" w:cs="Calibri"/>
          <w:color w:val="000000"/>
          <w:sz w:val="22"/>
          <w:szCs w:val="22"/>
        </w:rPr>
        <w:t xml:space="preserve"> on the list of fruit flies that satisfy the criteria to be regarded as a potential Union quarantine pest for the EU.</w:t>
      </w:r>
    </w:p>
    <w:p>
      <w:pPr>
        <w:widowControl w:val="on"/>
        <w:pBdr/>
        <w:spacing w:before="300" w:after="150" w:line="240" w:lineRule="auto"/>
        <w:ind w:left="0" w:right="0"/>
        <w:jc w:val="left"/>
        <w:outlineLvl w:val="2"/>
      </w:pPr>
      <w:r>
        <w:rPr>
          <w:rFonts w:ascii="Calibri" w:hAnsi="Calibri" w:eastAsia="Calibri" w:cs="Calibri"/>
          <w:b/>
          <w:bCs/>
          <w:color w:val="000000"/>
          <w:sz w:val="22"/>
          <w:szCs w:val="22"/>
        </w:rPr>
        <w:t xml:space="preserve">PHYTOSANITARY MEASURES</w:t>
      </w:r>
    </w:p>
    <w:p>
      <w:pPr>
        <w:widowControl w:val="on"/>
        <w:pBdr/>
        <w:spacing w:before="220" w:after="220" w:line="240" w:lineRule="auto"/>
        <w:ind w:left="0" w:right="0"/>
        <w:jc w:val="both"/>
      </w:pPr>
      <w:r>
        <w:rPr>
          <w:rFonts w:ascii="Calibri" w:hAnsi="Calibri" w:eastAsia="Calibri" w:cs="Calibri"/>
          <w:color w:val="000000"/>
          <w:sz w:val="22"/>
          <w:szCs w:val="22"/>
        </w:rPr>
        <w:t xml:space="preserve">Consignments of fruits from countries or regions where </w:t>
      </w:r>
      <w:r>
        <w:rPr>
          <w:rFonts w:ascii="Calibri" w:hAnsi="Calibri" w:eastAsia="Calibri" w:cs="Calibri"/>
          <w:i/>
          <w:iCs/>
          <w:color w:val="000000"/>
          <w:sz w:val="22"/>
          <w:szCs w:val="22"/>
        </w:rPr>
        <w:t xml:space="preserve">B. dorsalis </w:t>
      </w:r>
      <w:r>
        <w:rPr>
          <w:rFonts w:ascii="Calibri" w:hAnsi="Calibri" w:eastAsia="Calibri" w:cs="Calibri"/>
          <w:color w:val="000000"/>
          <w:sz w:val="22"/>
          <w:szCs w:val="22"/>
        </w:rPr>
        <w:t xml:space="preserve">occurs should be inspected for symptoms of infestation and those suspected should be cut open in order to look for larvae. Possible measures include that such fruits should come from an area where </w:t>
      </w:r>
      <w:r>
        <w:rPr>
          <w:rFonts w:ascii="Calibri" w:hAnsi="Calibri" w:eastAsia="Calibri" w:cs="Calibri"/>
          <w:i/>
          <w:iCs/>
          <w:color w:val="000000"/>
          <w:sz w:val="22"/>
          <w:szCs w:val="22"/>
        </w:rPr>
        <w:t xml:space="preserve">B. dorsalis </w:t>
      </w:r>
      <w:r>
        <w:rPr>
          <w:rFonts w:ascii="Calibri" w:hAnsi="Calibri" w:eastAsia="Calibri" w:cs="Calibri"/>
          <w:color w:val="000000"/>
          <w:sz w:val="22"/>
          <w:szCs w:val="22"/>
        </w:rPr>
        <w:t xml:space="preserve">does not occur, or from a place of production found free from the pest by regular inspection in the 3 months before harvest. Plants transported with roots from countries or regions where </w:t>
      </w:r>
      <w:r>
        <w:rPr>
          <w:rFonts w:ascii="Calibri" w:hAnsi="Calibri" w:eastAsia="Calibri" w:cs="Calibri"/>
          <w:i/>
          <w:iCs/>
          <w:color w:val="000000"/>
          <w:sz w:val="22"/>
          <w:szCs w:val="22"/>
        </w:rPr>
        <w:t xml:space="preserve">B. dorsalis</w:t>
      </w:r>
      <w:r>
        <w:rPr>
          <w:rFonts w:ascii="Calibri" w:hAnsi="Calibri" w:eastAsia="Calibri" w:cs="Calibri"/>
          <w:color w:val="000000"/>
          <w:sz w:val="22"/>
          <w:szCs w:val="22"/>
        </w:rPr>
        <w:t xml:space="preserve"> occurs should be free from soil, or the soil should be treated against puparia. The plants should not carry fruits. Cold treatment, hot water immersion, high temperature forced air, vapour heat treatment and fumigation can be performed on fruit commodities. Detailed information on these treatments and possible combinations of treatments for different species of fruits is available in USDA treatment manual (USDA, 2021). Annex 32 of ISPM 28 Phytosanitary treatments for regulated pests (FAO, 2018) describes a vapour heat treatment for </w:t>
      </w:r>
      <w:r>
        <w:rPr>
          <w:rFonts w:ascii="Calibri" w:hAnsi="Calibri" w:eastAsia="Calibri" w:cs="Calibri"/>
          <w:i/>
          <w:iCs/>
          <w:color w:val="000000"/>
          <w:sz w:val="22"/>
          <w:szCs w:val="22"/>
        </w:rPr>
        <w:t xml:space="preserve">Bactrocera dorsalis</w:t>
      </w:r>
      <w:r>
        <w:rPr>
          <w:rFonts w:ascii="Calibri" w:hAnsi="Calibri" w:eastAsia="Calibri" w:cs="Calibri"/>
          <w:color w:val="000000"/>
          <w:sz w:val="22"/>
          <w:szCs w:val="22"/>
        </w:rPr>
        <w:t xml:space="preserve"> on </w:t>
      </w:r>
      <w:r>
        <w:rPr>
          <w:rFonts w:ascii="Calibri" w:hAnsi="Calibri" w:eastAsia="Calibri" w:cs="Calibri"/>
          <w:i/>
          <w:iCs/>
          <w:color w:val="000000"/>
          <w:sz w:val="22"/>
          <w:szCs w:val="22"/>
        </w:rPr>
        <w:t xml:space="preserve">Carica papaya</w:t>
      </w:r>
      <w:r>
        <w:rPr>
          <w:rFonts w:ascii="Calibri" w:hAnsi="Calibri" w:eastAsia="Calibri" w:cs="Calibri"/>
          <w:color w:val="000000"/>
          <w:sz w:val="22"/>
          <w:szCs w:val="22"/>
        </w:rPr>
        <w:t xml:space="preserve">.</w:t>
      </w:r>
    </w:p>
    <w:p>
      <w:pPr>
        <w:widowControl w:val="on"/>
        <w:pBdr/>
        <w:spacing w:before="300" w:after="150" w:line="240" w:lineRule="auto"/>
        <w:ind w:left="0" w:right="0"/>
        <w:jc w:val="left"/>
        <w:outlineLvl w:val="2"/>
      </w:pPr>
      <w:r>
        <w:rPr>
          <w:rFonts w:ascii="Calibri" w:hAnsi="Calibri" w:eastAsia="Calibri" w:cs="Calibri"/>
          <w:b/>
          <w:bCs/>
          <w:color w:val="000000"/>
          <w:sz w:val="22"/>
          <w:szCs w:val="22"/>
        </w:rPr>
        <w:t xml:space="preserve">REFERENCES</w:t>
      </w:r>
    </w:p>
    <w:p>
      <w:pPr>
        <w:widowControl w:val="on"/>
        <w:pBdr/>
        <w:spacing w:before="220" w:after="220" w:line="240" w:lineRule="auto"/>
        <w:ind w:left="0" w:right="0"/>
        <w:jc w:val="left"/>
      </w:pPr>
      <w:r>
        <w:rPr>
          <w:rFonts w:ascii="Calibri" w:hAnsi="Calibri" w:eastAsia="Calibri" w:cs="Calibri"/>
          <w:color w:val="000000"/>
          <w:sz w:val="22"/>
          <w:szCs w:val="22"/>
        </w:rPr>
        <w:t xml:space="preserve">EFSA PLH Panel (EFSA Panel on Plant Health), Bragard C, Dehnen-Schmutz K, Di Serio F, Gonthier P, Jacques MA, Jaques Miret JA, Justesen AF, Magnusson CS, Milonas P, Navas-Cortes JA, Parnell S, Potting R, Reignault PL, Thulke HH, Van der Werf W, Vicent Civera A, Yuen J, Zappalà L, Bali EM, Papadopoulos N, Papanastassiou S, Czwienczek E &amp; MacLeod (2020)  A  Pest categorization of non-EU Tephritidae. </w:t>
      </w:r>
      <w:r>
        <w:rPr>
          <w:rFonts w:ascii="Calibri" w:hAnsi="Calibri" w:eastAsia="Calibri" w:cs="Calibri"/>
          <w:i/>
          <w:iCs/>
          <w:color w:val="000000"/>
          <w:sz w:val="22"/>
          <w:szCs w:val="22"/>
        </w:rPr>
        <w:t xml:space="preserve">EFSA Journal </w:t>
      </w:r>
      <w:r>
        <w:rPr>
          <w:rFonts w:ascii="Calibri" w:hAnsi="Calibri" w:eastAsia="Calibri" w:cs="Calibri"/>
          <w:b/>
          <w:bCs/>
          <w:color w:val="000000"/>
          <w:sz w:val="22"/>
          <w:szCs w:val="22"/>
        </w:rPr>
        <w:t xml:space="preserve">18</w:t>
      </w:r>
      <w:r>
        <w:rPr>
          <w:rFonts w:ascii="Calibri" w:hAnsi="Calibri" w:eastAsia="Calibri" w:cs="Calibri"/>
          <w:color w:val="000000"/>
          <w:sz w:val="22"/>
          <w:szCs w:val="22"/>
        </w:rPr>
        <w:t xml:space="preserve">, 5931, 62 pp. </w:t>
      </w:r>
      <w:hyperlink r:id="rId430367eea4de1af2d" w:history="1">
        <w:r>
          <w:rPr>
            <w:rFonts w:ascii="Calibri" w:hAnsi="Calibri" w:eastAsia="Calibri" w:cs="Calibri"/>
            <w:color w:val="0000CC"/>
            <w:sz w:val="22"/>
            <w:szCs w:val="22"/>
            <w:u w:val="single"/>
          </w:rPr>
          <w:t xml:space="preserve">https://doi.org/10.2903/j.efsa.2020.5931</w:t>
        </w:r>
      </w:hyperlink>
    </w:p>
    <w:p>
      <w:pPr>
        <w:widowControl w:val="on"/>
        <w:pBdr/>
        <w:spacing w:before="220" w:after="220" w:line="240" w:lineRule="auto"/>
        <w:ind w:left="0" w:right="0"/>
        <w:jc w:val="left"/>
      </w:pPr>
      <w:r>
        <w:rPr>
          <w:rFonts w:ascii="Calibri" w:hAnsi="Calibri" w:eastAsia="Calibri" w:cs="Calibri"/>
          <w:color w:val="000000"/>
          <w:sz w:val="22"/>
          <w:szCs w:val="22"/>
        </w:rPr>
        <w:t xml:space="preserve">Chinvinijkul S, Limohpasmanee W, Chanket T, Uthaitanakit A, Phopanit P, Sukamnouyporn W, Maneerat C, Kimjong W, Kumjing P &amp; Boonwee N (2016) Use of the sterile insect technique in an area-wide approach to establish a fruit fly-low prevalence area in Thailand. In: Perez-Staples D, Diaz-Fleischer F, Montoya P &amp; Vera MT (Eds) Area-wide Management of Fruit Flies. CRC Press, Boca Raton, pp. 325-332.</w:t>
      </w:r>
    </w:p>
    <w:p>
      <w:pPr>
        <w:widowControl w:val="on"/>
        <w:pBdr/>
        <w:spacing w:before="220" w:after="220" w:line="240" w:lineRule="auto"/>
        <w:ind w:left="0" w:right="0"/>
        <w:jc w:val="left"/>
      </w:pPr>
      <w:r>
        <w:rPr>
          <w:rFonts w:ascii="Calibri" w:hAnsi="Calibri" w:eastAsia="Calibri" w:cs="Calibri"/>
          <w:color w:val="000000"/>
          <w:sz w:val="22"/>
          <w:szCs w:val="22"/>
        </w:rPr>
        <w:t xml:space="preserve">Cugala D, Ekesi S, Ambasse D, Adamu RS &amp; Mohamed SA (2013) Assessment of ripening stages of Cavendish dwarf bananas as host or non-host to </w:t>
      </w:r>
      <w:r>
        <w:rPr>
          <w:rFonts w:ascii="Calibri" w:hAnsi="Calibri" w:eastAsia="Calibri" w:cs="Calibri"/>
          <w:i/>
          <w:iCs/>
          <w:color w:val="000000"/>
          <w:sz w:val="22"/>
          <w:szCs w:val="22"/>
        </w:rPr>
        <w:t xml:space="preserve">Bactrocera invadens</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Journal of Applied Entomology </w:t>
      </w:r>
      <w:r>
        <w:rPr>
          <w:rFonts w:ascii="Calibri" w:hAnsi="Calibri" w:eastAsia="Calibri" w:cs="Calibri"/>
          <w:b/>
          <w:bCs/>
          <w:color w:val="000000"/>
          <w:sz w:val="22"/>
          <w:szCs w:val="22"/>
        </w:rPr>
        <w:t xml:space="preserve">138</w:t>
      </w:r>
      <w:r>
        <w:rPr>
          <w:rFonts w:ascii="Calibri" w:hAnsi="Calibri" w:eastAsia="Calibri" w:cs="Calibri"/>
          <w:color w:val="000000"/>
          <w:sz w:val="22"/>
          <w:szCs w:val="22"/>
        </w:rPr>
        <w:t xml:space="preserve">, 449-457.</w:t>
      </w:r>
    </w:p>
    <w:p>
      <w:pPr>
        <w:widowControl w:val="on"/>
        <w:pBdr/>
        <w:spacing w:before="220" w:after="220" w:line="240" w:lineRule="auto"/>
        <w:ind w:left="0" w:right="0"/>
        <w:jc w:val="left"/>
      </w:pPr>
      <w:r>
        <w:rPr>
          <w:rFonts w:ascii="Calibri" w:hAnsi="Calibri" w:eastAsia="Calibri" w:cs="Calibri"/>
          <w:color w:val="000000"/>
          <w:sz w:val="22"/>
          <w:szCs w:val="22"/>
        </w:rPr>
        <w:t xml:space="preserve">Cugala D, Jordane JJ &amp; Ekesi S (2017) Non-host status of papaya cultivars to the Oriental fruit fly, </w:t>
      </w:r>
      <w:r>
        <w:rPr>
          <w:rFonts w:ascii="Calibri" w:hAnsi="Calibri" w:eastAsia="Calibri" w:cs="Calibri"/>
          <w:i/>
          <w:iCs/>
          <w:color w:val="000000"/>
          <w:sz w:val="22"/>
          <w:szCs w:val="22"/>
        </w:rPr>
        <w:t xml:space="preserve">Bactrocera dorsalis </w:t>
      </w:r>
      <w:r>
        <w:rPr>
          <w:rFonts w:ascii="Calibri" w:hAnsi="Calibri" w:eastAsia="Calibri" w:cs="Calibri"/>
          <w:color w:val="000000"/>
          <w:sz w:val="22"/>
          <w:szCs w:val="22"/>
        </w:rPr>
        <w:t xml:space="preserve">(Diptera: Tephritidae), in relation to the degree of fruit ripeness. </w:t>
      </w:r>
      <w:r>
        <w:rPr>
          <w:rFonts w:ascii="Calibri" w:hAnsi="Calibri" w:eastAsia="Calibri" w:cs="Calibri"/>
          <w:i/>
          <w:iCs/>
          <w:color w:val="000000"/>
          <w:sz w:val="22"/>
          <w:szCs w:val="22"/>
        </w:rPr>
        <w:t xml:space="preserve">International Journal of Tropical Insect Science </w:t>
      </w:r>
      <w:r>
        <w:rPr>
          <w:rFonts w:ascii="Calibri" w:hAnsi="Calibri" w:eastAsia="Calibri" w:cs="Calibri"/>
          <w:b/>
          <w:bCs/>
          <w:color w:val="000000"/>
          <w:sz w:val="22"/>
          <w:szCs w:val="22"/>
        </w:rPr>
        <w:t xml:space="preserve">37</w:t>
      </w:r>
      <w:r>
        <w:rPr>
          <w:rFonts w:ascii="Calibri" w:hAnsi="Calibri" w:eastAsia="Calibri" w:cs="Calibri"/>
          <w:color w:val="000000"/>
          <w:sz w:val="22"/>
          <w:szCs w:val="22"/>
        </w:rPr>
        <w:t xml:space="preserve">, 19-29.</w:t>
      </w:r>
    </w:p>
    <w:p>
      <w:pPr>
        <w:widowControl w:val="on"/>
        <w:pBdr/>
        <w:spacing w:before="220" w:after="220" w:line="240" w:lineRule="auto"/>
        <w:ind w:left="0" w:right="0"/>
        <w:jc w:val="left"/>
      </w:pPr>
      <w:r>
        <w:rPr>
          <w:rFonts w:ascii="Calibri" w:hAnsi="Calibri" w:eastAsia="Calibri" w:cs="Calibri"/>
          <w:color w:val="000000"/>
          <w:sz w:val="22"/>
          <w:szCs w:val="22"/>
        </w:rPr>
        <w:t xml:space="preserve">De Meyer M, Robertson MP, Mansel MW, Ekesi S, Tsuruta K, Mwaiko W, Vayssières JF &amp; Peterson AT (2010) Ecological niche and potential geographic distribution of the invasive fruit fly </w:t>
      </w:r>
      <w:r>
        <w:rPr>
          <w:rFonts w:ascii="Calibri" w:hAnsi="Calibri" w:eastAsia="Calibri" w:cs="Calibri"/>
          <w:i/>
          <w:iCs/>
          <w:color w:val="000000"/>
          <w:sz w:val="22"/>
          <w:szCs w:val="22"/>
        </w:rPr>
        <w:t xml:space="preserve">Bactrocera invadens </w:t>
      </w:r>
      <w:r>
        <w:rPr>
          <w:rFonts w:ascii="Calibri" w:hAnsi="Calibri" w:eastAsia="Calibri" w:cs="Calibri"/>
          <w:color w:val="000000"/>
          <w:sz w:val="22"/>
          <w:szCs w:val="22"/>
        </w:rPr>
        <w:t xml:space="preserve">(Diptera, Tephritidae). </w:t>
      </w:r>
      <w:r>
        <w:rPr>
          <w:rFonts w:ascii="Calibri" w:hAnsi="Calibri" w:eastAsia="Calibri" w:cs="Calibri"/>
          <w:i/>
          <w:iCs/>
          <w:color w:val="000000"/>
          <w:sz w:val="22"/>
          <w:szCs w:val="22"/>
        </w:rPr>
        <w:t xml:space="preserve">Bulletin of Entomological Research </w:t>
      </w:r>
      <w:r>
        <w:rPr>
          <w:rFonts w:ascii="Calibri" w:hAnsi="Calibri" w:eastAsia="Calibri" w:cs="Calibri"/>
          <w:b/>
          <w:bCs/>
          <w:color w:val="000000"/>
          <w:sz w:val="22"/>
          <w:szCs w:val="22"/>
        </w:rPr>
        <w:t xml:space="preserve">100</w:t>
      </w:r>
      <w:r>
        <w:rPr>
          <w:rFonts w:ascii="Calibri" w:hAnsi="Calibri" w:eastAsia="Calibri" w:cs="Calibri"/>
          <w:color w:val="000000"/>
          <w:sz w:val="22"/>
          <w:szCs w:val="22"/>
        </w:rPr>
        <w:t xml:space="preserve">, 35-48.</w:t>
      </w:r>
    </w:p>
    <w:p>
      <w:pPr>
        <w:widowControl w:val="on"/>
        <w:pBdr/>
        <w:spacing w:before="220" w:after="220" w:line="240" w:lineRule="auto"/>
        <w:ind w:left="0" w:right="0"/>
        <w:jc w:val="left"/>
      </w:pPr>
      <w:r>
        <w:rPr>
          <w:rFonts w:ascii="Calibri" w:hAnsi="Calibri" w:eastAsia="Calibri" w:cs="Calibri"/>
          <w:color w:val="000000"/>
          <w:sz w:val="22"/>
          <w:szCs w:val="22"/>
        </w:rPr>
        <w:t xml:space="preserve">De Villiers M, Hattingh V, Kriticos DJ, Brunel S, Vayssieres JF, Sinzogan A, Billah MK, Mohamed MA, Mwatawala M, Abdelgader H, Salah FEE &amp; De Meyer M (2016) The potential distribution of </w:t>
      </w:r>
      <w:r>
        <w:rPr>
          <w:rFonts w:ascii="Calibri" w:hAnsi="Calibri" w:eastAsia="Calibri" w:cs="Calibri"/>
          <w:i/>
          <w:iCs/>
          <w:color w:val="000000"/>
          <w:sz w:val="22"/>
          <w:szCs w:val="22"/>
        </w:rPr>
        <w:t xml:space="preserve">Bactrocera dorsalis</w:t>
      </w:r>
      <w:r>
        <w:rPr>
          <w:rFonts w:ascii="Calibri" w:hAnsi="Calibri" w:eastAsia="Calibri" w:cs="Calibri"/>
          <w:color w:val="000000"/>
          <w:sz w:val="22"/>
          <w:szCs w:val="22"/>
        </w:rPr>
        <w:t xml:space="preserve">: considering phenology and irrigation patterns. </w:t>
      </w:r>
      <w:r>
        <w:rPr>
          <w:rFonts w:ascii="Calibri" w:hAnsi="Calibri" w:eastAsia="Calibri" w:cs="Calibri"/>
          <w:i/>
          <w:iCs/>
          <w:color w:val="000000"/>
          <w:sz w:val="22"/>
          <w:szCs w:val="22"/>
        </w:rPr>
        <w:t xml:space="preserve">Bulletin of Entomological Research</w:t>
      </w:r>
      <w:r>
        <w:rPr>
          <w:rFonts w:ascii="Calibri" w:hAnsi="Calibri" w:eastAsia="Calibri" w:cs="Calibri"/>
          <w:color w:val="000000"/>
          <w:sz w:val="22"/>
          <w:szCs w:val="22"/>
        </w:rPr>
        <w:t xml:space="preserve"> </w:t>
      </w:r>
      <w:r>
        <w:rPr>
          <w:rFonts w:ascii="Calibri" w:hAnsi="Calibri" w:eastAsia="Calibri" w:cs="Calibri"/>
          <w:b/>
          <w:bCs/>
          <w:color w:val="000000"/>
          <w:sz w:val="22"/>
          <w:szCs w:val="22"/>
        </w:rPr>
        <w:t xml:space="preserve">106</w:t>
      </w:r>
      <w:r>
        <w:rPr>
          <w:rFonts w:ascii="Calibri" w:hAnsi="Calibri" w:eastAsia="Calibri" w:cs="Calibri"/>
          <w:color w:val="000000"/>
          <w:sz w:val="22"/>
          <w:szCs w:val="22"/>
        </w:rPr>
        <w:t xml:space="preserve">, 19-33</w:t>
      </w:r>
    </w:p>
    <w:p>
      <w:pPr>
        <w:widowControl w:val="on"/>
        <w:pBdr/>
        <w:spacing w:before="220" w:after="220" w:line="240" w:lineRule="auto"/>
        <w:ind w:left="0" w:right="0"/>
        <w:jc w:val="left"/>
      </w:pPr>
      <w:r>
        <w:rPr>
          <w:rFonts w:ascii="Calibri" w:hAnsi="Calibri" w:eastAsia="Calibri" w:cs="Calibri"/>
          <w:color w:val="000000"/>
          <w:sz w:val="22"/>
          <w:szCs w:val="22"/>
        </w:rPr>
        <w:t xml:space="preserve">Drew RAI &amp; Hancock DL (1994) The </w:t>
      </w:r>
      <w:r>
        <w:rPr>
          <w:rFonts w:ascii="Calibri" w:hAnsi="Calibri" w:eastAsia="Calibri" w:cs="Calibri"/>
          <w:i/>
          <w:iCs/>
          <w:color w:val="000000"/>
          <w:sz w:val="22"/>
          <w:szCs w:val="22"/>
        </w:rPr>
        <w:t xml:space="preserve">Bactrocera dorsalis</w:t>
      </w:r>
      <w:r>
        <w:rPr>
          <w:rFonts w:ascii="Calibri" w:hAnsi="Calibri" w:eastAsia="Calibri" w:cs="Calibri"/>
          <w:color w:val="000000"/>
          <w:sz w:val="22"/>
          <w:szCs w:val="22"/>
        </w:rPr>
        <w:t xml:space="preserve"> complex of fruit flies (Diptera: Tephritidae: Dacinae) in Asia. </w:t>
      </w:r>
      <w:r>
        <w:rPr>
          <w:rFonts w:ascii="Calibri" w:hAnsi="Calibri" w:eastAsia="Calibri" w:cs="Calibri"/>
          <w:i/>
          <w:iCs/>
          <w:color w:val="000000"/>
          <w:sz w:val="22"/>
          <w:szCs w:val="22"/>
        </w:rPr>
        <w:t xml:space="preserve">Bulletin of Entomological Research suppl. Series</w:t>
      </w:r>
      <w:r>
        <w:rPr>
          <w:rFonts w:ascii="Calibri" w:hAnsi="Calibri" w:eastAsia="Calibri" w:cs="Calibri"/>
          <w:color w:val="000000"/>
          <w:sz w:val="22"/>
          <w:szCs w:val="22"/>
        </w:rPr>
        <w:t xml:space="preserve"> 2, 1-68.</w:t>
      </w:r>
    </w:p>
    <w:p>
      <w:pPr>
        <w:widowControl w:val="on"/>
        <w:pBdr/>
        <w:spacing w:before="220" w:after="220" w:line="240" w:lineRule="auto"/>
        <w:ind w:left="0" w:right="0"/>
        <w:jc w:val="left"/>
      </w:pPr>
      <w:r>
        <w:rPr>
          <w:rFonts w:ascii="Calibri" w:hAnsi="Calibri" w:eastAsia="Calibri" w:cs="Calibri"/>
          <w:color w:val="000000"/>
          <w:sz w:val="22"/>
          <w:szCs w:val="22"/>
        </w:rPr>
        <w:t xml:space="preserve">Drew RAI &amp; Romig MC (2013) Tropical Fruit Flies of South-East Asia. CABI, Wallingford (UK), vii+653 pp. </w:t>
      </w:r>
    </w:p>
    <w:p>
      <w:pPr>
        <w:widowControl w:val="on"/>
        <w:pBdr/>
        <w:spacing w:before="220" w:after="220" w:line="240" w:lineRule="auto"/>
        <w:ind w:left="0" w:right="0"/>
        <w:jc w:val="left"/>
      </w:pPr>
      <w:r>
        <w:rPr>
          <w:rFonts w:ascii="Calibri" w:hAnsi="Calibri" w:eastAsia="Calibri" w:cs="Calibri"/>
          <w:color w:val="000000"/>
          <w:sz w:val="22"/>
          <w:szCs w:val="22"/>
        </w:rPr>
        <w:t xml:space="preserve">Drew RAI &amp; Romig MC (2016) Keys to the Tropical Fruit flies of South-East Asia. CABI, Wallingford (UK), 487 pp.</w:t>
      </w:r>
    </w:p>
    <w:p>
      <w:pPr>
        <w:widowControl w:val="on"/>
        <w:pBdr/>
        <w:spacing w:before="220" w:after="220" w:line="240" w:lineRule="auto"/>
        <w:ind w:left="0" w:right="0"/>
        <w:jc w:val="left"/>
      </w:pPr>
      <w:r>
        <w:rPr>
          <w:rFonts w:ascii="Calibri" w:hAnsi="Calibri" w:eastAsia="Calibri" w:cs="Calibri"/>
          <w:color w:val="000000"/>
          <w:sz w:val="22"/>
          <w:szCs w:val="22"/>
        </w:rPr>
        <w:t xml:space="preserve">Ekesi S, Nderitu PW &amp; Rwomushana I (2006) Field infestation, life history and demographic parameters of the fruit fly </w:t>
      </w:r>
      <w:r>
        <w:rPr>
          <w:rFonts w:ascii="Calibri" w:hAnsi="Calibri" w:eastAsia="Calibri" w:cs="Calibri"/>
          <w:i/>
          <w:iCs/>
          <w:color w:val="000000"/>
          <w:sz w:val="22"/>
          <w:szCs w:val="22"/>
        </w:rPr>
        <w:t xml:space="preserve">Bactrocera invadens</w:t>
      </w:r>
      <w:r>
        <w:rPr>
          <w:rFonts w:ascii="Calibri" w:hAnsi="Calibri" w:eastAsia="Calibri" w:cs="Calibri"/>
          <w:color w:val="000000"/>
          <w:sz w:val="22"/>
          <w:szCs w:val="22"/>
        </w:rPr>
        <w:t xml:space="preserve"> (Diptera: Tephritidae) in Africa. </w:t>
      </w:r>
      <w:r>
        <w:rPr>
          <w:rFonts w:ascii="Calibri" w:hAnsi="Calibri" w:eastAsia="Calibri" w:cs="Calibri"/>
          <w:i/>
          <w:iCs/>
          <w:color w:val="000000"/>
          <w:sz w:val="22"/>
          <w:szCs w:val="22"/>
        </w:rPr>
        <w:t xml:space="preserve">Bulletin of Entomological Research</w:t>
      </w:r>
      <w:r>
        <w:rPr>
          <w:rFonts w:ascii="Calibri" w:hAnsi="Calibri" w:eastAsia="Calibri" w:cs="Calibri"/>
          <w:color w:val="000000"/>
          <w:sz w:val="22"/>
          <w:szCs w:val="22"/>
        </w:rPr>
        <w:t xml:space="preserve"> </w:t>
      </w:r>
      <w:r>
        <w:rPr>
          <w:rFonts w:ascii="Calibri" w:hAnsi="Calibri" w:eastAsia="Calibri" w:cs="Calibri"/>
          <w:b/>
          <w:bCs/>
          <w:color w:val="000000"/>
          <w:sz w:val="22"/>
          <w:szCs w:val="22"/>
        </w:rPr>
        <w:t xml:space="preserve">96</w:t>
      </w:r>
      <w:r>
        <w:rPr>
          <w:rFonts w:ascii="Calibri" w:hAnsi="Calibri" w:eastAsia="Calibri" w:cs="Calibri"/>
          <w:color w:val="000000"/>
          <w:sz w:val="22"/>
          <w:szCs w:val="22"/>
        </w:rPr>
        <w:t xml:space="preserve">, 379-386.</w:t>
      </w:r>
    </w:p>
    <w:p>
      <w:pPr>
        <w:widowControl w:val="on"/>
        <w:pBdr/>
        <w:spacing w:before="220" w:after="220" w:line="240" w:lineRule="auto"/>
        <w:ind w:left="0" w:right="0"/>
        <w:jc w:val="left"/>
      </w:pPr>
      <w:r>
        <w:rPr>
          <w:rFonts w:ascii="Calibri" w:hAnsi="Calibri" w:eastAsia="Calibri" w:cs="Calibri"/>
          <w:color w:val="000000"/>
          <w:sz w:val="22"/>
          <w:szCs w:val="22"/>
        </w:rPr>
        <w:t xml:space="preserve">Ekesi S, Billah MK, Nderitu PW, Lux SA &amp; Rwomushana I (2009) Evidence for competitive displacement of </w:t>
      </w:r>
      <w:r>
        <w:rPr>
          <w:rFonts w:ascii="Calibri" w:hAnsi="Calibri" w:eastAsia="Calibri" w:cs="Calibri"/>
          <w:i/>
          <w:iCs/>
          <w:color w:val="000000"/>
          <w:sz w:val="22"/>
          <w:szCs w:val="22"/>
        </w:rPr>
        <w:t xml:space="preserve">Ceratitis cosyra</w:t>
      </w:r>
      <w:r>
        <w:rPr>
          <w:rFonts w:ascii="Calibri" w:hAnsi="Calibri" w:eastAsia="Calibri" w:cs="Calibri"/>
          <w:color w:val="000000"/>
          <w:sz w:val="22"/>
          <w:szCs w:val="22"/>
        </w:rPr>
        <w:t xml:space="preserve"> by the invasive fruit fly </w:t>
      </w:r>
      <w:r>
        <w:rPr>
          <w:rFonts w:ascii="Calibri" w:hAnsi="Calibri" w:eastAsia="Calibri" w:cs="Calibri"/>
          <w:i/>
          <w:iCs/>
          <w:color w:val="000000"/>
          <w:sz w:val="22"/>
          <w:szCs w:val="22"/>
        </w:rPr>
        <w:t xml:space="preserve">Bactrocera invadens</w:t>
      </w:r>
      <w:r>
        <w:rPr>
          <w:rFonts w:ascii="Calibri" w:hAnsi="Calibri" w:eastAsia="Calibri" w:cs="Calibri"/>
          <w:color w:val="000000"/>
          <w:sz w:val="22"/>
          <w:szCs w:val="22"/>
        </w:rPr>
        <w:t xml:space="preserve"> (Diptera : Tephritidae) on mango and mechanisms contributing to the displacement. </w:t>
      </w:r>
      <w:r>
        <w:rPr>
          <w:rFonts w:ascii="Calibri" w:hAnsi="Calibri" w:eastAsia="Calibri" w:cs="Calibri"/>
          <w:i/>
          <w:iCs/>
          <w:color w:val="000000"/>
          <w:sz w:val="22"/>
          <w:szCs w:val="22"/>
        </w:rPr>
        <w:t xml:space="preserve">Journal of Economic Entomology</w:t>
      </w:r>
      <w:r>
        <w:rPr>
          <w:rFonts w:ascii="Calibri" w:hAnsi="Calibri" w:eastAsia="Calibri" w:cs="Calibri"/>
          <w:color w:val="000000"/>
          <w:sz w:val="22"/>
          <w:szCs w:val="22"/>
        </w:rPr>
        <w:t xml:space="preserve"> </w:t>
      </w:r>
      <w:r>
        <w:rPr>
          <w:rFonts w:ascii="Calibri" w:hAnsi="Calibri" w:eastAsia="Calibri" w:cs="Calibri"/>
          <w:b/>
          <w:bCs/>
          <w:color w:val="000000"/>
          <w:sz w:val="22"/>
          <w:szCs w:val="22"/>
        </w:rPr>
        <w:t xml:space="preserve">102</w:t>
      </w:r>
      <w:r>
        <w:rPr>
          <w:rFonts w:ascii="Calibri" w:hAnsi="Calibri" w:eastAsia="Calibri" w:cs="Calibri"/>
          <w:color w:val="000000"/>
          <w:sz w:val="22"/>
          <w:szCs w:val="22"/>
        </w:rPr>
        <w:t xml:space="preserve">, 981-991.</w:t>
      </w:r>
    </w:p>
    <w:p>
      <w:pPr>
        <w:widowControl w:val="on"/>
        <w:pBdr/>
        <w:spacing w:before="220" w:after="220" w:line="240" w:lineRule="auto"/>
        <w:ind w:left="0" w:right="0"/>
        <w:jc w:val="left"/>
      </w:pPr>
      <w:r>
        <w:rPr>
          <w:rFonts w:ascii="Calibri" w:hAnsi="Calibri" w:eastAsia="Calibri" w:cs="Calibri"/>
          <w:color w:val="000000"/>
          <w:sz w:val="22"/>
          <w:szCs w:val="22"/>
        </w:rPr>
        <w:t xml:space="preserve">Enkerlin WR (2005) Impact of fruit fly control programmes using the sterile insect technique. In: Dyck VA, Hendrichs J &amp; Robinson AS (Eds) Sterile Insect Technique. Principles and Practice in Area-Wide Integrated Pest Management. Springer Verlag, Dordrecht, 651-676.</w:t>
      </w:r>
    </w:p>
    <w:p>
      <w:pPr>
        <w:widowControl w:val="on"/>
        <w:pBdr/>
        <w:spacing w:before="220" w:after="220" w:line="240" w:lineRule="auto"/>
        <w:ind w:left="0" w:right="0"/>
        <w:jc w:val="left"/>
      </w:pPr>
      <w:r>
        <w:rPr>
          <w:rFonts w:ascii="Calibri" w:hAnsi="Calibri" w:eastAsia="Calibri" w:cs="Calibri"/>
          <w:color w:val="000000"/>
          <w:sz w:val="22"/>
          <w:szCs w:val="22"/>
        </w:rPr>
        <w:t xml:space="preserve">FAO (2018) ISPM 28. Annex 32. Vapour heat treatment for </w:t>
      </w:r>
      <w:r>
        <w:rPr>
          <w:rFonts w:ascii="Calibri" w:hAnsi="Calibri" w:eastAsia="Calibri" w:cs="Calibri"/>
          <w:i/>
          <w:iCs/>
          <w:color w:val="000000"/>
          <w:sz w:val="22"/>
          <w:szCs w:val="22"/>
        </w:rPr>
        <w:t xml:space="preserve">Bactrocera dorsalis</w:t>
      </w:r>
      <w:r>
        <w:rPr>
          <w:rFonts w:ascii="Calibri" w:hAnsi="Calibri" w:eastAsia="Calibri" w:cs="Calibri"/>
          <w:color w:val="000000"/>
          <w:sz w:val="22"/>
          <w:szCs w:val="22"/>
        </w:rPr>
        <w:t xml:space="preserve"> on </w:t>
      </w:r>
      <w:r>
        <w:rPr>
          <w:rFonts w:ascii="Calibri" w:hAnsi="Calibri" w:eastAsia="Calibri" w:cs="Calibri"/>
          <w:i/>
          <w:iCs/>
          <w:color w:val="000000"/>
          <w:sz w:val="22"/>
          <w:szCs w:val="22"/>
        </w:rPr>
        <w:t xml:space="preserve">Carica papaya</w:t>
      </w:r>
      <w:r>
        <w:rPr>
          <w:rFonts w:ascii="Calibri" w:hAnsi="Calibri" w:eastAsia="Calibri" w:cs="Calibri"/>
          <w:color w:val="000000"/>
          <w:sz w:val="22"/>
          <w:szCs w:val="22"/>
        </w:rPr>
        <w:t xml:space="preserve">. Rome, IPPC, FAO. </w:t>
      </w:r>
      <w:hyperlink r:id="rId697367eea4de1b384" w:history="1">
        <w:r>
          <w:rPr>
            <w:rFonts w:ascii="Calibri" w:hAnsi="Calibri" w:eastAsia="Calibri" w:cs="Calibri"/>
            <w:color w:val="0000CC"/>
            <w:sz w:val="22"/>
            <w:szCs w:val="22"/>
            <w:u w:val="single"/>
          </w:rPr>
          <w:t xml:space="preserve">https://assets.ippc.int/static/media/files/publication/en/2019/02/PT_32_2018_En_VHT_Bactr_papaya_2018-04-21_WithCover.pdf</w:t>
        </w:r>
      </w:hyperlink>
      <w:r>
        <w:rPr>
          <w:rFonts w:ascii="Calibri" w:hAnsi="Calibri" w:eastAsia="Calibri" w:cs="Calibri"/>
          <w:color w:val="000000"/>
          <w:sz w:val="22"/>
          <w:szCs w:val="22"/>
        </w:rPr>
        <w:t xml:space="preserve"> </w:t>
      </w:r>
    </w:p>
    <w:p>
      <w:pPr>
        <w:widowControl w:val="on"/>
        <w:pBdr/>
        <w:spacing w:before="220" w:after="220" w:line="240" w:lineRule="auto"/>
        <w:ind w:left="0" w:right="0"/>
        <w:jc w:val="left"/>
      </w:pPr>
      <w:r>
        <w:rPr>
          <w:rFonts w:ascii="Calibri" w:hAnsi="Calibri" w:eastAsia="Calibri" w:cs="Calibri"/>
          <w:color w:val="000000"/>
          <w:sz w:val="22"/>
          <w:szCs w:val="22"/>
        </w:rPr>
        <w:t xml:space="preserve">Goergen G, Vayssières JF, Gnanvossou D &amp; Tindo M (2011) </w:t>
      </w:r>
      <w:r>
        <w:rPr>
          <w:rFonts w:ascii="Calibri" w:hAnsi="Calibri" w:eastAsia="Calibri" w:cs="Calibri"/>
          <w:i/>
          <w:iCs/>
          <w:color w:val="000000"/>
          <w:sz w:val="22"/>
          <w:szCs w:val="22"/>
        </w:rPr>
        <w:t xml:space="preserve">Bactrocera invadens</w:t>
      </w:r>
      <w:r>
        <w:rPr>
          <w:rFonts w:ascii="Calibri" w:hAnsi="Calibri" w:eastAsia="Calibri" w:cs="Calibri"/>
          <w:color w:val="000000"/>
          <w:sz w:val="22"/>
          <w:szCs w:val="22"/>
        </w:rPr>
        <w:t xml:space="preserve"> (Diptera: Tephritidae), a new invasive fruit fly pest for the Afrotropical region: host plant range and distribution in west and central Africa. </w:t>
      </w:r>
      <w:r>
        <w:rPr>
          <w:rFonts w:ascii="Calibri" w:hAnsi="Calibri" w:eastAsia="Calibri" w:cs="Calibri"/>
          <w:i/>
          <w:iCs/>
          <w:color w:val="000000"/>
          <w:sz w:val="22"/>
          <w:szCs w:val="22"/>
        </w:rPr>
        <w:t xml:space="preserve">Environmental Entomology</w:t>
      </w:r>
      <w:r>
        <w:rPr>
          <w:rFonts w:ascii="Calibri" w:hAnsi="Calibri" w:eastAsia="Calibri" w:cs="Calibri"/>
          <w:color w:val="000000"/>
          <w:sz w:val="22"/>
          <w:szCs w:val="22"/>
        </w:rPr>
        <w:t xml:space="preserve"> </w:t>
      </w:r>
      <w:r>
        <w:rPr>
          <w:rFonts w:ascii="Calibri" w:hAnsi="Calibri" w:eastAsia="Calibri" w:cs="Calibri"/>
          <w:b/>
          <w:bCs/>
          <w:color w:val="000000"/>
          <w:sz w:val="22"/>
          <w:szCs w:val="22"/>
        </w:rPr>
        <w:t xml:space="preserve">40</w:t>
      </w:r>
      <w:r>
        <w:rPr>
          <w:rFonts w:ascii="Calibri" w:hAnsi="Calibri" w:eastAsia="Calibri" w:cs="Calibri"/>
          <w:color w:val="000000"/>
          <w:sz w:val="22"/>
          <w:szCs w:val="22"/>
        </w:rPr>
        <w:t xml:space="preserve">, 844-854.</w:t>
      </w:r>
    </w:p>
    <w:p>
      <w:pPr>
        <w:widowControl w:val="on"/>
        <w:pBdr/>
        <w:spacing w:before="220" w:after="220" w:line="240" w:lineRule="auto"/>
        <w:ind w:left="0" w:right="0"/>
        <w:jc w:val="left"/>
      </w:pPr>
      <w:r>
        <w:rPr>
          <w:rFonts w:ascii="Calibri" w:hAnsi="Calibri" w:eastAsia="Calibri" w:cs="Calibri"/>
          <w:color w:val="000000"/>
          <w:sz w:val="22"/>
          <w:szCs w:val="22"/>
        </w:rPr>
        <w:t xml:space="preserve">Hicks CB, Bloem K, Pallipparambil GR &amp; Hartzog HM (2019) Reported long-distance flight of the invasive Oriental fruit fly and its trade implications. In </w:t>
      </w:r>
      <w:r>
        <w:rPr>
          <w:rFonts w:ascii="Calibri" w:hAnsi="Calibri" w:eastAsia="Calibri" w:cs="Calibri"/>
          <w:i/>
          <w:iCs/>
          <w:color w:val="000000"/>
          <w:sz w:val="22"/>
          <w:szCs w:val="22"/>
        </w:rPr>
        <w:t xml:space="preserve">Area-Wide Management of Fruit Flies</w:t>
      </w:r>
      <w:r>
        <w:rPr>
          <w:rFonts w:ascii="Calibri" w:hAnsi="Calibri" w:eastAsia="Calibri" w:cs="Calibri"/>
          <w:color w:val="000000"/>
          <w:sz w:val="22"/>
          <w:szCs w:val="22"/>
        </w:rPr>
        <w:t xml:space="preserve"> (eds Pérez-Staples D, Diaz-Fleischer F, Montoya P. &amp; Vera MT), pp. 9-26. CRC Press, Boca Raton (US) </w:t>
      </w:r>
    </w:p>
    <w:p>
      <w:pPr>
        <w:widowControl w:val="on"/>
        <w:pBdr/>
        <w:spacing w:before="220" w:after="220" w:line="240" w:lineRule="auto"/>
        <w:ind w:left="0" w:right="0"/>
        <w:jc w:val="left"/>
      </w:pPr>
      <w:r>
        <w:rPr>
          <w:rFonts w:ascii="Calibri" w:hAnsi="Calibri" w:eastAsia="Calibri" w:cs="Calibri"/>
          <w:color w:val="000000"/>
          <w:sz w:val="22"/>
          <w:szCs w:val="22"/>
        </w:rPr>
        <w:t xml:space="preserve">IPPC (2019) ISPM 27 Diagnostic protocols for regulated pests DP 29: </w:t>
      </w:r>
      <w:r>
        <w:rPr>
          <w:rFonts w:ascii="Calibri" w:hAnsi="Calibri" w:eastAsia="Calibri" w:cs="Calibri"/>
          <w:i/>
          <w:iCs/>
          <w:color w:val="000000"/>
          <w:sz w:val="22"/>
          <w:szCs w:val="22"/>
        </w:rPr>
        <w:t xml:space="preserve">Bactrocera dorsalis</w:t>
      </w:r>
      <w:r>
        <w:rPr>
          <w:rFonts w:ascii="Calibri" w:hAnsi="Calibri" w:eastAsia="Calibri" w:cs="Calibri"/>
          <w:color w:val="000000"/>
          <w:sz w:val="22"/>
          <w:szCs w:val="22"/>
        </w:rPr>
        <w:t xml:space="preserve">. International Plant Protection Convention, FAO, Rome (Italy), 39 pp.</w:t>
      </w:r>
    </w:p>
    <w:p>
      <w:pPr>
        <w:widowControl w:val="on"/>
        <w:pBdr/>
        <w:spacing w:before="220" w:after="220" w:line="240" w:lineRule="auto"/>
        <w:ind w:left="0" w:right="0"/>
        <w:jc w:val="left"/>
      </w:pPr>
      <w:r>
        <w:rPr>
          <w:rFonts w:ascii="Calibri" w:hAnsi="Calibri" w:eastAsia="Calibri" w:cs="Calibri"/>
          <w:color w:val="000000"/>
          <w:sz w:val="22"/>
          <w:szCs w:val="22"/>
        </w:rPr>
        <w:t xml:space="preserve">Liquido NJ, McQuate GT, Birnbaum AL, Hanlin MA, Nakamichi KA, Inskeep JR, Ching AJF, Marnell SA &amp; Kurashima RS (2019) A review of recorded host plants of oriental fruit fly, </w:t>
      </w:r>
      <w:r>
        <w:rPr>
          <w:rFonts w:ascii="Calibri" w:hAnsi="Calibri" w:eastAsia="Calibri" w:cs="Calibri"/>
          <w:i/>
          <w:iCs/>
          <w:color w:val="000000"/>
          <w:sz w:val="22"/>
          <w:szCs w:val="22"/>
        </w:rPr>
        <w:t xml:space="preserve">Bactrocera </w:t>
      </w:r>
      <w:r>
        <w:rPr>
          <w:rFonts w:ascii="Calibri" w:hAnsi="Calibri" w:eastAsia="Calibri" w:cs="Calibri"/>
          <w:color w:val="000000"/>
          <w:sz w:val="22"/>
          <w:szCs w:val="22"/>
        </w:rPr>
        <w:t xml:space="preserve">(</w:t>
      </w:r>
      <w:r>
        <w:rPr>
          <w:rFonts w:ascii="Calibri" w:hAnsi="Calibri" w:eastAsia="Calibri" w:cs="Calibri"/>
          <w:i/>
          <w:iCs/>
          <w:color w:val="000000"/>
          <w:sz w:val="22"/>
          <w:szCs w:val="22"/>
        </w:rPr>
        <w:t xml:space="preserve">Bactrocera</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dorsalis </w:t>
      </w:r>
      <w:r>
        <w:rPr>
          <w:rFonts w:ascii="Calibri" w:hAnsi="Calibri" w:eastAsia="Calibri" w:cs="Calibri"/>
          <w:color w:val="000000"/>
          <w:sz w:val="22"/>
          <w:szCs w:val="22"/>
        </w:rPr>
        <w:t xml:space="preserve">(Hendel) (Diptera: Tephritidae), Version 3.1. Available online at: </w:t>
      </w:r>
      <w:r>
        <w:rPr>
          <w:rFonts w:ascii="Calibri" w:hAnsi="Calibri" w:eastAsia="Calibri" w:cs="Calibri"/>
          <w:i/>
          <w:iCs/>
          <w:color w:val="000000"/>
          <w:sz w:val="22"/>
          <w:szCs w:val="22"/>
        </w:rPr>
        <w:t xml:space="preserve">USDA Compendium of Fruit Fly Host Information </w:t>
      </w:r>
      <w:r>
        <w:rPr>
          <w:rFonts w:ascii="Calibri" w:hAnsi="Calibri" w:eastAsia="Calibri" w:cs="Calibri"/>
          <w:color w:val="000000"/>
          <w:sz w:val="22"/>
          <w:szCs w:val="22"/>
        </w:rPr>
        <w:t xml:space="preserve">(CoFFHI), Edition 4.0, </w:t>
      </w:r>
      <w:hyperlink r:id="rId822967eea4de1b571" w:history="1">
        <w:r>
          <w:rPr>
            <w:rFonts w:ascii="Calibri" w:hAnsi="Calibri" w:eastAsia="Calibri" w:cs="Calibri"/>
            <w:color w:val="0000CC"/>
            <w:sz w:val="22"/>
            <w:szCs w:val="22"/>
            <w:u w:val="single"/>
          </w:rPr>
          <w:t xml:space="preserve">https://coffhi.cphst.org/</w:t>
        </w:r>
      </w:hyperlink>
      <w:r>
        <w:rPr>
          <w:rFonts w:ascii="Calibri" w:hAnsi="Calibri" w:eastAsia="Calibri" w:cs="Calibri"/>
          <w:color w:val="000000"/>
          <w:sz w:val="22"/>
          <w:szCs w:val="22"/>
        </w:rPr>
        <w:t xml:space="preserve"> [accessed on 2021-04-23]</w:t>
      </w:r>
    </w:p>
    <w:p>
      <w:pPr>
        <w:widowControl w:val="on"/>
        <w:pBdr/>
        <w:spacing w:before="220" w:after="220" w:line="240" w:lineRule="auto"/>
        <w:ind w:left="0" w:right="0"/>
        <w:jc w:val="left"/>
      </w:pPr>
      <w:r>
        <w:rPr>
          <w:rFonts w:ascii="Calibri" w:hAnsi="Calibri" w:eastAsia="Calibri" w:cs="Calibri"/>
          <w:color w:val="000000"/>
          <w:sz w:val="22"/>
          <w:szCs w:val="22"/>
        </w:rPr>
        <w:t xml:space="preserve">Liu JH, Xiong X, Pan Y, Xiong Z, Deng Z &amp; Yang L (2011) Predicting potential distribution of oriental fruit fly, </w:t>
      </w:r>
      <w:r>
        <w:rPr>
          <w:rFonts w:ascii="Calibri" w:hAnsi="Calibri" w:eastAsia="Calibri" w:cs="Calibri"/>
          <w:i/>
          <w:iCs/>
          <w:color w:val="000000"/>
          <w:sz w:val="22"/>
          <w:szCs w:val="22"/>
        </w:rPr>
        <w:t xml:space="preserve">Bactrocera dorsalis </w:t>
      </w:r>
      <w:r>
        <w:rPr>
          <w:rFonts w:ascii="Calibri" w:hAnsi="Calibri" w:eastAsia="Calibri" w:cs="Calibri"/>
          <w:color w:val="000000"/>
          <w:sz w:val="22"/>
          <w:szCs w:val="22"/>
        </w:rPr>
        <w:t xml:space="preserve">in Jiangxi Province, South China based on maximum entropy model. </w:t>
      </w:r>
      <w:r>
        <w:rPr>
          <w:rFonts w:ascii="Calibri" w:hAnsi="Calibri" w:eastAsia="Calibri" w:cs="Calibri"/>
          <w:i/>
          <w:iCs/>
          <w:color w:val="000000"/>
          <w:sz w:val="22"/>
          <w:szCs w:val="22"/>
        </w:rPr>
        <w:t xml:space="preserve">Scientific Research and Essays </w:t>
      </w:r>
      <w:r>
        <w:rPr>
          <w:rFonts w:ascii="Calibri" w:hAnsi="Calibri" w:eastAsia="Calibri" w:cs="Calibri"/>
          <w:b/>
          <w:bCs/>
          <w:color w:val="000000"/>
          <w:sz w:val="22"/>
          <w:szCs w:val="22"/>
        </w:rPr>
        <w:t xml:space="preserve">6</w:t>
      </w:r>
      <w:r>
        <w:rPr>
          <w:rFonts w:ascii="Calibri" w:hAnsi="Calibri" w:eastAsia="Calibri" w:cs="Calibri"/>
          <w:color w:val="000000"/>
          <w:sz w:val="22"/>
          <w:szCs w:val="22"/>
        </w:rPr>
        <w:t xml:space="preserve">, 2888-2894.</w:t>
      </w:r>
    </w:p>
    <w:p>
      <w:pPr>
        <w:widowControl w:val="on"/>
        <w:pBdr/>
        <w:spacing w:before="220" w:after="220" w:line="240" w:lineRule="auto"/>
        <w:ind w:left="0" w:right="0"/>
        <w:jc w:val="left"/>
      </w:pPr>
      <w:r>
        <w:rPr>
          <w:rFonts w:ascii="Calibri" w:hAnsi="Calibri" w:eastAsia="Calibri" w:cs="Calibri"/>
          <w:color w:val="000000"/>
          <w:sz w:val="22"/>
          <w:szCs w:val="22"/>
        </w:rPr>
        <w:t xml:space="preserve">Mouttet R &amp; Balmès V (2020) Multiple trappings of </w:t>
      </w:r>
      <w:r>
        <w:rPr>
          <w:rFonts w:ascii="Calibri" w:hAnsi="Calibri" w:eastAsia="Calibri" w:cs="Calibri"/>
          <w:i/>
          <w:iCs/>
          <w:color w:val="000000"/>
          <w:sz w:val="22"/>
          <w:szCs w:val="22"/>
        </w:rPr>
        <w:t xml:space="preserve">Bactrocera dorsalis </w:t>
      </w:r>
      <w:r>
        <w:rPr>
          <w:rFonts w:ascii="Calibri" w:hAnsi="Calibri" w:eastAsia="Calibri" w:cs="Calibri"/>
          <w:color w:val="000000"/>
          <w:sz w:val="22"/>
          <w:szCs w:val="22"/>
        </w:rPr>
        <w:t xml:space="preserve">complex in France during the 2019 national surveillance survey. Book of Abstracts 4th TEAM meeting, La Grande Motte, France, 81. </w:t>
      </w:r>
    </w:p>
    <w:p>
      <w:pPr>
        <w:widowControl w:val="on"/>
        <w:pBdr/>
        <w:spacing w:before="220" w:after="220" w:line="240" w:lineRule="auto"/>
        <w:ind w:left="0" w:right="0"/>
        <w:jc w:val="left"/>
      </w:pPr>
      <w:r>
        <w:rPr>
          <w:rFonts w:ascii="Calibri" w:hAnsi="Calibri" w:eastAsia="Calibri" w:cs="Calibri"/>
          <w:color w:val="000000"/>
          <w:sz w:val="22"/>
          <w:szCs w:val="22"/>
        </w:rPr>
        <w:t xml:space="preserve">Nugnes F, Russo E, Viggiani G &amp; Bernardo U (2018) First record of an invasive fruit fly belonging to </w:t>
      </w:r>
      <w:r>
        <w:rPr>
          <w:rFonts w:ascii="Calibri" w:hAnsi="Calibri" w:eastAsia="Calibri" w:cs="Calibri"/>
          <w:i/>
          <w:iCs/>
          <w:color w:val="000000"/>
          <w:sz w:val="22"/>
          <w:szCs w:val="22"/>
        </w:rPr>
        <w:t xml:space="preserve">Bactrocera dorsalis </w:t>
      </w:r>
      <w:r>
        <w:rPr>
          <w:rFonts w:ascii="Calibri" w:hAnsi="Calibri" w:eastAsia="Calibri" w:cs="Calibri"/>
          <w:color w:val="000000"/>
          <w:sz w:val="22"/>
          <w:szCs w:val="22"/>
        </w:rPr>
        <w:t xml:space="preserve">complex (Diptera: Tephritidae) in Europe. </w:t>
      </w:r>
      <w:r>
        <w:rPr>
          <w:rFonts w:ascii="Calibri" w:hAnsi="Calibri" w:eastAsia="Calibri" w:cs="Calibri"/>
          <w:i/>
          <w:iCs/>
          <w:color w:val="000000"/>
          <w:sz w:val="22"/>
          <w:szCs w:val="22"/>
        </w:rPr>
        <w:t xml:space="preserve">Insects </w:t>
      </w:r>
      <w:r>
        <w:rPr>
          <w:rFonts w:ascii="Calibri" w:hAnsi="Calibri" w:eastAsia="Calibri" w:cs="Calibri"/>
          <w:b/>
          <w:bCs/>
          <w:color w:val="000000"/>
          <w:sz w:val="22"/>
          <w:szCs w:val="22"/>
        </w:rPr>
        <w:t xml:space="preserve">9</w:t>
      </w:r>
      <w:r>
        <w:rPr>
          <w:rFonts w:ascii="Calibri" w:hAnsi="Calibri" w:eastAsia="Calibri" w:cs="Calibri"/>
          <w:color w:val="000000"/>
          <w:sz w:val="22"/>
          <w:szCs w:val="22"/>
        </w:rPr>
        <w:t xml:space="preserve">, 182.</w:t>
      </w:r>
    </w:p>
    <w:p>
      <w:pPr>
        <w:widowControl w:val="on"/>
        <w:pBdr/>
        <w:spacing w:before="220" w:after="220" w:line="240" w:lineRule="auto"/>
        <w:ind w:left="0" w:right="0"/>
        <w:jc w:val="left"/>
      </w:pPr>
      <w:r>
        <w:rPr>
          <w:rFonts w:ascii="Calibri" w:hAnsi="Calibri" w:eastAsia="Calibri" w:cs="Calibri"/>
          <w:color w:val="000000"/>
          <w:sz w:val="22"/>
          <w:szCs w:val="22"/>
        </w:rPr>
        <w:t xml:space="preserve">Rwomushana I, Ekesi S, Gordon I &amp; Ogol CKPO (2008a) Host plants and host plant preference studies for </w:t>
      </w:r>
      <w:r>
        <w:rPr>
          <w:rFonts w:ascii="Calibri" w:hAnsi="Calibri" w:eastAsia="Calibri" w:cs="Calibri"/>
          <w:i/>
          <w:iCs/>
          <w:color w:val="000000"/>
          <w:sz w:val="22"/>
          <w:szCs w:val="22"/>
        </w:rPr>
        <w:t xml:space="preserve">Bactrocera invadens</w:t>
      </w:r>
      <w:r>
        <w:rPr>
          <w:rFonts w:ascii="Calibri" w:hAnsi="Calibri" w:eastAsia="Calibri" w:cs="Calibri"/>
          <w:color w:val="000000"/>
          <w:sz w:val="22"/>
          <w:szCs w:val="22"/>
        </w:rPr>
        <w:t xml:space="preserve"> (Diptera: Tephritidae) in Kenya, a new invasive fruit fly species in Africa. </w:t>
      </w:r>
      <w:r>
        <w:rPr>
          <w:rFonts w:ascii="Calibri" w:hAnsi="Calibri" w:eastAsia="Calibri" w:cs="Calibri"/>
          <w:i/>
          <w:iCs/>
          <w:color w:val="000000"/>
          <w:sz w:val="22"/>
          <w:szCs w:val="22"/>
        </w:rPr>
        <w:t xml:space="preserve">Annals of the Entomological Society of America</w:t>
      </w:r>
      <w:r>
        <w:rPr>
          <w:rFonts w:ascii="Calibri" w:hAnsi="Calibri" w:eastAsia="Calibri" w:cs="Calibri"/>
          <w:color w:val="000000"/>
          <w:sz w:val="22"/>
          <w:szCs w:val="22"/>
        </w:rPr>
        <w:t xml:space="preserve"> </w:t>
      </w:r>
      <w:r>
        <w:rPr>
          <w:rFonts w:ascii="Calibri" w:hAnsi="Calibri" w:eastAsia="Calibri" w:cs="Calibri"/>
          <w:b/>
          <w:bCs/>
          <w:color w:val="000000"/>
          <w:sz w:val="22"/>
          <w:szCs w:val="22"/>
        </w:rPr>
        <w:t xml:space="preserve">101</w:t>
      </w:r>
      <w:r>
        <w:rPr>
          <w:rFonts w:ascii="Calibri" w:hAnsi="Calibri" w:eastAsia="Calibri" w:cs="Calibri"/>
          <w:color w:val="000000"/>
          <w:sz w:val="22"/>
          <w:szCs w:val="22"/>
        </w:rPr>
        <w:t xml:space="preserve">, 331-340.</w:t>
      </w:r>
    </w:p>
    <w:p>
      <w:pPr>
        <w:widowControl w:val="on"/>
        <w:pBdr/>
        <w:spacing w:before="220" w:after="220" w:line="240" w:lineRule="auto"/>
        <w:ind w:left="0" w:right="0"/>
        <w:jc w:val="left"/>
      </w:pPr>
      <w:r>
        <w:rPr>
          <w:rFonts w:ascii="Calibri" w:hAnsi="Calibri" w:eastAsia="Calibri" w:cs="Calibri"/>
          <w:color w:val="000000"/>
          <w:sz w:val="22"/>
          <w:szCs w:val="22"/>
        </w:rPr>
        <w:t xml:space="preserve">Rwomushana I, Ekesi S, Ogol CKPO &amp; Gordon I (2008b) Effect of temperature on development and survival of immature stages of</w:t>
      </w:r>
      <w:r>
        <w:rPr>
          <w:rFonts w:ascii="Calibri" w:hAnsi="Calibri" w:eastAsia="Calibri" w:cs="Calibri"/>
          <w:i/>
          <w:iCs/>
          <w:color w:val="000000"/>
          <w:sz w:val="22"/>
          <w:szCs w:val="22"/>
        </w:rPr>
        <w:t xml:space="preserve"> Bactrocera invadens</w:t>
      </w:r>
      <w:r>
        <w:rPr>
          <w:rFonts w:ascii="Calibri" w:hAnsi="Calibri" w:eastAsia="Calibri" w:cs="Calibri"/>
          <w:color w:val="000000"/>
          <w:sz w:val="22"/>
          <w:szCs w:val="22"/>
        </w:rPr>
        <w:t xml:space="preserve"> (Diptera: Tephritidae). </w:t>
      </w:r>
      <w:r>
        <w:rPr>
          <w:rFonts w:ascii="Calibri" w:hAnsi="Calibri" w:eastAsia="Calibri" w:cs="Calibri"/>
          <w:i/>
          <w:iCs/>
          <w:color w:val="000000"/>
          <w:sz w:val="22"/>
          <w:szCs w:val="22"/>
        </w:rPr>
        <w:t xml:space="preserve">Journal of Applied Entomology</w:t>
      </w:r>
      <w:r>
        <w:rPr>
          <w:rFonts w:ascii="Calibri" w:hAnsi="Calibri" w:eastAsia="Calibri" w:cs="Calibri"/>
          <w:color w:val="000000"/>
          <w:sz w:val="22"/>
          <w:szCs w:val="22"/>
        </w:rPr>
        <w:t xml:space="preserve"> </w:t>
      </w:r>
      <w:r>
        <w:rPr>
          <w:rFonts w:ascii="Calibri" w:hAnsi="Calibri" w:eastAsia="Calibri" w:cs="Calibri"/>
          <w:b/>
          <w:bCs/>
          <w:color w:val="000000"/>
          <w:sz w:val="22"/>
          <w:szCs w:val="22"/>
        </w:rPr>
        <w:t xml:space="preserve">132</w:t>
      </w:r>
      <w:r>
        <w:rPr>
          <w:rFonts w:ascii="Calibri" w:hAnsi="Calibri" w:eastAsia="Calibri" w:cs="Calibri"/>
          <w:color w:val="000000"/>
          <w:sz w:val="22"/>
          <w:szCs w:val="22"/>
        </w:rPr>
        <w:t xml:space="preserve">, 832-839.</w:t>
      </w:r>
    </w:p>
    <w:p>
      <w:pPr>
        <w:widowControl w:val="on"/>
        <w:pBdr/>
        <w:spacing w:before="220" w:after="220" w:line="240" w:lineRule="auto"/>
        <w:ind w:left="0" w:right="0"/>
        <w:jc w:val="left"/>
      </w:pPr>
      <w:r>
        <w:rPr>
          <w:rFonts w:ascii="Calibri" w:hAnsi="Calibri" w:eastAsia="Calibri" w:cs="Calibri"/>
          <w:color w:val="000000"/>
          <w:sz w:val="22"/>
          <w:szCs w:val="22"/>
        </w:rPr>
        <w:t xml:space="preserve">Schutze MK, Aketarawong N, Amornsak W, Armstrong KF, Augustinos A, Barr N, Bo W, Bourtzis K, Boykin LM, Caceres C, Cameron SL, Chapman TA, Chinvinijkul S, Chomic A, De Meyer M, Drosopoulou ED, Englezou A, Ekesi S, Gariou-Papalexiou A, Hailstones D, Haymer D, Hee AKW, Hendrichs J, Hasanuzzaman M, Jessup A, Khamis FM, Krosch MN, Leblanc L, Mahmood K, Malacrida AR, Mavragani-Tsipidou P, McInnis DO, Mwatawala M, Nishida R, Ono H, Reyes J, Rubinoff DR, San Jose M, Shelly TE, Srikachar S, Tan KH, Thanaphum S, Ul Haq I, Vijaysegaran S, Wee SL, Yesmin F, Zacharopoulou A &amp; Clarke AR (2014) Synonymization of key pest species within the </w:t>
      </w:r>
      <w:r>
        <w:rPr>
          <w:rFonts w:ascii="Calibri" w:hAnsi="Calibri" w:eastAsia="Calibri" w:cs="Calibri"/>
          <w:i/>
          <w:iCs/>
          <w:color w:val="000000"/>
          <w:sz w:val="22"/>
          <w:szCs w:val="22"/>
        </w:rPr>
        <w:t xml:space="preserve">Bactrocera dorsalis</w:t>
      </w:r>
      <w:r>
        <w:rPr>
          <w:rFonts w:ascii="Calibri" w:hAnsi="Calibri" w:eastAsia="Calibri" w:cs="Calibri"/>
          <w:color w:val="000000"/>
          <w:sz w:val="22"/>
          <w:szCs w:val="22"/>
        </w:rPr>
        <w:t xml:space="preserve"> species complex (</w:t>
      </w:r>
      <w:r>
        <w:rPr>
          <w:rFonts w:ascii="Calibri" w:hAnsi="Calibri" w:eastAsia="Calibri" w:cs="Calibri"/>
          <w:i/>
          <w:iCs/>
          <w:color w:val="000000"/>
          <w:sz w:val="22"/>
          <w:szCs w:val="22"/>
        </w:rPr>
        <w:t xml:space="preserve">Diptera : Tephritidae</w:t>
      </w:r>
      <w:r>
        <w:rPr>
          <w:rFonts w:ascii="Calibri" w:hAnsi="Calibri" w:eastAsia="Calibri" w:cs="Calibri"/>
          <w:color w:val="000000"/>
          <w:sz w:val="22"/>
          <w:szCs w:val="22"/>
        </w:rPr>
        <w:t xml:space="preserve">): taxonomic changes based on a review of 20 years of integrative morphological, molecular, cytogenetic, behavioural, and chemoecological data. </w:t>
      </w:r>
      <w:r>
        <w:rPr>
          <w:rFonts w:ascii="Calibri" w:hAnsi="Calibri" w:eastAsia="Calibri" w:cs="Calibri"/>
          <w:i/>
          <w:iCs/>
          <w:color w:val="000000"/>
          <w:sz w:val="22"/>
          <w:szCs w:val="22"/>
        </w:rPr>
        <w:t xml:space="preserve">Systematic Entomology </w:t>
      </w:r>
      <w:r>
        <w:rPr>
          <w:rFonts w:ascii="Calibri" w:hAnsi="Calibri" w:eastAsia="Calibri" w:cs="Calibri"/>
          <w:b/>
          <w:bCs/>
          <w:color w:val="000000"/>
          <w:sz w:val="22"/>
          <w:szCs w:val="22"/>
        </w:rPr>
        <w:t xml:space="preserve">40</w:t>
      </w:r>
      <w:r>
        <w:rPr>
          <w:rFonts w:ascii="Calibri" w:hAnsi="Calibri" w:eastAsia="Calibri" w:cs="Calibri"/>
          <w:color w:val="000000"/>
          <w:sz w:val="22"/>
          <w:szCs w:val="22"/>
        </w:rPr>
        <w:t xml:space="preserve">(2), 456-471. </w:t>
      </w:r>
      <w:hyperlink r:id="rId878267eea4de1b85e" w:history="1">
        <w:r>
          <w:rPr>
            <w:rFonts w:ascii="Calibri" w:hAnsi="Calibri" w:eastAsia="Calibri" w:cs="Calibri"/>
            <w:color w:val="0000CC"/>
            <w:sz w:val="22"/>
            <w:szCs w:val="22"/>
            <w:u w:val="single"/>
          </w:rPr>
          <w:t xml:space="preserve">https://doi.org/10.1111/syen.12113</w:t>
        </w:r>
      </w:hyperlink>
    </w:p>
    <w:p>
      <w:pPr>
        <w:widowControl w:val="on"/>
        <w:pBdr/>
        <w:spacing w:before="220" w:after="220" w:line="240" w:lineRule="auto"/>
        <w:ind w:left="0" w:right="0"/>
        <w:jc w:val="left"/>
      </w:pPr>
      <w:r>
        <w:rPr>
          <w:rFonts w:ascii="Calibri" w:hAnsi="Calibri" w:eastAsia="Calibri" w:cs="Calibri"/>
          <w:color w:val="000000"/>
          <w:sz w:val="22"/>
          <w:szCs w:val="22"/>
        </w:rPr>
        <w:t xml:space="preserve">Stephens AEA, Kriticos DJ &amp; Leriche A (2007) The current and future potential geographical distribution of the oriental fruit fly, </w:t>
      </w:r>
      <w:r>
        <w:rPr>
          <w:rFonts w:ascii="Calibri" w:hAnsi="Calibri" w:eastAsia="Calibri" w:cs="Calibri"/>
          <w:i/>
          <w:iCs/>
          <w:color w:val="000000"/>
          <w:sz w:val="22"/>
          <w:szCs w:val="22"/>
        </w:rPr>
        <w:t xml:space="preserve">Bactrocera dorsalis </w:t>
      </w:r>
      <w:r>
        <w:rPr>
          <w:rFonts w:ascii="Calibri" w:hAnsi="Calibri" w:eastAsia="Calibri" w:cs="Calibri"/>
          <w:color w:val="000000"/>
          <w:sz w:val="22"/>
          <w:szCs w:val="22"/>
        </w:rPr>
        <w:t xml:space="preserve">(Diptera: Tephritidae). </w:t>
      </w:r>
      <w:r>
        <w:rPr>
          <w:rFonts w:ascii="Calibri" w:hAnsi="Calibri" w:eastAsia="Calibri" w:cs="Calibri"/>
          <w:i/>
          <w:iCs/>
          <w:color w:val="000000"/>
          <w:sz w:val="22"/>
          <w:szCs w:val="22"/>
        </w:rPr>
        <w:t xml:space="preserve">Bulletin of Entomological Research </w:t>
      </w:r>
      <w:r>
        <w:rPr>
          <w:rFonts w:ascii="Calibri" w:hAnsi="Calibri" w:eastAsia="Calibri" w:cs="Calibri"/>
          <w:b/>
          <w:bCs/>
          <w:color w:val="000000"/>
          <w:sz w:val="22"/>
          <w:szCs w:val="22"/>
        </w:rPr>
        <w:t xml:space="preserve">97</w:t>
      </w:r>
      <w:r>
        <w:rPr>
          <w:rFonts w:ascii="Calibri" w:hAnsi="Calibri" w:eastAsia="Calibri" w:cs="Calibri"/>
          <w:color w:val="000000"/>
          <w:sz w:val="22"/>
          <w:szCs w:val="22"/>
        </w:rPr>
        <w:t xml:space="preserve">, 369-378.</w:t>
      </w:r>
    </w:p>
    <w:p>
      <w:pPr>
        <w:widowControl w:val="on"/>
        <w:pBdr/>
        <w:spacing w:before="220" w:after="220" w:line="240" w:lineRule="auto"/>
        <w:ind w:left="0" w:right="0"/>
        <w:jc w:val="left"/>
      </w:pPr>
      <w:r>
        <w:rPr>
          <w:rFonts w:ascii="Calibri" w:hAnsi="Calibri" w:eastAsia="Calibri" w:cs="Calibri"/>
          <w:color w:val="000000"/>
          <w:sz w:val="22"/>
          <w:szCs w:val="22"/>
        </w:rPr>
        <w:t xml:space="preserve">Unahawutti U, Intarakumheng R, Oonthonglang P, Phankum S &amp; Follett PA (2014) Nonhost status of mangosteen to </w:t>
      </w:r>
      <w:r>
        <w:rPr>
          <w:rFonts w:ascii="Calibri" w:hAnsi="Calibri" w:eastAsia="Calibri" w:cs="Calibri"/>
          <w:i/>
          <w:iCs/>
          <w:color w:val="000000"/>
          <w:sz w:val="22"/>
          <w:szCs w:val="22"/>
        </w:rPr>
        <w:t xml:space="preserve">Bactrocera</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dorsalis</w:t>
      </w:r>
      <w:r>
        <w:rPr>
          <w:rFonts w:ascii="Calibri" w:hAnsi="Calibri" w:eastAsia="Calibri" w:cs="Calibri"/>
          <w:color w:val="000000"/>
          <w:sz w:val="22"/>
          <w:szCs w:val="22"/>
        </w:rPr>
        <w:t xml:space="preserve"> and </w:t>
      </w:r>
      <w:r>
        <w:rPr>
          <w:rFonts w:ascii="Calibri" w:hAnsi="Calibri" w:eastAsia="Calibri" w:cs="Calibri"/>
          <w:i/>
          <w:iCs/>
          <w:color w:val="000000"/>
          <w:sz w:val="22"/>
          <w:szCs w:val="22"/>
        </w:rPr>
        <w:t xml:space="preserve">Bactrocera carambolae</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Diptera: Tephritidae</w:t>
      </w:r>
      <w:r>
        <w:rPr>
          <w:rFonts w:ascii="Calibri" w:hAnsi="Calibri" w:eastAsia="Calibri" w:cs="Calibri"/>
          <w:color w:val="000000"/>
          <w:sz w:val="22"/>
          <w:szCs w:val="22"/>
        </w:rPr>
        <w:t xml:space="preserve">) in Thailand. </w:t>
      </w:r>
      <w:r>
        <w:rPr>
          <w:rFonts w:ascii="Calibri" w:hAnsi="Calibri" w:eastAsia="Calibri" w:cs="Calibri"/>
          <w:i/>
          <w:iCs/>
          <w:color w:val="000000"/>
          <w:sz w:val="22"/>
          <w:szCs w:val="22"/>
        </w:rPr>
        <w:t xml:space="preserve">Journal of Economic Entomology</w:t>
      </w:r>
      <w:r>
        <w:rPr>
          <w:rFonts w:ascii="Calibri" w:hAnsi="Calibri" w:eastAsia="Calibri" w:cs="Calibri"/>
          <w:color w:val="000000"/>
          <w:sz w:val="22"/>
          <w:szCs w:val="22"/>
        </w:rPr>
        <w:t xml:space="preserve"> </w:t>
      </w:r>
      <w:r>
        <w:rPr>
          <w:rFonts w:ascii="Calibri" w:hAnsi="Calibri" w:eastAsia="Calibri" w:cs="Calibri"/>
          <w:b/>
          <w:bCs/>
          <w:color w:val="000000"/>
          <w:sz w:val="22"/>
          <w:szCs w:val="22"/>
        </w:rPr>
        <w:t xml:space="preserve">107</w:t>
      </w:r>
      <w:r>
        <w:rPr>
          <w:rFonts w:ascii="Calibri" w:hAnsi="Calibri" w:eastAsia="Calibri" w:cs="Calibri"/>
          <w:color w:val="000000"/>
          <w:sz w:val="22"/>
          <w:szCs w:val="22"/>
        </w:rPr>
        <w:t xml:space="preserve">, 1355-1361.</w:t>
      </w:r>
    </w:p>
    <w:p>
      <w:pPr>
        <w:widowControl w:val="on"/>
        <w:pBdr/>
        <w:spacing w:before="220" w:after="220" w:line="240" w:lineRule="auto"/>
        <w:ind w:left="0" w:right="0"/>
        <w:jc w:val="left"/>
      </w:pPr>
      <w:r>
        <w:rPr>
          <w:rFonts w:ascii="Calibri" w:hAnsi="Calibri" w:eastAsia="Calibri" w:cs="Calibri"/>
          <w:color w:val="000000"/>
          <w:sz w:val="22"/>
          <w:szCs w:val="22"/>
        </w:rPr>
        <w:t xml:space="preserve">USDA (2021) United States Department of Agriculture Treatment Manual. </w:t>
      </w:r>
      <w:hyperlink r:id="rId674767eea4de1b9dc" w:history="1">
        <w:r>
          <w:rPr>
            <w:rFonts w:ascii="Calibri" w:hAnsi="Calibri" w:eastAsia="Calibri" w:cs="Calibri"/>
            <w:color w:val="0000CC"/>
            <w:sz w:val="22"/>
            <w:szCs w:val="22"/>
            <w:u w:val="single"/>
          </w:rPr>
          <w:t xml:space="preserve">https://www.aphis.usda.gov/import_export/plants/manuals/ports/downloads/treatment.pdf</w:t>
        </w:r>
      </w:hyperlink>
      <w:r>
        <w:rPr>
          <w:rFonts w:ascii="Calibri" w:hAnsi="Calibri" w:eastAsia="Calibri" w:cs="Calibri"/>
          <w:color w:val="000000"/>
          <w:sz w:val="22"/>
          <w:szCs w:val="22"/>
        </w:rPr>
        <w:t xml:space="preserve"> [accessed on 2021-04-23]</w:t>
      </w:r>
    </w:p>
    <w:p>
      <w:pPr>
        <w:widowControl w:val="on"/>
        <w:pBdr/>
        <w:spacing w:before="220" w:after="220" w:line="240" w:lineRule="auto"/>
        <w:ind w:left="0" w:right="0"/>
        <w:jc w:val="left"/>
      </w:pPr>
      <w:r>
        <w:rPr>
          <w:rFonts w:ascii="Calibri" w:hAnsi="Calibri" w:eastAsia="Calibri" w:cs="Calibri"/>
          <w:color w:val="000000"/>
          <w:sz w:val="22"/>
          <w:szCs w:val="22"/>
        </w:rPr>
        <w:t xml:space="preserve">Vargas RI, Miyashita D &amp; Nishida T (1984) Life-history and demographic parameters of three laboratory-reared Tephritids (Diptera: Tephritidae). </w:t>
      </w:r>
      <w:r>
        <w:rPr>
          <w:rFonts w:ascii="Calibri" w:hAnsi="Calibri" w:eastAsia="Calibri" w:cs="Calibri"/>
          <w:i/>
          <w:iCs/>
          <w:color w:val="000000"/>
          <w:sz w:val="22"/>
          <w:szCs w:val="22"/>
        </w:rPr>
        <w:t xml:space="preserve">Annals of the Entomological Society of America</w:t>
      </w:r>
      <w:r>
        <w:rPr>
          <w:rFonts w:ascii="Calibri" w:hAnsi="Calibri" w:eastAsia="Calibri" w:cs="Calibri"/>
          <w:color w:val="000000"/>
          <w:sz w:val="22"/>
          <w:szCs w:val="22"/>
        </w:rPr>
        <w:t xml:space="preserve"> </w:t>
      </w:r>
      <w:r>
        <w:rPr>
          <w:rFonts w:ascii="Calibri" w:hAnsi="Calibri" w:eastAsia="Calibri" w:cs="Calibri"/>
          <w:b/>
          <w:bCs/>
          <w:color w:val="000000"/>
          <w:sz w:val="22"/>
          <w:szCs w:val="22"/>
        </w:rPr>
        <w:t xml:space="preserve">77</w:t>
      </w:r>
      <w:r>
        <w:rPr>
          <w:rFonts w:ascii="Calibri" w:hAnsi="Calibri" w:eastAsia="Calibri" w:cs="Calibri"/>
          <w:color w:val="000000"/>
          <w:sz w:val="22"/>
          <w:szCs w:val="22"/>
        </w:rPr>
        <w:t xml:space="preserve">, 651-656.</w:t>
      </w:r>
    </w:p>
    <w:p>
      <w:pPr>
        <w:widowControl w:val="on"/>
        <w:pBdr/>
        <w:spacing w:before="220" w:after="220" w:line="240" w:lineRule="auto"/>
        <w:ind w:left="0" w:right="0"/>
        <w:jc w:val="left"/>
      </w:pPr>
      <w:r>
        <w:rPr>
          <w:rFonts w:ascii="Calibri" w:hAnsi="Calibri" w:eastAsia="Calibri" w:cs="Calibri"/>
          <w:color w:val="000000"/>
          <w:sz w:val="22"/>
          <w:szCs w:val="22"/>
        </w:rPr>
        <w:t xml:space="preserve">Vargas RI, Walsh WA, Kanehisa D, Stark JD &amp; Nishida T (2000) Comparative demography of three Hawaiian fruit flies (Diptera: Tephritidae) at alternating temperatures. </w:t>
      </w:r>
      <w:r>
        <w:rPr>
          <w:rFonts w:ascii="Calibri" w:hAnsi="Calibri" w:eastAsia="Calibri" w:cs="Calibri"/>
          <w:i/>
          <w:iCs/>
          <w:color w:val="000000"/>
          <w:sz w:val="22"/>
          <w:szCs w:val="22"/>
        </w:rPr>
        <w:t xml:space="preserve">Annals of the Entomological Society of America</w:t>
      </w:r>
      <w:r>
        <w:rPr>
          <w:rFonts w:ascii="Calibri" w:hAnsi="Calibri" w:eastAsia="Calibri" w:cs="Calibri"/>
          <w:color w:val="000000"/>
          <w:sz w:val="22"/>
          <w:szCs w:val="22"/>
        </w:rPr>
        <w:t xml:space="preserve"> </w:t>
      </w:r>
      <w:r>
        <w:rPr>
          <w:rFonts w:ascii="Calibri" w:hAnsi="Calibri" w:eastAsia="Calibri" w:cs="Calibri"/>
          <w:b/>
          <w:bCs/>
          <w:color w:val="000000"/>
          <w:sz w:val="22"/>
          <w:szCs w:val="22"/>
        </w:rPr>
        <w:t xml:space="preserve">93</w:t>
      </w:r>
      <w:r>
        <w:rPr>
          <w:rFonts w:ascii="Calibri" w:hAnsi="Calibri" w:eastAsia="Calibri" w:cs="Calibri"/>
          <w:color w:val="000000"/>
          <w:sz w:val="22"/>
          <w:szCs w:val="22"/>
        </w:rPr>
        <w:t xml:space="preserve">, 75-81.</w:t>
      </w:r>
    </w:p>
    <w:p>
      <w:pPr>
        <w:widowControl w:val="on"/>
        <w:pBdr/>
        <w:spacing w:before="220" w:after="220" w:line="240" w:lineRule="auto"/>
        <w:ind w:left="0" w:right="0"/>
        <w:jc w:val="left"/>
      </w:pPr>
      <w:r>
        <w:rPr>
          <w:rFonts w:ascii="Calibri" w:hAnsi="Calibri" w:eastAsia="Calibri" w:cs="Calibri"/>
          <w:color w:val="000000"/>
          <w:sz w:val="22"/>
          <w:szCs w:val="22"/>
        </w:rPr>
        <w:t xml:space="preserve">Vargas RI, Leblanc L, Putoa R &amp; Eitam A (2007) Impact of introduction of </w:t>
      </w:r>
      <w:r>
        <w:rPr>
          <w:rFonts w:ascii="Calibri" w:hAnsi="Calibri" w:eastAsia="Calibri" w:cs="Calibri"/>
          <w:i/>
          <w:iCs/>
          <w:color w:val="000000"/>
          <w:sz w:val="22"/>
          <w:szCs w:val="22"/>
        </w:rPr>
        <w:t xml:space="preserve">Bactrocera dorsalis </w:t>
      </w:r>
      <w:r>
        <w:rPr>
          <w:rFonts w:ascii="Calibri" w:hAnsi="Calibri" w:eastAsia="Calibri" w:cs="Calibri"/>
          <w:color w:val="000000"/>
          <w:sz w:val="22"/>
          <w:szCs w:val="22"/>
        </w:rPr>
        <w:t xml:space="preserve">(Diptera: Tephritidae) and classical biological control releases of </w:t>
      </w:r>
      <w:r>
        <w:rPr>
          <w:rFonts w:ascii="Calibri" w:hAnsi="Calibri" w:eastAsia="Calibri" w:cs="Calibri"/>
          <w:i/>
          <w:iCs/>
          <w:color w:val="000000"/>
          <w:sz w:val="22"/>
          <w:szCs w:val="22"/>
        </w:rPr>
        <w:t xml:space="preserve">Fopius arisanus </w:t>
      </w:r>
      <w:r>
        <w:rPr>
          <w:rFonts w:ascii="Calibri" w:hAnsi="Calibri" w:eastAsia="Calibri" w:cs="Calibri"/>
          <w:color w:val="000000"/>
          <w:sz w:val="22"/>
          <w:szCs w:val="22"/>
        </w:rPr>
        <w:t xml:space="preserve">(Hymenoptera: Braconidae) on economically important fruit flies in French Polynesia. </w:t>
      </w:r>
      <w:r>
        <w:rPr>
          <w:rFonts w:ascii="Calibri" w:hAnsi="Calibri" w:eastAsia="Calibri" w:cs="Calibri"/>
          <w:i/>
          <w:iCs/>
          <w:color w:val="000000"/>
          <w:sz w:val="22"/>
          <w:szCs w:val="22"/>
        </w:rPr>
        <w:t xml:space="preserve">Journal of Economic Entomology</w:t>
      </w:r>
      <w:r>
        <w:rPr>
          <w:rFonts w:ascii="Calibri" w:hAnsi="Calibri" w:eastAsia="Calibri" w:cs="Calibri"/>
          <w:color w:val="000000"/>
          <w:sz w:val="22"/>
          <w:szCs w:val="22"/>
        </w:rPr>
        <w:t xml:space="preserve"> </w:t>
      </w:r>
      <w:r>
        <w:rPr>
          <w:rFonts w:ascii="Calibri" w:hAnsi="Calibri" w:eastAsia="Calibri" w:cs="Calibri"/>
          <w:b/>
          <w:bCs/>
          <w:color w:val="000000"/>
          <w:sz w:val="22"/>
          <w:szCs w:val="22"/>
        </w:rPr>
        <w:t xml:space="preserve">100</w:t>
      </w:r>
      <w:r>
        <w:rPr>
          <w:rFonts w:ascii="Calibri" w:hAnsi="Calibri" w:eastAsia="Calibri" w:cs="Calibri"/>
          <w:color w:val="000000"/>
          <w:sz w:val="22"/>
          <w:szCs w:val="22"/>
        </w:rPr>
        <w:t xml:space="preserve">, 670-679.</w:t>
      </w:r>
    </w:p>
    <w:p>
      <w:pPr>
        <w:widowControl w:val="on"/>
        <w:pBdr/>
        <w:spacing w:before="220" w:after="220" w:line="240" w:lineRule="auto"/>
        <w:ind w:left="0" w:right="0"/>
        <w:jc w:val="left"/>
      </w:pPr>
      <w:r>
        <w:rPr>
          <w:rFonts w:ascii="Calibri" w:hAnsi="Calibri" w:eastAsia="Calibri" w:cs="Calibri"/>
          <w:color w:val="000000"/>
          <w:sz w:val="22"/>
          <w:szCs w:val="22"/>
        </w:rPr>
        <w:t xml:space="preserve">Vargas RI, Leblanc L, Pinero JC &amp; Hoffman KM (2014) Male annihilation, past, present, and future. In </w:t>
      </w:r>
      <w:r>
        <w:rPr>
          <w:rFonts w:ascii="Calibri" w:hAnsi="Calibri" w:eastAsia="Calibri" w:cs="Calibri"/>
          <w:i/>
          <w:iCs/>
          <w:color w:val="000000"/>
          <w:sz w:val="22"/>
          <w:szCs w:val="22"/>
        </w:rPr>
        <w:t xml:space="preserve">Trapping and the detection, control, and regulation of tephritid fruit flies</w:t>
      </w:r>
      <w:r>
        <w:rPr>
          <w:rFonts w:ascii="Calibri" w:hAnsi="Calibri" w:eastAsia="Calibri" w:cs="Calibri"/>
          <w:color w:val="000000"/>
          <w:sz w:val="22"/>
          <w:szCs w:val="22"/>
        </w:rPr>
        <w:t xml:space="preserve">. (Eds Shelly TE, Epsky N, Jang EB, Reyes-Flores J &amp; Vargas R), pp 493-511.Springer Verlag, Dordrecht (the Netherlands)</w:t>
      </w:r>
    </w:p>
    <w:p>
      <w:pPr>
        <w:widowControl w:val="on"/>
        <w:pBdr/>
        <w:spacing w:before="220" w:after="220" w:line="240" w:lineRule="auto"/>
        <w:ind w:left="0" w:right="0"/>
        <w:jc w:val="left"/>
      </w:pPr>
      <w:r>
        <w:rPr>
          <w:rFonts w:ascii="Calibri" w:hAnsi="Calibri" w:eastAsia="Calibri" w:cs="Calibri"/>
          <w:color w:val="000000"/>
          <w:sz w:val="22"/>
          <w:szCs w:val="22"/>
        </w:rPr>
        <w:t xml:space="preserve">Vargas RI, Pinero JC &amp; Leblanc L (2015) An overview of pest species of </w:t>
      </w:r>
      <w:r>
        <w:rPr>
          <w:rFonts w:ascii="Calibri" w:hAnsi="Calibri" w:eastAsia="Calibri" w:cs="Calibri"/>
          <w:i/>
          <w:iCs/>
          <w:color w:val="000000"/>
          <w:sz w:val="22"/>
          <w:szCs w:val="22"/>
        </w:rPr>
        <w:t xml:space="preserve">Bactrocera </w:t>
      </w:r>
      <w:r>
        <w:rPr>
          <w:rFonts w:ascii="Calibri" w:hAnsi="Calibri" w:eastAsia="Calibri" w:cs="Calibri"/>
          <w:color w:val="000000"/>
          <w:sz w:val="22"/>
          <w:szCs w:val="22"/>
        </w:rPr>
        <w:t xml:space="preserve">fruit flies (Diptera: Tephritidae) and the integration of biopesticides with other biological approaches for their management with a focus on the Pacific region. </w:t>
      </w:r>
      <w:r>
        <w:rPr>
          <w:rFonts w:ascii="Calibri" w:hAnsi="Calibri" w:eastAsia="Calibri" w:cs="Calibri"/>
          <w:i/>
          <w:iCs/>
          <w:color w:val="000000"/>
          <w:sz w:val="22"/>
          <w:szCs w:val="22"/>
        </w:rPr>
        <w:t xml:space="preserve">Insects</w:t>
      </w:r>
      <w:r>
        <w:rPr>
          <w:rFonts w:ascii="Calibri" w:hAnsi="Calibri" w:eastAsia="Calibri" w:cs="Calibri"/>
          <w:color w:val="000000"/>
          <w:sz w:val="22"/>
          <w:szCs w:val="22"/>
        </w:rPr>
        <w:t xml:space="preserve"> </w:t>
      </w:r>
      <w:r>
        <w:rPr>
          <w:rFonts w:ascii="Calibri" w:hAnsi="Calibri" w:eastAsia="Calibri" w:cs="Calibri"/>
          <w:b/>
          <w:bCs/>
          <w:color w:val="000000"/>
          <w:sz w:val="22"/>
          <w:szCs w:val="22"/>
        </w:rPr>
        <w:t xml:space="preserve">6</w:t>
      </w:r>
      <w:r>
        <w:rPr>
          <w:rFonts w:ascii="Calibri" w:hAnsi="Calibri" w:eastAsia="Calibri" w:cs="Calibri"/>
          <w:color w:val="000000"/>
          <w:sz w:val="22"/>
          <w:szCs w:val="22"/>
        </w:rPr>
        <w:t xml:space="preserve">, 297-318.</w:t>
      </w:r>
    </w:p>
    <w:p>
      <w:pPr>
        <w:widowControl w:val="on"/>
        <w:pBdr/>
        <w:spacing w:before="220" w:after="220" w:line="240" w:lineRule="auto"/>
        <w:ind w:left="0" w:right="0"/>
        <w:jc w:val="left"/>
      </w:pPr>
      <w:r>
        <w:rPr>
          <w:rFonts w:ascii="Calibri" w:hAnsi="Calibri" w:eastAsia="Calibri" w:cs="Calibri"/>
          <w:color w:val="000000"/>
          <w:sz w:val="22"/>
          <w:szCs w:val="22"/>
        </w:rPr>
        <w:t xml:space="preserve">Vayssieres JF, Korie S &amp; Ayegnon D (2009) Correlation of fruit fly (Diptera: Tephritidae) infestation of major mango cultivars in Borgou (Benin) with abiotic and biotic factors and assessment of damage. </w:t>
      </w:r>
      <w:r>
        <w:rPr>
          <w:rFonts w:ascii="Calibri" w:hAnsi="Calibri" w:eastAsia="Calibri" w:cs="Calibri"/>
          <w:i/>
          <w:iCs/>
          <w:color w:val="000000"/>
          <w:sz w:val="22"/>
          <w:szCs w:val="22"/>
        </w:rPr>
        <w:t xml:space="preserve">Crop Protection</w:t>
      </w:r>
      <w:r>
        <w:rPr>
          <w:rFonts w:ascii="Calibri" w:hAnsi="Calibri" w:eastAsia="Calibri" w:cs="Calibri"/>
          <w:color w:val="000000"/>
          <w:sz w:val="22"/>
          <w:szCs w:val="22"/>
        </w:rPr>
        <w:t xml:space="preserve"> </w:t>
      </w:r>
      <w:r>
        <w:rPr>
          <w:rFonts w:ascii="Calibri" w:hAnsi="Calibri" w:eastAsia="Calibri" w:cs="Calibri"/>
          <w:b/>
          <w:bCs/>
          <w:color w:val="000000"/>
          <w:sz w:val="22"/>
          <w:szCs w:val="22"/>
        </w:rPr>
        <w:t xml:space="preserve">28</w:t>
      </w:r>
      <w:r>
        <w:rPr>
          <w:rFonts w:ascii="Calibri" w:hAnsi="Calibri" w:eastAsia="Calibri" w:cs="Calibri"/>
          <w:color w:val="000000"/>
          <w:sz w:val="22"/>
          <w:szCs w:val="22"/>
        </w:rPr>
        <w:t xml:space="preserve">, 477-488. </w:t>
      </w:r>
    </w:p>
    <w:p>
      <w:pPr>
        <w:widowControl w:val="on"/>
        <w:pBdr/>
        <w:spacing w:before="220" w:after="220" w:line="240" w:lineRule="auto"/>
        <w:ind w:left="0" w:right="0"/>
        <w:jc w:val="left"/>
      </w:pPr>
      <w:r>
        <w:rPr>
          <w:rFonts w:ascii="Calibri" w:hAnsi="Calibri" w:eastAsia="Calibri" w:cs="Calibri"/>
          <w:color w:val="000000"/>
          <w:sz w:val="22"/>
          <w:szCs w:val="22"/>
        </w:rPr>
        <w:t xml:space="preserve">White IM &amp; Elson-Harris MM (1992) </w:t>
      </w:r>
      <w:r>
        <w:rPr>
          <w:rFonts w:ascii="Calibri" w:hAnsi="Calibri" w:eastAsia="Calibri" w:cs="Calibri"/>
          <w:i/>
          <w:iCs/>
          <w:color w:val="000000"/>
          <w:sz w:val="22"/>
          <w:szCs w:val="22"/>
        </w:rPr>
        <w:t xml:space="preserve">Fruit flies of economic significance: their identification and bionomics</w:t>
      </w:r>
      <w:r>
        <w:rPr>
          <w:rFonts w:ascii="Calibri" w:hAnsi="Calibri" w:eastAsia="Calibri" w:cs="Calibri"/>
          <w:color w:val="000000"/>
          <w:sz w:val="22"/>
          <w:szCs w:val="22"/>
        </w:rPr>
        <w:t xml:space="preserve">. CAB International, Wallingford (UK), xii+601 pp</w:t>
      </w:r>
    </w:p>
    <w:p>
      <w:pPr>
        <w:widowControl w:val="on"/>
        <w:pBdr/>
        <w:spacing w:before="220" w:after="220" w:line="240" w:lineRule="auto"/>
        <w:ind w:left="0" w:right="0"/>
        <w:jc w:val="left"/>
      </w:pPr>
      <w:r>
        <w:rPr>
          <w:rFonts w:ascii="Calibri" w:hAnsi="Calibri" w:eastAsia="Calibri" w:cs="Calibri"/>
          <w:b/>
          <w:bCs/>
          <w:color w:val="000000"/>
          <w:sz w:val="22"/>
          <w:szCs w:val="22"/>
        </w:rPr>
        <w:t xml:space="preserve">CABI resources used when preparing this datasheet</w:t>
      </w:r>
    </w:p>
    <w:p>
      <w:pPr>
        <w:widowControl w:val="on"/>
        <w:pBdr/>
        <w:spacing w:before="220" w:after="220" w:line="240" w:lineRule="auto"/>
        <w:ind w:left="0" w:right="0"/>
        <w:jc w:val="left"/>
      </w:pPr>
      <w:r>
        <w:rPr>
          <w:rFonts w:ascii="Calibri" w:hAnsi="Calibri" w:eastAsia="Calibri" w:cs="Calibri"/>
          <w:color w:val="000000"/>
          <w:sz w:val="22"/>
          <w:szCs w:val="22"/>
        </w:rPr>
        <w:t xml:space="preserve">CABI Datasheet on Pest </w:t>
      </w:r>
      <w:hyperlink r:id="rId397667eea4de1bcf1" w:history="1">
        <w:r>
          <w:rPr>
            <w:rFonts w:ascii="Calibri" w:hAnsi="Calibri" w:eastAsia="Calibri" w:cs="Calibri"/>
            <w:color w:val="0000CC"/>
            <w:sz w:val="22"/>
            <w:szCs w:val="22"/>
            <w:u w:val="single"/>
          </w:rPr>
          <w:t xml:space="preserve">http://www.cabi.org/isc/datasheet/17685</w:t>
        </w:r>
      </w:hyperlink>
    </w:p>
    <w:p>
      <w:pPr>
        <w:widowControl w:val="on"/>
        <w:pBdr/>
        <w:spacing w:before="300" w:after="150" w:line="240" w:lineRule="auto"/>
        <w:ind w:left="0" w:right="0"/>
        <w:jc w:val="left"/>
        <w:outlineLvl w:val="2"/>
      </w:pPr>
      <w:r>
        <w:rPr>
          <w:rFonts w:ascii="Calibri" w:hAnsi="Calibri" w:eastAsia="Calibri" w:cs="Calibri"/>
          <w:b/>
          <w:bCs/>
          <w:color w:val="000000"/>
          <w:sz w:val="22"/>
          <w:szCs w:val="22"/>
        </w:rPr>
        <w:t xml:space="preserve">ACKNOWLEDGEMENTS</w:t>
      </w:r>
    </w:p>
    <w:p>
      <w:pPr>
        <w:widowControl w:val="on"/>
        <w:pBdr/>
        <w:spacing w:before="220" w:after="220" w:line="240" w:lineRule="auto"/>
        <w:ind w:left="0" w:right="0"/>
        <w:jc w:val="left"/>
      </w:pPr>
      <w:r>
        <w:rPr>
          <w:rFonts w:ascii="Calibri" w:hAnsi="Calibri" w:eastAsia="Calibri" w:cs="Calibri"/>
          <w:color w:val="000000"/>
          <w:sz w:val="22"/>
          <w:szCs w:val="22"/>
        </w:rPr>
        <w:t xml:space="preserve">This datasheet was extensively revised in 2021 by Dr M. De Meyer. His valuable contribution is gratefully acknowledged.</w:t>
      </w:r>
    </w:p>
    <w:p>
      <w:pPr>
        <w:widowControl w:val="on"/>
        <w:pBdr/>
        <w:spacing w:before="300" w:after="150" w:line="240" w:lineRule="auto"/>
        <w:ind w:left="0" w:right="0"/>
        <w:jc w:val="left"/>
        <w:outlineLvl w:val="2"/>
      </w:pPr>
      <w:r>
        <w:rPr>
          <w:rFonts w:ascii="Calibri" w:hAnsi="Calibri" w:eastAsia="Calibri" w:cs="Calibri"/>
          <w:b/>
          <w:bCs/>
          <w:color w:val="000000"/>
          <w:sz w:val="22"/>
          <w:szCs w:val="22"/>
        </w:rPr>
        <w:t xml:space="preserve">How to cite this datasheet?</w:t>
      </w:r>
    </w:p>
    <w:p>
      <w:pPr>
        <w:widowControl w:val="on"/>
        <w:pBdr/>
        <w:spacing w:before="220" w:after="220" w:line="240" w:lineRule="auto"/>
        <w:ind w:left="0" w:right="0"/>
        <w:jc w:val="left"/>
      </w:pPr>
      <w:r>
        <w:rPr>
          <w:rFonts w:ascii="Calibri" w:hAnsi="Calibri" w:eastAsia="Calibri" w:cs="Calibri"/>
          <w:color w:val="000000"/>
          <w:sz w:val="22"/>
          <w:szCs w:val="22"/>
        </w:rPr>
        <w:t xml:space="preserve">EPPO (2025) </w:t>
      </w:r>
      <w:r>
        <w:rPr>
          <w:rFonts w:ascii="Calibri" w:hAnsi="Calibri" w:eastAsia="Calibri" w:cs="Calibri"/>
          <w:i/>
          <w:iCs/>
          <w:color w:val="000000"/>
          <w:sz w:val="22"/>
          <w:szCs w:val="22"/>
        </w:rPr>
        <w:t xml:space="preserve">Bactrocera dorsalis</w:t>
      </w:r>
      <w:r>
        <w:rPr>
          <w:rFonts w:ascii="Calibri" w:hAnsi="Calibri" w:eastAsia="Calibri" w:cs="Calibri"/>
          <w:color w:val="000000"/>
          <w:sz w:val="22"/>
          <w:szCs w:val="22"/>
        </w:rPr>
        <w:t xml:space="preserve">. EPPO datasheets on pests recommended for regulation. Available online. </w:t>
      </w:r>
      <w:hyperlink r:id="rId931567eea4de1bdaa" w:history="1">
        <w:r>
          <w:rPr>
            <w:rFonts w:ascii="Calibri" w:hAnsi="Calibri" w:eastAsia="Calibri" w:cs="Calibri"/>
            <w:color w:val="0000CC"/>
            <w:sz w:val="22"/>
            <w:szCs w:val="22"/>
            <w:u w:val="single"/>
          </w:rPr>
          <w:t xml:space="preserve">https://gd.eppo.int</w:t>
        </w:r>
      </w:hyperlink>
    </w:p>
    <w:p>
      <w:pPr>
        <w:widowControl w:val="on"/>
        <w:pBdr/>
        <w:spacing w:before="300" w:after="150" w:line="240" w:lineRule="auto"/>
        <w:ind w:left="0" w:right="0"/>
        <w:jc w:val="left"/>
        <w:outlineLvl w:val="2"/>
      </w:pPr>
      <w:r>
        <w:rPr>
          <w:rFonts w:ascii="Calibri" w:hAnsi="Calibri" w:eastAsia="Calibri" w:cs="Calibri"/>
          <w:b/>
          <w:bCs/>
          <w:color w:val="000000"/>
          <w:sz w:val="22"/>
          <w:szCs w:val="22"/>
        </w:rPr>
        <w:t xml:space="preserve">Datasheet history</w:t>
      </w:r>
    </w:p>
    <w:p>
      <w:pPr>
        <w:widowControl w:val="on"/>
        <w:pBdr/>
        <w:spacing w:before="220" w:after="220" w:line="240" w:lineRule="auto"/>
        <w:ind w:left="0" w:right="0"/>
        <w:jc w:val="both"/>
      </w:pPr>
      <w:r>
        <w:rPr>
          <w:rFonts w:ascii="Calibri" w:hAnsi="Calibri" w:eastAsia="Calibri" w:cs="Calibri"/>
          <w:color w:val="000000"/>
          <w:sz w:val="22"/>
          <w:szCs w:val="22"/>
        </w:rPr>
        <w:t xml:space="preserve">This datasheet was first published in the EPPO Bulletin in 1983 and revised in the two editions of 'Quarantine Pests for Europe' in 1992 and 1997, as well as in 2021. It is now maintained in an electronic format in the EPPO Global Database. The sections on 'Identity', ‘Hosts’, and 'Geographical distribution' are automatically updated from the database. For other sections, the date of last revision is indicated on the right.</w:t>
      </w:r>
    </w:p>
    <w:p>
      <w:pPr>
        <w:widowControl w:val="on"/>
        <w:pBdr/>
        <w:spacing w:before="220" w:after="220" w:line="240" w:lineRule="auto"/>
        <w:ind w:left="0" w:right="0"/>
        <w:jc w:val="left"/>
      </w:pPr>
      <w:r>
        <w:rPr>
          <w:rFonts w:ascii="Calibri" w:hAnsi="Calibri" w:eastAsia="Calibri" w:cs="Calibri"/>
          <w:color w:val="000000"/>
          <w:sz w:val="22"/>
          <w:szCs w:val="22"/>
        </w:rPr>
        <w:t xml:space="preserve">CABI/EPPO (1992/1997) </w:t>
      </w:r>
      <w:r>
        <w:rPr>
          <w:rFonts w:ascii="Calibri" w:hAnsi="Calibri" w:eastAsia="Calibri" w:cs="Calibri"/>
          <w:i/>
          <w:iCs/>
          <w:color w:val="000000"/>
          <w:sz w:val="22"/>
          <w:szCs w:val="22"/>
        </w:rPr>
        <w:t xml:space="preserve">Quarantine Pests for Europe</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(1</w:t>
      </w:r>
      <w:r>
        <w:rPr>
          <w:rFonts w:ascii="Calibri" w:hAnsi="Calibri" w:eastAsia="Calibri" w:cs="Calibri"/>
          <w:i/>
          <w:iCs/>
          <w:color w:val="000000"/>
          <w:position w:val="4"/>
          <w:sz w:val="22"/>
          <w:szCs w:val="22"/>
          <w:vertAlign w:val="superscript"/>
        </w:rPr>
        <w:t xml:space="preserve">st</w:t>
      </w:r>
      <w:r>
        <w:rPr>
          <w:rFonts w:ascii="Calibri" w:hAnsi="Calibri" w:eastAsia="Calibri" w:cs="Calibri"/>
          <w:i/>
          <w:iCs/>
          <w:color w:val="000000"/>
          <w:sz w:val="22"/>
          <w:szCs w:val="22"/>
        </w:rPr>
        <w:t xml:space="preserve"> and 2</w:t>
      </w:r>
      <w:r>
        <w:rPr>
          <w:rFonts w:ascii="Calibri" w:hAnsi="Calibri" w:eastAsia="Calibri" w:cs="Calibri"/>
          <w:i/>
          <w:iCs/>
          <w:color w:val="000000"/>
          <w:position w:val="4"/>
          <w:sz w:val="22"/>
          <w:szCs w:val="22"/>
          <w:vertAlign w:val="superscript"/>
        </w:rPr>
        <w:t xml:space="preserve">nd</w:t>
      </w:r>
      <w:r>
        <w:rPr>
          <w:rFonts w:ascii="Calibri" w:hAnsi="Calibri" w:eastAsia="Calibri" w:cs="Calibri"/>
          <w:i/>
          <w:iCs/>
          <w:color w:val="000000"/>
          <w:sz w:val="22"/>
          <w:szCs w:val="22"/>
        </w:rPr>
        <w:t xml:space="preserve"> edition).</w:t>
      </w:r>
      <w:r>
        <w:rPr>
          <w:rFonts w:ascii="Calibri" w:hAnsi="Calibri" w:eastAsia="Calibri" w:cs="Calibri"/>
          <w:color w:val="000000"/>
          <w:sz w:val="22"/>
          <w:szCs w:val="22"/>
        </w:rPr>
        <w:t xml:space="preserve"> CABI, Wallingford (GB).</w:t>
      </w:r>
    </w:p>
    <w:p>
      <w:pPr>
        <w:widowControl w:val="on"/>
        <w:pBdr/>
        <w:spacing w:before="220" w:after="220" w:line="240" w:lineRule="auto"/>
        <w:ind w:left="0" w:right="0"/>
        <w:jc w:val="left"/>
      </w:pPr>
      <w:r>
        <w:rPr>
          <w:rFonts w:ascii="Calibri" w:hAnsi="Calibri" w:eastAsia="Calibri" w:cs="Calibri"/>
          <w:color w:val="000000"/>
          <w:sz w:val="22"/>
          <w:szCs w:val="22"/>
        </w:rPr>
        <w:t xml:space="preserve">EPPO (1983) Data sheets on quarantine organisms No. 41, Trypetidae (non-European). </w:t>
      </w:r>
      <w:r>
        <w:rPr>
          <w:rFonts w:ascii="Calibri" w:hAnsi="Calibri" w:eastAsia="Calibri" w:cs="Calibri"/>
          <w:i/>
          <w:iCs/>
          <w:color w:val="000000"/>
          <w:sz w:val="22"/>
          <w:szCs w:val="22"/>
        </w:rPr>
        <w:t xml:space="preserve">EPPO Bulletin</w:t>
      </w:r>
      <w:r>
        <w:rPr>
          <w:rFonts w:ascii="Calibri" w:hAnsi="Calibri" w:eastAsia="Calibri" w:cs="Calibri"/>
          <w:color w:val="000000"/>
          <w:sz w:val="22"/>
          <w:szCs w:val="22"/>
        </w:rPr>
        <w:t xml:space="preserve"> </w:t>
      </w:r>
      <w:r>
        <w:rPr>
          <w:rFonts w:ascii="Calibri" w:hAnsi="Calibri" w:eastAsia="Calibri" w:cs="Calibri"/>
          <w:b/>
          <w:bCs/>
          <w:color w:val="000000"/>
          <w:sz w:val="22"/>
          <w:szCs w:val="22"/>
        </w:rPr>
        <w:t xml:space="preserve">13</w:t>
      </w:r>
      <w:r>
        <w:rPr>
          <w:rFonts w:ascii="Calibri" w:hAnsi="Calibri" w:eastAsia="Calibri" w:cs="Calibri"/>
          <w:color w:val="000000"/>
          <w:sz w:val="22"/>
          <w:szCs w:val="22"/>
        </w:rPr>
        <w:t xml:space="preserve">(1).  </w:t>
      </w:r>
      <w:hyperlink r:id="rId702567eea4de1bf26" w:history="1">
        <w:r>
          <w:rPr>
            <w:rFonts w:ascii="Calibri" w:hAnsi="Calibri" w:eastAsia="Calibri" w:cs="Calibri"/>
            <w:color w:val="0000CC"/>
            <w:sz w:val="22"/>
            <w:szCs w:val="22"/>
            <w:u w:val="single"/>
          </w:rPr>
          <w:t xml:space="preserve">https://doi.org/10.1111/j.1365-2338.1983.tb01715.x</w:t>
        </w:r>
      </w:hyperlink>
      <w:r>
        <w:rPr>
          <w:rFonts w:ascii="Calibri" w:hAnsi="Calibri" w:eastAsia="Calibri" w:cs="Calibri"/>
          <w:color w:val="000000"/>
          <w:sz w:val="22"/>
          <w:szCs w:val="22"/>
        </w:rPr>
        <w:t xml:space="preserve"> </w:t>
      </w:r>
    </w:p>
    <w:p>
      <w:r>
        <w:drawing>
          <wp:inline distT="0" distB="0" distL="0" distR="0">
            <wp:extent cx="1800000" cy="604800"/>
            <wp:docPr id="73890188" name="name660467eea4de1bfc9" descr="eu_funding_250.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eu_funding_250.png"/>
                    <pic:cNvPicPr/>
                  </pic:nvPicPr>
                  <pic:blipFill>
                    <a:blip r:embed="rId143167eea4de1bfc7" cstate="print"/>
                    <a:stretch>
                      <a:fillRect/>
                    </a:stretch>
                  </pic:blipFill>
                  <pic:spPr>
                    <a:xfrm>
                      <a:off x="0" y="0"/>
                      <a:ext cx="1800000" cy="604800"/>
                    </a:xfrm>
                    <a:prstGeom prst="rect">
                      <a:avLst/>
                    </a:prstGeom>
                    <a:ln w="0">
                      <a:noFill/>
                    </a:ln>
                  </pic:spPr>
                </pic:pic>
              </a:graphicData>
            </a:graphic>
          </wp:inline>
        </w:drawing>
      </w:r>
    </w:p>
    <w:sectPr xmlns:w="http://schemas.openxmlformats.org/wordprocessingml/2006/main" w:rsidR="00AC197E" w:rsidRPr="00DF064E" w:rsidSect="000F6147">
      <w:pgSz w:w="11906" w:h="16838" w:orient="portrait" w:code="9"/>
      <w:pgMar w:top="1100" w:right="1100" w:bottom="1100" w:left="1100" w:header="708" w:footer="708" w:gutter="0"/>
      <w:cols w:space="708" w:num="1"/>
      <w:docGrid w:linePitch="360"/>
    </w:sectPr>
  </w:body>
</w:document>
</file>

<file path=word/comments.xml><?xml version="1.0" encoding="utf-8"?>
<w:comments xmlns:m="http://schemas.openxmlformats.org/officeDocument/2006/math" xmlns:mc="http://schemas.openxmlformats.org/markup-compatibility/2006" xmlns:o="urn:schemas-microsoft-com:office:office" xmlns:r="http://schemas.openxmlformats.org/officeDocument/2006/relationships" xmlns:v="urn:schemas-microsoft-com:vml" xmlns:w="http://schemas.openxmlformats.org/wordprocessingml/2006/main" xmlns:w10="urn:schemas-microsoft-com:office:word" xmlns:w14="http://schemas.microsoft.com/office/word/2010/wordml" xmlns:w15="http://schemas.microsoft.com/office/word/2012/wordml" xmlns:wne="http://schemas.microsoft.com/office/word/2006/wordml" xmlns:wp="http://schemas.openxmlformats.org/drawingml/2006/wordprocessingDrawing" xmlns:wp14="http://schemas.microsoft.com/office/word/2010/wordprocessingDrawing" xmlns:wpc="http://schemas.microsoft.com/office/word/2010/wordprocessingCanvas" xmlns:wpg="http://schemas.microsoft.com/office/word/2010/wordprocessingGroup" xmlns:wpi="http://schemas.microsoft.com/office/word/2010/wordprocessingInk" xmlns:wps="http://schemas.microsoft.com/office/word/2010/wordprocessingShape" mc:Ignorable="w14 w15 wp14"/>
</file>

<file path=word/commentsExtended.xml><?xml version="1.0" encoding="utf-8"?>
<w15:commentsEx xmlns:m="http://schemas.openxmlformats.org/officeDocument/2006/math" xmlns:mc="http://schemas.openxmlformats.org/markup-compatibility/2006" xmlns:o="urn:schemas-microsoft-com:office:office" xmlns:r="http://schemas.openxmlformats.org/officeDocument/2006/relationships" xmlns:v="urn:schemas-microsoft-com:vml" xmlns:w="http://schemas.openxmlformats.org/wordprocessingml/2006/main" xmlns:w10="urn:schemas-microsoft-com:office:word" xmlns:w14="http://schemas.microsoft.com/office/word/2010/wordml" xmlns:w15="http://schemas.microsoft.com/office/word/2012/wordml" xmlns:wne="http://schemas.microsoft.com/office/word/2006/wordml" xmlns:wp="http://schemas.openxmlformats.org/drawingml/2006/wordprocessingDrawing" xmlns:wp14="http://schemas.microsoft.com/office/word/2010/wordprocessingDrawing" xmlns:wpc="http://schemas.microsoft.com/office/word/2010/wordprocessingCanvas" xmlns:wpg="http://schemas.microsoft.com/office/word/2010/wordprocessingGroup" xmlns:wpi="http://schemas.microsoft.com/office/word/2010/wordprocessingInk" xmlns:wps="http://schemas.microsoft.com/office/word/2010/wordprocessingShape" mc:Ignorable="w14 w15 wp14">
                                    </w15:commentsEx>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6E0FDA" w:rsidRDefault="006E0FDA" w:rsidP="006E0FDA">
      <w:pPr>
        <w:spacing w:after="0" w:line="240" w:lineRule="auto"/>
      </w:pPr>
      <w:r>
        <w:separator/>
      </w:r>
    </w:p>
  </w:endnote>
  <w:endnote w:type="continuationSeparator" w:id="0">
    <w:p w:rsidR="006E0FDA" w:rsidRDefault="006E0FDA" w:rsidP="006E0FDA">
      <w:pPr>
        <w:spacing w:after="0" w:line="240" w:lineRule="auto"/>
      </w:pPr>
      <w:r>
        <w:continuationSeparator/>
      </w:r>
    </w:p>
  </w:endnote>
</w:endnotes>
</file>

<file path=word/fontTable.xml><?xml version="1.0" encoding="utf-8"?>
<w:fonts xmlns:r="http://schemas.openxmlformats.org/officeDocument/2006/relationships" xmlns:w="http://schemas.openxmlformats.org/wordprocessingml/2006/main">
  <w:font w:name="Wingdings">
    <w:panose1 w:val="05000000000000000000"/>
    <w:charset w:val="02"/>
    <w:family w:val="auto"/>
    <w:pitch w:val="variable"/>
    <w:sig w:usb0="00000000" w:usb1="10000000" w:usb2="00000000" w:usb3="00000000" w:csb0="80000000" w:csb1="00000000"/>
  </w:font>
  <w:font w:name="Times New Roman">
    <w:panose1 w:val="02020603050405020304"/>
    <w:charset w:val="00"/>
    <w:family w:val="roman"/>
    <w:pitch w:val="variable"/>
    <w:sig w:usb0="20002A87" w:usb1="80000000" w:usb2="00000008"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20002A87" w:usb1="80000000" w:usb2="00000008" w:usb3="00000000" w:csb0="000001FF" w:csb1="00000000"/>
  </w:font>
  <w:font w:name="Calibri">
    <w:panose1 w:val="020F0502020204030204"/>
    <w:charset w:val="00"/>
    <w:family w:val="swiss"/>
    <w:pitch w:val="variable"/>
    <w:sig w:usb0="A00002EF" w:usb1="4000207B" w:usb2="00000000" w:usb3="00000000" w:csb0="0000009F" w:csb1="00000000"/>
  </w:font>
  <w:font w:name="Cambria">
    <w:panose1 w:val="02040503050406030204"/>
    <w:charset w:val="00"/>
    <w:family w:val="roman"/>
    <w:pitch w:val="variable"/>
    <w:sig w:usb0="A00002EF" w:usb1="4000004B" w:usb2="00000000" w:usb3="00000000" w:csb0="0000009F" w:csb1="00000000"/>
  </w:font>
</w:fonts>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6E0FDA" w:rsidRDefault="006E0FDA" w:rsidP="006E0FDA">
      <w:pPr>
        <w:spacing w:after="0" w:line="240" w:lineRule="auto"/>
      </w:pPr>
      <w:r>
        <w:separator/>
      </w:r>
    </w:p>
  </w:footnote>
  <w:footnote w:type="continuationSeparator" w:id="0">
    <w:p w:rsidR="006E0FDA" w:rsidRDefault="006E0FDA" w:rsidP="006E0FDA">
      <w:pPr>
        <w:spacing w:after="0" w:line="240" w:lineRule="auto"/>
      </w:pPr>
      <w:r>
        <w:continuationSeparator/>
      </w:r>
    </w:p>
  </w:footnote>
</w:footnote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90126648">
    <w:multiLevelType w:val="hybridMultilevel"/>
    <w:lvl w:ilvl="0" w:tplc="67532563">
      <w:start w:val="1"/>
      <w:numFmt w:val="decimal"/>
      <w:lvlText w:val="%1."/>
      <w:lvlJc w:val="left"/>
      <w:pPr>
        <w:ind w:left="720" w:hanging="360"/>
      </w:pPr>
    </w:lvl>
    <w:lvl w:ilvl="1" w:tplc="67532563" w:tentative="1">
      <w:start w:val="1"/>
      <w:numFmt w:val="lowerLetter"/>
      <w:lvlText w:val="%2."/>
      <w:lvlJc w:val="left"/>
      <w:pPr>
        <w:ind w:left="1440" w:hanging="360"/>
      </w:pPr>
    </w:lvl>
    <w:lvl w:ilvl="2" w:tplc="67532563" w:tentative="1">
      <w:start w:val="1"/>
      <w:numFmt w:val="lowerRoman"/>
      <w:lvlText w:val="%3."/>
      <w:lvlJc w:val="right"/>
      <w:pPr>
        <w:ind w:left="2160" w:hanging="180"/>
      </w:pPr>
    </w:lvl>
    <w:lvl w:ilvl="3" w:tplc="67532563" w:tentative="1">
      <w:start w:val="1"/>
      <w:numFmt w:val="decimal"/>
      <w:lvlText w:val="%4."/>
      <w:lvlJc w:val="left"/>
      <w:pPr>
        <w:ind w:left="2880" w:hanging="360"/>
      </w:pPr>
    </w:lvl>
    <w:lvl w:ilvl="4" w:tplc="67532563" w:tentative="1">
      <w:start w:val="1"/>
      <w:numFmt w:val="lowerLetter"/>
      <w:lvlText w:val="%5."/>
      <w:lvlJc w:val="left"/>
      <w:pPr>
        <w:ind w:left="3600" w:hanging="360"/>
      </w:pPr>
    </w:lvl>
    <w:lvl w:ilvl="5" w:tplc="67532563" w:tentative="1">
      <w:start w:val="1"/>
      <w:numFmt w:val="lowerRoman"/>
      <w:lvlText w:val="%6."/>
      <w:lvlJc w:val="right"/>
      <w:pPr>
        <w:ind w:left="4320" w:hanging="180"/>
      </w:pPr>
    </w:lvl>
    <w:lvl w:ilvl="6" w:tplc="67532563" w:tentative="1">
      <w:start w:val="1"/>
      <w:numFmt w:val="decimal"/>
      <w:lvlText w:val="%7."/>
      <w:lvlJc w:val="left"/>
      <w:pPr>
        <w:ind w:left="5040" w:hanging="360"/>
      </w:pPr>
    </w:lvl>
    <w:lvl w:ilvl="7" w:tplc="67532563" w:tentative="1">
      <w:start w:val="1"/>
      <w:numFmt w:val="lowerLetter"/>
      <w:lvlText w:val="%8."/>
      <w:lvlJc w:val="left"/>
      <w:pPr>
        <w:ind w:left="5760" w:hanging="360"/>
      </w:pPr>
    </w:lvl>
    <w:lvl w:ilvl="8" w:tplc="67532563" w:tentative="1">
      <w:start w:val="1"/>
      <w:numFmt w:val="lowerRoman"/>
      <w:lvlText w:val="%9."/>
      <w:lvlJc w:val="right"/>
      <w:pPr>
        <w:ind w:left="6480" w:hanging="180"/>
      </w:pPr>
    </w:lvl>
  </w:abstractNum>
  <w:abstractNum w:abstractNumId="90126647">
    <w:multiLevelType w:val="hybridMultilevel"/>
    <w:lvl w:ilvl="0" w:tplc="91361118">
      <w:start w:val="1"/>
      <w:numFmt w:val="bullet"/>
      <w:lvlText w:val=""/>
      <w:lvlJc w:val="left"/>
      <w:pPr>
        <w:ind w:left="720" w:hanging="360"/>
      </w:pPr>
      <w:rPr>
        <w:rFonts w:ascii="Symbol" w:hAnsi="Symbol" w:hint="default"/>
      </w:rPr>
    </w:lvl>
    <w:lvl w:ilvl="1" w:tplc="0C0A0003" w:tentative="1">
      <w:start w:val="1"/>
      <w:numFmt w:val="bullet"/>
      <w:lvlText w:val="o"/>
      <w:lvlJc w:val="left"/>
      <w:pPr>
        <w:ind w:left="1440" w:hanging="360"/>
      </w:pPr>
      <w:rPr>
        <w:rFonts w:ascii="Courier New" w:hAnsi="Courier New" w:cs="Courier New"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cs="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cs="Courier New" w:hint="default"/>
      </w:rPr>
    </w:lvl>
    <w:lvl w:ilvl="8" w:tplc="0C0A0005" w:tentative="1">
      <w:start w:val="1"/>
      <w:numFmt w:val="bullet"/>
      <w:lvlText w:val=""/>
      <w:lvlJc w:val="left"/>
      <w:pPr>
        <w:ind w:left="6480" w:hanging="360"/>
      </w:pPr>
      <w:rPr>
        <w:rFonts w:ascii="Wingdings" w:hAnsi="Wingdings" w:hint="default"/>
      </w:rPr>
    </w:lvl>
  </w:abstractNum>
  <w:abstractNum w:abstractNumId="0">
    <w:nsid w:val="262A5BB1"/>
    <w:multiLevelType w:val="multilevel"/>
    <w:tmpl w:val="FBB4C078"/>
    <w:lvl w:ilvl="0">
      <w:start w:val="1"/>
      <w:numFmt w:val="upperRoman"/>
      <w:lvlText w:val="Article %1."/>
      <w:lvlJc w:val="left"/>
      <w:pPr>
        <w:ind w:left="0" w:firstLine="0"/>
      </w:pPr>
    </w:lvl>
    <w:lvl w:ilvl="1">
      <w:start w:val="1"/>
      <w:numFmt w:val="decimalZero"/>
      <w:isLgl/>
      <w:lvlText w:val="Section %1.%2"/>
      <w:lvlJc w:val="left"/>
      <w:pPr>
        <w:ind w:left="0" w:firstLine="0"/>
      </w:pPr>
    </w:lvl>
    <w:lvl w:ilvl="2">
      <w:start w:val="1"/>
      <w:numFmt w:val="lowerLetter"/>
      <w:lvlText w:val="(%3)"/>
      <w:lvlJc w:val="left"/>
      <w:pPr>
        <w:ind w:left="720" w:hanging="432"/>
      </w:pPr>
    </w:lvl>
    <w:lvl w:ilvl="3">
      <w:start w:val="1"/>
      <w:numFmt w:val="lowerRoman"/>
      <w:lvlText w:val="(%4)"/>
      <w:lvlJc w:val="right"/>
      <w:pPr>
        <w:ind w:left="864" w:hanging="144"/>
      </w:pPr>
    </w:lvl>
    <w:lvl w:ilvl="4">
      <w:start w:val="1"/>
      <w:numFmt w:val="decimal"/>
      <w:lvlText w:val="%5)"/>
      <w:lvlJc w:val="left"/>
      <w:pPr>
        <w:ind w:left="1008" w:hanging="432"/>
      </w:pPr>
    </w:lvl>
    <w:lvl w:ilvl="5">
      <w:start w:val="1"/>
      <w:numFmt w:val="lowerLetter"/>
      <w:lvlText w:val="%6)"/>
      <w:lvlJc w:val="left"/>
      <w:pPr>
        <w:ind w:left="1152" w:hanging="432"/>
      </w:pPr>
    </w:lvl>
    <w:lvl w:ilvl="6">
      <w:start w:val="1"/>
      <w:numFmt w:val="lowerRoman"/>
      <w:lvlText w:val="%7)"/>
      <w:lvlJc w:val="right"/>
      <w:pPr>
        <w:ind w:left="1296" w:hanging="288"/>
      </w:pPr>
    </w:lvl>
    <w:lvl w:ilvl="7">
      <w:start w:val="1"/>
      <w:numFmt w:val="lowerLetter"/>
      <w:lvlText w:val="%8."/>
      <w:lvlJc w:val="left"/>
      <w:pPr>
        <w:ind w:left="1440" w:hanging="432"/>
      </w:pPr>
    </w:lvl>
    <w:lvl w:ilvl="8">
      <w:start w:val="1"/>
      <w:numFmt w:val="lowerRoman"/>
      <w:lvlText w:val="%9."/>
      <w:lvlJc w:val="right"/>
      <w:pPr>
        <w:ind w:left="1584" w:hanging="144"/>
      </w:pPr>
    </w:lvl>
  </w:abstractNum>
  <w:abstractNum w:abstractNumId="1">
    <w:nsid w:val="2EE2481C"/>
    <w:multiLevelType w:val="multilevel"/>
    <w:tmpl w:val="0C0A0021"/>
    <w:lvl w:ilvl="0">
      <w:start w:val="1"/>
      <w:numFmt w:val="bullet"/>
      <w:lvlText w:val=""/>
      <w:lvlJc w:val="left"/>
      <w:pPr>
        <w:ind w:left="360" w:hanging="360"/>
      </w:pPr>
      <w:rPr>
        <w:rFonts w:ascii="Wingdings" w:hAnsi="Wingdings" w:hint="default"/>
      </w:rPr>
    </w:lvl>
    <w:lvl w:ilvl="1">
      <w:start w:val="1"/>
      <w:numFmt w:val="bullet"/>
      <w:lvlText w:val=""/>
      <w:lvlJc w:val="left"/>
      <w:pPr>
        <w:ind w:left="720" w:hanging="360"/>
      </w:pPr>
      <w:rPr>
        <w:rFonts w:ascii="Wingdings" w:hAnsi="Wingdings" w:hint="default"/>
      </w:rPr>
    </w:lvl>
    <w:lvl w:ilvl="2">
      <w:start w:val="1"/>
      <w:numFmt w:val="bullet"/>
      <w:lvlText w:val=""/>
      <w:lvlJc w:val="left"/>
      <w:pPr>
        <w:ind w:left="1080" w:hanging="360"/>
      </w:pPr>
      <w:rPr>
        <w:rFonts w:ascii="Wingdings" w:hAnsi="Wingdings" w:hint="default"/>
      </w:rPr>
    </w:lvl>
    <w:lvl w:ilvl="3">
      <w:start w:val="1"/>
      <w:numFmt w:val="bullet"/>
      <w:lvlText w:val=""/>
      <w:lvlJc w:val="left"/>
      <w:pPr>
        <w:ind w:left="1440" w:hanging="360"/>
      </w:pPr>
      <w:rPr>
        <w:rFonts w:ascii="Symbol" w:hAnsi="Symbol" w:hint="default"/>
      </w:rPr>
    </w:lvl>
    <w:lvl w:ilvl="4">
      <w:start w:val="1"/>
      <w:numFmt w:val="bullet"/>
      <w:lvlText w:val=""/>
      <w:lvlJc w:val="left"/>
      <w:pPr>
        <w:ind w:left="1800" w:hanging="360"/>
      </w:pPr>
      <w:rPr>
        <w:rFonts w:ascii="Symbol" w:hAnsi="Symbol" w:hint="default"/>
      </w:rPr>
    </w:lvl>
    <w:lvl w:ilvl="5">
      <w:start w:val="1"/>
      <w:numFmt w:val="bullet"/>
      <w:lvlText w:val=""/>
      <w:lvlJc w:val="left"/>
      <w:pPr>
        <w:ind w:left="2160" w:hanging="360"/>
      </w:pPr>
      <w:rPr>
        <w:rFonts w:ascii="Wingdings" w:hAnsi="Wingdings" w:hint="default"/>
      </w:rPr>
    </w:lvl>
    <w:lvl w:ilvl="6">
      <w:start w:val="1"/>
      <w:numFmt w:val="bullet"/>
      <w:lvlText w:val=""/>
      <w:lvlJc w:val="left"/>
      <w:pPr>
        <w:ind w:left="2520" w:hanging="360"/>
      </w:pPr>
      <w:rPr>
        <w:rFonts w:ascii="Wingdings" w:hAnsi="Wingdings" w:hint="default"/>
      </w:rPr>
    </w:lvl>
    <w:lvl w:ilvl="7">
      <w:start w:val="1"/>
      <w:numFmt w:val="bullet"/>
      <w:lvlText w:val=""/>
      <w:lvlJc w:val="left"/>
      <w:pPr>
        <w:ind w:left="2880" w:hanging="360"/>
      </w:pPr>
      <w:rPr>
        <w:rFonts w:ascii="Symbol" w:hAnsi="Symbol" w:hint="default"/>
      </w:rPr>
    </w:lvl>
    <w:lvl w:ilvl="8">
      <w:start w:val="1"/>
      <w:numFmt w:val="bullet"/>
      <w:lvlText w:val=""/>
      <w:lvlJc w:val="left"/>
      <w:pPr>
        <w:ind w:left="3240" w:hanging="360"/>
      </w:pPr>
      <w:rPr>
        <w:rFonts w:ascii="Symbol" w:hAnsi="Symbol" w:hint="default"/>
      </w:rPr>
    </w:lvl>
  </w:abstractNum>
  <w:abstractNum w:abstractNumId="2">
    <w:nsid w:val="4E030807"/>
    <w:multiLevelType w:val="multilevel"/>
    <w:tmpl w:val="0C0A0025"/>
    <w:lvl w:ilvl="0">
      <w:start w:val="1"/>
      <w:numFmt w:val="decimal"/>
      <w:pStyle w:val="Heading1PHPDOCX"/>
      <w:lvlText w:val="%1"/>
      <w:lvlJc w:val="left"/>
      <w:pPr>
        <w:ind w:left="432" w:hanging="432"/>
      </w:pPr>
    </w:lvl>
    <w:lvl w:ilvl="1">
      <w:start w:val="1"/>
      <w:numFmt w:val="decimal"/>
      <w:pStyle w:val="Heading2PHPDOCX"/>
      <w:lvlText w:val="%1.%2"/>
      <w:lvlJc w:val="left"/>
      <w:pPr>
        <w:ind w:left="576" w:hanging="576"/>
      </w:pPr>
    </w:lvl>
    <w:lvl w:ilvl="2">
      <w:start w:val="1"/>
      <w:numFmt w:val="decimal"/>
      <w:pStyle w:val="Heading3PHPDOCX"/>
      <w:lvlText w:val="%1.%2.%3"/>
      <w:lvlJc w:val="left"/>
      <w:pPr>
        <w:ind w:left="720" w:hanging="720"/>
      </w:pPr>
    </w:lvl>
    <w:lvl w:ilvl="3">
      <w:start w:val="1"/>
      <w:numFmt w:val="decimal"/>
      <w:pStyle w:val="Heading4PHPDOCX"/>
      <w:lvlText w:val="%1.%2.%3.%4"/>
      <w:lvlJc w:val="left"/>
      <w:pPr>
        <w:ind w:left="864" w:hanging="864"/>
      </w:pPr>
    </w:lvl>
    <w:lvl w:ilvl="4">
      <w:start w:val="1"/>
      <w:numFmt w:val="decimal"/>
      <w:pStyle w:val="Heading5PHPDOCX"/>
      <w:lvlText w:val="%1.%2.%3.%4.%5"/>
      <w:lvlJc w:val="left"/>
      <w:pPr>
        <w:ind w:left="1008" w:hanging="1008"/>
      </w:pPr>
    </w:lvl>
    <w:lvl w:ilvl="5">
      <w:start w:val="1"/>
      <w:numFmt w:val="decimal"/>
      <w:pStyle w:val="Heading6PHPDOCX"/>
      <w:lvlText w:val="%1.%2.%3.%4.%5.%6"/>
      <w:lvlJc w:val="left"/>
      <w:pPr>
        <w:ind w:left="1152" w:hanging="1152"/>
      </w:pPr>
    </w:lvl>
    <w:lvl w:ilvl="6">
      <w:start w:val="1"/>
      <w:numFmt w:val="decimal"/>
      <w:pStyle w:val="Heading7PHPDOCX"/>
      <w:lvlText w:val="%1.%2.%3.%4.%5.%6.%7"/>
      <w:lvlJc w:val="left"/>
      <w:pPr>
        <w:ind w:left="1296" w:hanging="1296"/>
      </w:pPr>
    </w:lvl>
    <w:lvl w:ilvl="7">
      <w:start w:val="1"/>
      <w:numFmt w:val="decimal"/>
      <w:pStyle w:val="Heading8PHPDOCX"/>
      <w:lvlText w:val="%1.%2.%3.%4.%5.%6.%7.%8"/>
      <w:lvlJc w:val="left"/>
      <w:pPr>
        <w:ind w:left="1440" w:hanging="1440"/>
      </w:pPr>
    </w:lvl>
    <w:lvl w:ilvl="8">
      <w:start w:val="1"/>
      <w:numFmt w:val="decimal"/>
      <w:pStyle w:val="Heading9PHPDOCX"/>
      <w:lvlText w:val="%1.%2.%3.%4.%5.%6.%7.%8.%9"/>
      <w:lvlJc w:val="left"/>
      <w:pPr>
        <w:ind w:left="1584" w:hanging="1584"/>
      </w:pPr>
    </w:lvl>
  </w:abstractNum>
  <w:abstractNum w:abstractNumId="3">
    <w:nsid w:val="516B4C7F"/>
    <w:multiLevelType w:val="hybridMultilevel"/>
    <w:tmpl w:val="D562937E"/>
    <w:lvl w:ilvl="0" w:tplc="0C0A0001">
      <w:start w:val="1"/>
      <w:numFmt w:val="bullet"/>
      <w:lvlText w:val=""/>
      <w:lvlJc w:val="left"/>
      <w:pPr>
        <w:ind w:left="720" w:hanging="360"/>
      </w:pPr>
      <w:rPr>
        <w:rFonts w:ascii="Symbol" w:hAnsi="Symbol" w:hint="default"/>
      </w:rPr>
    </w:lvl>
    <w:lvl w:ilvl="1" w:tplc="0C0A0003" w:tentative="1">
      <w:start w:val="1"/>
      <w:numFmt w:val="bullet"/>
      <w:lvlText w:val="o"/>
      <w:lvlJc w:val="left"/>
      <w:pPr>
        <w:ind w:left="1440" w:hanging="360"/>
      </w:pPr>
      <w:rPr>
        <w:rFonts w:ascii="Courier New" w:hAnsi="Courier New" w:cs="Courier New"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cs="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cs="Courier New" w:hint="default"/>
      </w:rPr>
    </w:lvl>
    <w:lvl w:ilvl="8" w:tplc="0C0A0005" w:tentative="1">
      <w:start w:val="1"/>
      <w:numFmt w:val="bullet"/>
      <w:lvlText w:val=""/>
      <w:lvlJc w:val="left"/>
      <w:pPr>
        <w:ind w:left="6480" w:hanging="360"/>
      </w:pPr>
      <w:rPr>
        <w:rFonts w:ascii="Wingdings" w:hAnsi="Wingdings" w:hint="default"/>
      </w:rPr>
    </w:lvl>
  </w:abstractNum>
  <w:abstractNum w:abstractNumId="4">
    <w:nsid w:val="5623468F"/>
    <w:multiLevelType w:val="multilevel"/>
    <w:tmpl w:val="0C0A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5">
    <w:nsid w:val="56792213"/>
    <w:multiLevelType w:val="hybridMultilevel"/>
    <w:tmpl w:val="C502613C"/>
    <w:lvl w:ilvl="0" w:tplc="0C0A000F">
      <w:start w:val="1"/>
      <w:numFmt w:val="decimal"/>
      <w:lvlText w:val="%1."/>
      <w:lvlJc w:val="left"/>
      <w:pPr>
        <w:ind w:left="720" w:hanging="360"/>
      </w:pPr>
    </w:lvl>
    <w:lvl w:ilvl="1" w:tplc="0C0A0019" w:tentative="1">
      <w:start w:val="1"/>
      <w:numFmt w:val="lowerLetter"/>
      <w:lvlText w:val="%2."/>
      <w:lvlJc w:val="left"/>
      <w:pPr>
        <w:ind w:left="1440" w:hanging="360"/>
      </w:pPr>
    </w:lvl>
    <w:lvl w:ilvl="2" w:tplc="0C0A001B" w:tentative="1">
      <w:start w:val="1"/>
      <w:numFmt w:val="lowerRoman"/>
      <w:lvlText w:val="%3."/>
      <w:lvlJc w:val="right"/>
      <w:pPr>
        <w:ind w:left="2160" w:hanging="180"/>
      </w:pPr>
    </w:lvl>
    <w:lvl w:ilvl="3" w:tplc="0C0A000F" w:tentative="1">
      <w:start w:val="1"/>
      <w:numFmt w:val="decimal"/>
      <w:lvlText w:val="%4."/>
      <w:lvlJc w:val="left"/>
      <w:pPr>
        <w:ind w:left="2880" w:hanging="360"/>
      </w:pPr>
    </w:lvl>
    <w:lvl w:ilvl="4" w:tplc="0C0A0019" w:tentative="1">
      <w:start w:val="1"/>
      <w:numFmt w:val="lowerLetter"/>
      <w:lvlText w:val="%5."/>
      <w:lvlJc w:val="left"/>
      <w:pPr>
        <w:ind w:left="3600" w:hanging="360"/>
      </w:pPr>
    </w:lvl>
    <w:lvl w:ilvl="5" w:tplc="0C0A001B" w:tentative="1">
      <w:start w:val="1"/>
      <w:numFmt w:val="lowerRoman"/>
      <w:lvlText w:val="%6."/>
      <w:lvlJc w:val="right"/>
      <w:pPr>
        <w:ind w:left="4320" w:hanging="180"/>
      </w:pPr>
    </w:lvl>
    <w:lvl w:ilvl="6" w:tplc="0C0A000F" w:tentative="1">
      <w:start w:val="1"/>
      <w:numFmt w:val="decimal"/>
      <w:lvlText w:val="%7."/>
      <w:lvlJc w:val="left"/>
      <w:pPr>
        <w:ind w:left="5040" w:hanging="360"/>
      </w:pPr>
    </w:lvl>
    <w:lvl w:ilvl="7" w:tplc="0C0A0019" w:tentative="1">
      <w:start w:val="1"/>
      <w:numFmt w:val="lowerLetter"/>
      <w:lvlText w:val="%8."/>
      <w:lvlJc w:val="left"/>
      <w:pPr>
        <w:ind w:left="5760" w:hanging="360"/>
      </w:pPr>
    </w:lvl>
    <w:lvl w:ilvl="8" w:tplc="0C0A001B" w:tentative="1">
      <w:start w:val="1"/>
      <w:numFmt w:val="lowerRoman"/>
      <w:lvlText w:val="%9."/>
      <w:lvlJc w:val="right"/>
      <w:pPr>
        <w:ind w:left="6480" w:hanging="180"/>
      </w:pPr>
    </w:lvl>
  </w:abstractNum>
  <w:abstractNum w:abstractNumId="6">
    <w:nsid w:val="6027097E"/>
    <w:multiLevelType w:val="multilevel"/>
    <w:tmpl w:val="0C0A001D"/>
    <w:lvl w:ilvl="0">
      <w:start w:val="1"/>
      <w:numFmt w:val="decimal"/>
      <w:lvlText w:val="%1)"/>
      <w:lvlJc w:val="left"/>
      <w:pPr>
        <w:ind w:left="360" w:hanging="360"/>
      </w:pPr>
    </w:lvl>
    <w:lvl w:ilvl="1">
      <w:start w:val="1"/>
      <w:numFmt w:val="lowerLetter"/>
      <w:lvlText w:val="%2)"/>
      <w:lvlJc w:val="left"/>
      <w:pPr>
        <w:ind w:left="720" w:hanging="360"/>
      </w:pPr>
    </w:lvl>
    <w:lvl w:ilvl="2">
      <w:start w:val="1"/>
      <w:numFmt w:val="lowerRoman"/>
      <w:lvlText w:val="%3)"/>
      <w:lvlJc w:val="left"/>
      <w:pPr>
        <w:ind w:left="1080" w:hanging="360"/>
      </w:pPr>
    </w:lvl>
    <w:lvl w:ilvl="3">
      <w:start w:val="1"/>
      <w:numFmt w:val="decimal"/>
      <w:lvlText w:val="(%4)"/>
      <w:lvlJc w:val="left"/>
      <w:pPr>
        <w:ind w:left="1440" w:hanging="360"/>
      </w:pPr>
    </w:lvl>
    <w:lvl w:ilvl="4">
      <w:start w:val="1"/>
      <w:numFmt w:val="lowerLetter"/>
      <w:lvlText w:val="(%5)"/>
      <w:lvlJc w:val="left"/>
      <w:pPr>
        <w:ind w:left="1800" w:hanging="360"/>
      </w:pPr>
    </w:lvl>
    <w:lvl w:ilvl="5">
      <w:start w:val="1"/>
      <w:numFmt w:val="lowerRoman"/>
      <w:lvlText w:val="(%6)"/>
      <w:lvlJc w:val="left"/>
      <w:pPr>
        <w:ind w:left="2160" w:hanging="360"/>
      </w:pPr>
    </w:lvl>
    <w:lvl w:ilvl="6">
      <w:start w:val="1"/>
      <w:numFmt w:val="decimal"/>
      <w:lvlText w:val="%7."/>
      <w:lvlJc w:val="left"/>
      <w:pPr>
        <w:ind w:left="2520" w:hanging="360"/>
      </w:pPr>
    </w:lvl>
    <w:lvl w:ilvl="7">
      <w:start w:val="1"/>
      <w:numFmt w:val="lowerLetter"/>
      <w:lvlText w:val="%8."/>
      <w:lvlJc w:val="left"/>
      <w:pPr>
        <w:ind w:left="2880" w:hanging="360"/>
      </w:pPr>
    </w:lvl>
    <w:lvl w:ilvl="8">
      <w:start w:val="1"/>
      <w:numFmt w:val="lowerRoman"/>
      <w:lvlText w:val="%9."/>
      <w:lvlJc w:val="left"/>
      <w:pPr>
        <w:ind w:left="3240" w:hanging="360"/>
      </w:pPr>
    </w:lvl>
  </w:abstractNum>
  <w:num w:numId="1">
    <w:abstractNumId w:val="3"/>
  </w:num>
  <w:num w:numId="2">
    <w:abstractNumId w:val="5"/>
  </w:num>
  <w:num w:numId="3">
    <w:abstractNumId w:val="6"/>
  </w:num>
  <w:num w:numId="4">
    <w:abstractNumId w:val="4"/>
  </w:num>
  <w:num w:numId="5">
    <w:abstractNumId w:val="1"/>
  </w:num>
  <w:num w:numId="6">
    <w:abstractNumId w:val="0"/>
  </w:num>
  <w:num w:numId="7">
    <w:abstractNumId w:val="2"/>
  </w:num>
  <w:num w:numId="90126647">
    <w:abstractNumId w:val="90126647"/>
  </w:num>
  <w:num w:numId="90126648">
    <w:abstractNumId w:val="90126648"/>
  </w:num>
</w:numbering>
</file>

<file path=word/people.xml><?xml version="1.0" encoding="utf-8"?>
<w15:people xmlns:m="http://schemas.openxmlformats.org/officeDocument/2006/math" xmlns:mc="http://schemas.openxmlformats.org/markup-compatibility/2006" xmlns:o="urn:schemas-microsoft-com:office:office" xmlns:r="http://schemas.openxmlformats.org/officeDocument/2006/relationships" xmlns:v="urn:schemas-microsoft-com:vml" xmlns:w="http://schemas.openxmlformats.org/wordprocessingml/2006/main" xmlns:w10="urn:schemas-microsoft-com:office:word" xmlns:w14="http://schemas.microsoft.com/office/word/2010/wordml" xmlns:w15="http://schemas.microsoft.com/office/word/2012/wordml" xmlns:wne="http://schemas.microsoft.com/office/word/2006/wordml" xmlns:wp="http://schemas.openxmlformats.org/drawingml/2006/wordprocessingDrawing" xmlns:wp14="http://schemas.microsoft.com/office/word/2010/wordprocessingDrawing" xmlns:wpc="http://schemas.microsoft.com/office/word/2010/wordprocessingCanvas" xmlns:wpg="http://schemas.microsoft.com/office/word/2010/wordprocessingGroup" xmlns:wpi="http://schemas.microsoft.com/office/word/2010/wordprocessingInk" xmlns:wps="http://schemas.microsoft.com/office/word/2010/wordprocessingShape" mc:Ignorable="w14 w15 wp14">
                                    </w15:people>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proofState w:spelling="clean" w:grammar="clean"/>
  <w:defaultTabStop w:val="708"/>
  <w:hyphenationZone w:val="425"/>
  <w:characterSpacingControl w:val="doNotCompress"/>
  <w:footnotePr>
    <w:footnote w:id="-1"/>
    <w:footnote w:id="0"/>
  </w:footnotePr>
  <w:endnotePr>
    <w:endnote w:id="-1"/>
    <w:endnote w:id="0"/>
  </w:endnotePr>
  <w:compat/>
  <w:rsids>
    <w:rsidRoot w:val="00DF064E"/>
    <w:rsid w:val="00065F9C"/>
    <w:rsid w:val="000F6147"/>
    <w:rsid w:val="00112029"/>
    <w:rsid w:val="00135412"/>
    <w:rsid w:val="00361FF4"/>
    <w:rsid w:val="003B5299"/>
    <w:rsid w:val="00493A0C"/>
    <w:rsid w:val="004D6B48"/>
    <w:rsid w:val="00531A4E"/>
    <w:rsid w:val="00535F5A"/>
    <w:rsid w:val="00555F58"/>
    <w:rsid w:val="006E6663"/>
    <w:rsid w:val="008B3AC2"/>
    <w:rsid w:val="008F680D"/>
    <w:rsid w:val="00AC197E"/>
    <w:rsid w:val="00B21D59"/>
    <w:rsid w:val="00BD419F"/>
    <w:rsid w:val="00DF064E"/>
    <w:rsid w:val="00FB45FF"/>
  </w:rsids>
  <m:mathPr>
    <m:mathFont m:val="Cambria Math"/>
    <m:brkBin m:val="before"/>
    <m:brkBinSub m:val="--"/>
    <m:smallFrac m:val="off"/>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PHPDOCX" w:semiHidden="0" w:uiPriority="0" w:unhideWhenUsed="0" w:qFormat="1"/>
    <w:lsdException w:name="Heading 1 PHPDOCX" w:semiHidden="0" w:uiPriority="9" w:unhideWhenUsed="0" w:qFormat="1"/>
    <w:lsdException w:name="Heading 2 PHPDOCX" w:uiPriority="9" w:qFormat="1"/>
    <w:lsdException w:name="Heading 3 PHPDOCX" w:uiPriority="9" w:qFormat="1"/>
    <w:lsdException w:name="Heading 4 PHPDOCX" w:uiPriority="9" w:qFormat="1"/>
    <w:lsdException w:name="Heading 5 PHPDOCX" w:uiPriority="9" w:qFormat="1"/>
    <w:lsdException w:name="Heading 6 PHPDOCX" w:uiPriority="9" w:qFormat="1"/>
    <w:lsdException w:name="Heading 7 PHPDOCX" w:uiPriority="9" w:qFormat="1"/>
    <w:lsdException w:name="Heading 8 PHPDOCX" w:uiPriority="9" w:qFormat="1"/>
    <w:lsdException w:name="Heading 9 PHPDOCX" w:uiPriority="9" w:qFormat="1"/>
    <w:lsdException w:name="toc 1 PHPDOCX" w:uiPriority="39"/>
    <w:lsdException w:name="toc 2 PHPDOCX" w:uiPriority="39"/>
    <w:lsdException w:name="toc 3 PHPDOCX" w:uiPriority="39"/>
    <w:lsdException w:name="toc 4 PHPDOCX" w:uiPriority="39"/>
    <w:lsdException w:name="toc 5 PHPDOCX" w:uiPriority="39"/>
    <w:lsdException w:name="toc 6 PHPDOCX" w:uiPriority="39"/>
    <w:lsdException w:name="toc 7 PHPDOCX" w:uiPriority="39"/>
    <w:lsdException w:name="toc 8 PHPDOCX" w:uiPriority="39"/>
    <w:lsdException w:name="toc 9 PHPDOCX" w:uiPriority="39"/>
    <w:lsdException w:name="caption PHPDOCX" w:uiPriority="35" w:qFormat="1"/>
    <w:lsdException w:name="Title PHPDOCX" w:semiHidden="0" w:uiPriority="10" w:unhideWhenUsed="0" w:qFormat="1"/>
    <w:lsdException w:name="Default Paragraph Font PHPDOCX" w:uiPriority="1"/>
    <w:lsdException w:name="Subtitle PHPDOCX" w:semiHidden="0" w:uiPriority="11" w:unhideWhenUsed="0" w:qFormat="1"/>
    <w:lsdException w:name="Strong PHPDOCX" w:semiHidden="0" w:uiPriority="22" w:unhideWhenUsed="0" w:qFormat="1"/>
    <w:lsdException w:name="Emphasis PHPDOCX" w:semiHidden="0" w:uiPriority="20" w:unhideWhenUsed="0" w:qFormat="1"/>
    <w:lsdException w:name="Normal Table PHPDOCX" w:semiHidden="0" w:uiPriority="58" w:unhideWhenUsed="0"/>
    <w:lsdException w:name="Table Grid PHPDOCX" w:semiHidden="0" w:uiPriority="59" w:unhideWhenUsed="0"/>
    <w:lsdException w:name="Placeholder Text PHPDOCX" w:unhideWhenUsed="0"/>
    <w:lsdException w:name="No Spacing PHPDOCX" w:semiHidden="0" w:uiPriority="1" w:unhideWhenUsed="0" w:qFormat="1"/>
    <w:lsdException w:name="Light Shading PHPDOCX" w:semiHidden="0" w:uiPriority="60" w:unhideWhenUsed="0"/>
    <w:lsdException w:name="Light List PHPDOCX" w:semiHidden="0" w:uiPriority="61" w:unhideWhenUsed="0"/>
    <w:lsdException w:name="Light Grid PHPDOCX" w:semiHidden="0" w:uiPriority="62" w:unhideWhenUsed="0"/>
    <w:lsdException w:name="Medium Shading 1 PHPDOCX" w:semiHidden="0" w:uiPriority="63" w:unhideWhenUsed="0"/>
    <w:lsdException w:name="Medium Shading 2 PHPDOCX" w:semiHidden="0" w:uiPriority="64" w:unhideWhenUsed="0"/>
    <w:lsdException w:name="Medium List 1 PHPDOCX" w:semiHidden="0" w:uiPriority="65" w:unhideWhenUsed="0"/>
    <w:lsdException w:name="Medium List 2 PHPDOCX" w:semiHidden="0" w:uiPriority="66" w:unhideWhenUsed="0"/>
    <w:lsdException w:name="Medium Grid 1 PHPDOCX" w:semiHidden="0" w:uiPriority="67" w:unhideWhenUsed="0"/>
    <w:lsdException w:name="Medium Grid 2 PHPDOCX" w:semiHidden="0" w:uiPriority="68" w:unhideWhenUsed="0"/>
    <w:lsdException w:name="Medium Grid 3 PHPDOCX" w:semiHidden="0" w:uiPriority="69" w:unhideWhenUsed="0"/>
    <w:lsdException w:name="Dark List PHPDOCX" w:semiHidden="0" w:uiPriority="70" w:unhideWhenUsed="0"/>
    <w:lsdException w:name="Colorful Shading PHPDOCX" w:semiHidden="0" w:uiPriority="71" w:unhideWhenUsed="0"/>
    <w:lsdException w:name="Colorful List PHPDOCX" w:semiHidden="0" w:uiPriority="72" w:unhideWhenUsed="0"/>
    <w:lsdException w:name="Colorful Grid PHPDOCX" w:semiHidden="0" w:uiPriority="73" w:unhideWhenUsed="0"/>
    <w:lsdException w:name="Light Shading Accent 1 PHPDOCX" w:semiHidden="0" w:uiPriority="60" w:unhideWhenUsed="0"/>
    <w:lsdException w:name="Light List Accent 1 PHPDOCX" w:semiHidden="0" w:uiPriority="61" w:unhideWhenUsed="0"/>
    <w:lsdException w:name="Light Grid Accent 1 PHPDOCX" w:semiHidden="0" w:uiPriority="62" w:unhideWhenUsed="0"/>
    <w:lsdException w:name="Medium Shading 1 Accent 1 PHPDOCX" w:semiHidden="0" w:uiPriority="63" w:unhideWhenUsed="0"/>
    <w:lsdException w:name="Medium Shading 2 Accent 1 PHPDOCX" w:semiHidden="0" w:uiPriority="64" w:unhideWhenUsed="0"/>
    <w:lsdException w:name="Medium List 1 Accent 1 PHPDOCX" w:semiHidden="0" w:uiPriority="65" w:unhideWhenUsed="0"/>
    <w:lsdException w:name="Revision PHPDOCX" w:unhideWhenUsed="0"/>
    <w:lsdException w:name="List Paragraph PHPDOCX" w:semiHidden="0" w:uiPriority="34" w:unhideWhenUsed="0" w:qFormat="1"/>
    <w:lsdException w:name="Quote PHPDOCX" w:semiHidden="0" w:uiPriority="29" w:unhideWhenUsed="0" w:qFormat="1"/>
    <w:lsdException w:name="Intense Quote PHPDOCX" w:semiHidden="0" w:uiPriority="30" w:unhideWhenUsed="0" w:qFormat="1"/>
    <w:lsdException w:name="Medium List 2 Accent 1 PHPDOCX" w:semiHidden="0" w:uiPriority="66" w:unhideWhenUsed="0"/>
    <w:lsdException w:name="Medium Grid 1 Accent 1 PHPDOCX" w:semiHidden="0" w:uiPriority="67" w:unhideWhenUsed="0"/>
    <w:lsdException w:name="Medium Grid 2 Accent 1 PHPDOCX" w:semiHidden="0" w:uiPriority="68" w:unhideWhenUsed="0"/>
    <w:lsdException w:name="Medium Grid 3 Accent 1 PHPDOCX" w:semiHidden="0" w:uiPriority="69" w:unhideWhenUsed="0"/>
    <w:lsdException w:name="Dark List Accent 1 PHPDOCX" w:semiHidden="0" w:uiPriority="70" w:unhideWhenUsed="0"/>
    <w:lsdException w:name="Colorful Shading Accent 1 PHPDOCX" w:semiHidden="0" w:uiPriority="71" w:unhideWhenUsed="0"/>
    <w:lsdException w:name="Colorful List Accent 1 PHPDOCX" w:semiHidden="0" w:uiPriority="72" w:unhideWhenUsed="0"/>
    <w:lsdException w:name="Colorful Grid Accent 1 PHPDOCX" w:semiHidden="0" w:uiPriority="73" w:unhideWhenUsed="0"/>
    <w:lsdException w:name="Light Shading Accent 2 PHPDOCX" w:semiHidden="0" w:uiPriority="60" w:unhideWhenUsed="0"/>
    <w:lsdException w:name="Light List Accent 2 PHPDOCX" w:semiHidden="0" w:uiPriority="61" w:unhideWhenUsed="0"/>
    <w:lsdException w:name="Light Grid Accent 2 PHPDOCX" w:semiHidden="0" w:uiPriority="62" w:unhideWhenUsed="0"/>
    <w:lsdException w:name="Medium Shading 1 Accent 2 PHPDOCX" w:semiHidden="0" w:uiPriority="63" w:unhideWhenUsed="0"/>
    <w:lsdException w:name="Medium Shading 2 Accent 2 PHPDOCX" w:semiHidden="0" w:uiPriority="64" w:unhideWhenUsed="0"/>
    <w:lsdException w:name="Medium List 1 Accent 2 PHPDOCX" w:semiHidden="0" w:uiPriority="65" w:unhideWhenUsed="0"/>
    <w:lsdException w:name="Medium List 2 Accent 2 PHPDOCX" w:semiHidden="0" w:uiPriority="66" w:unhideWhenUsed="0"/>
    <w:lsdException w:name="Medium Grid 1 Accent 2 PHPDOCX" w:semiHidden="0" w:uiPriority="67" w:unhideWhenUsed="0"/>
    <w:lsdException w:name="Medium Grid 2 Accent 2 PHPDOCX" w:semiHidden="0" w:uiPriority="68" w:unhideWhenUsed="0"/>
    <w:lsdException w:name="Medium Grid 3 Accent 2 PHPDOCX" w:semiHidden="0" w:uiPriority="69" w:unhideWhenUsed="0"/>
    <w:lsdException w:name="Dark List Accent 2 PHPDOCX" w:semiHidden="0" w:uiPriority="70" w:unhideWhenUsed="0"/>
    <w:lsdException w:name="Colorful Shading Accent 2 PHPDOCX" w:semiHidden="0" w:uiPriority="71" w:unhideWhenUsed="0"/>
    <w:lsdException w:name="Colorful List Accent 2 PHPDOCX" w:semiHidden="0" w:uiPriority="72" w:unhideWhenUsed="0"/>
    <w:lsdException w:name="Colorful Grid Accent 2 PHPDOCX" w:semiHidden="0" w:uiPriority="73" w:unhideWhenUsed="0"/>
    <w:lsdException w:name="Light Shading Accent 3 PHPDOCX" w:semiHidden="0" w:uiPriority="60" w:unhideWhenUsed="0"/>
    <w:lsdException w:name="Light List Accent 3 PHPDOCX" w:semiHidden="0" w:uiPriority="61" w:unhideWhenUsed="0"/>
    <w:lsdException w:name="Light Grid Accent 3 PHPDOCX" w:semiHidden="0" w:uiPriority="62" w:unhideWhenUsed="0"/>
    <w:lsdException w:name="Medium Shading 1 Accent 3 PHPDOCX" w:semiHidden="0" w:uiPriority="63" w:unhideWhenUsed="0"/>
    <w:lsdException w:name="Medium Shading 2 Accent 3 PHPDOCX" w:semiHidden="0" w:uiPriority="64" w:unhideWhenUsed="0"/>
    <w:lsdException w:name="Medium List 1 Accent 3 PHPDOCX" w:semiHidden="0" w:uiPriority="65" w:unhideWhenUsed="0"/>
    <w:lsdException w:name="Medium List 2 Accent 3 PHPDOCX" w:semiHidden="0" w:uiPriority="66" w:unhideWhenUsed="0"/>
    <w:lsdException w:name="Medium Grid 1 Accent 3 PHPDOCX" w:semiHidden="0" w:uiPriority="67" w:unhideWhenUsed="0"/>
    <w:lsdException w:name="Medium Grid 2 Accent 3 PHPDOCX" w:semiHidden="0" w:uiPriority="68" w:unhideWhenUsed="0"/>
    <w:lsdException w:name="Medium Grid 3 Accent 3 PHPDOCX" w:semiHidden="0" w:uiPriority="69" w:unhideWhenUsed="0"/>
    <w:lsdException w:name="Dark List Accent 3 PHPDOCX" w:semiHidden="0" w:uiPriority="70" w:unhideWhenUsed="0"/>
    <w:lsdException w:name="Colorful Shading Accent 3 PHPDOCX" w:semiHidden="0" w:uiPriority="71" w:unhideWhenUsed="0"/>
    <w:lsdException w:name="Colorful List Accent 3 PHPDOCX" w:semiHidden="0" w:uiPriority="72" w:unhideWhenUsed="0"/>
    <w:lsdException w:name="Colorful Grid Accent 3 PHPDOCX" w:semiHidden="0" w:uiPriority="73" w:unhideWhenUsed="0"/>
    <w:lsdException w:name="Light Shading Accent 4 PHPDOCX" w:semiHidden="0" w:uiPriority="60" w:unhideWhenUsed="0"/>
    <w:lsdException w:name="Light List Accent 4 PHPDOCX" w:semiHidden="0" w:uiPriority="61" w:unhideWhenUsed="0"/>
    <w:lsdException w:name="Light Grid Accent 4 PHPDOCX" w:semiHidden="0" w:uiPriority="62" w:unhideWhenUsed="0"/>
    <w:lsdException w:name="Medium Shading 1 Accent 4 PHPDOCX" w:semiHidden="0" w:uiPriority="63" w:unhideWhenUsed="0"/>
    <w:lsdException w:name="Medium Shading 2 Accent 4 PHPDOCX" w:semiHidden="0" w:uiPriority="64" w:unhideWhenUsed="0"/>
    <w:lsdException w:name="Medium List 1 Accent 4 PHPDOCX" w:semiHidden="0" w:uiPriority="65" w:unhideWhenUsed="0"/>
    <w:lsdException w:name="Medium List 2 Accent 4 PHPDOCX" w:semiHidden="0" w:uiPriority="66" w:unhideWhenUsed="0"/>
    <w:lsdException w:name="Medium Grid 1 Accent 4 PHPDOCX" w:semiHidden="0" w:uiPriority="67" w:unhideWhenUsed="0"/>
    <w:lsdException w:name="Medium Grid 2 Accent 4 PHPDOCX" w:semiHidden="0" w:uiPriority="68" w:unhideWhenUsed="0"/>
    <w:lsdException w:name="Medium Grid 3 Accent 4 PHPDOCX" w:semiHidden="0" w:uiPriority="69" w:unhideWhenUsed="0"/>
    <w:lsdException w:name="Dark List Accent 4 PHPDOCX" w:semiHidden="0" w:uiPriority="70" w:unhideWhenUsed="0"/>
    <w:lsdException w:name="Colorful Shading Accent 4 PHPDOCX" w:semiHidden="0" w:uiPriority="71" w:unhideWhenUsed="0"/>
    <w:lsdException w:name="Colorful List Accent 4 PHPDOCX" w:semiHidden="0" w:uiPriority="72" w:unhideWhenUsed="0"/>
    <w:lsdException w:name="Colorful Grid Accent 4 PHPDOCX" w:semiHidden="0" w:uiPriority="73" w:unhideWhenUsed="0"/>
    <w:lsdException w:name="Light Shading Accent 5 PHPDOCX" w:semiHidden="0" w:uiPriority="60" w:unhideWhenUsed="0"/>
    <w:lsdException w:name="Light List Accent 5 PHPDOCX" w:semiHidden="0" w:uiPriority="61" w:unhideWhenUsed="0"/>
    <w:lsdException w:name="Light Grid Accent 5 PHPDOCX" w:semiHidden="0" w:uiPriority="62" w:unhideWhenUsed="0"/>
    <w:lsdException w:name="Medium Shading 1 Accent 5 PHPDOCX" w:semiHidden="0" w:uiPriority="63" w:unhideWhenUsed="0"/>
    <w:lsdException w:name="Medium Shading 2 Accent 5 PHPDOCX" w:semiHidden="0" w:uiPriority="64" w:unhideWhenUsed="0"/>
    <w:lsdException w:name="Medium List 1 Accent 5 PHPDOCX" w:semiHidden="0" w:uiPriority="65" w:unhideWhenUsed="0"/>
    <w:lsdException w:name="Medium List 2 Accent 5 PHPDOCX" w:semiHidden="0" w:uiPriority="66" w:unhideWhenUsed="0"/>
    <w:lsdException w:name="Medium Grid 1 Accent 5 PHPDOCX" w:semiHidden="0" w:uiPriority="67" w:unhideWhenUsed="0"/>
    <w:lsdException w:name="Medium Grid 2 Accent 5 PHPDOCX" w:semiHidden="0" w:uiPriority="68" w:unhideWhenUsed="0"/>
    <w:lsdException w:name="Medium Grid 3 Accent 5 PHPDOCX" w:semiHidden="0" w:uiPriority="69" w:unhideWhenUsed="0"/>
    <w:lsdException w:name="Dark List Accent 5 PHPDOCX" w:semiHidden="0" w:uiPriority="70" w:unhideWhenUsed="0"/>
    <w:lsdException w:name="Colorful Shading Accent 5 PHPDOCX" w:semiHidden="0" w:uiPriority="71" w:unhideWhenUsed="0"/>
    <w:lsdException w:name="Colorful List Accent 5 PHPDOCX" w:semiHidden="0" w:uiPriority="72" w:unhideWhenUsed="0"/>
    <w:lsdException w:name="Colorful Grid Accent 5 PHPDOCX" w:semiHidden="0" w:uiPriority="73" w:unhideWhenUsed="0"/>
    <w:lsdException w:name="Light Shading Accent 6 PHPDOCX" w:semiHidden="0" w:uiPriority="60" w:unhideWhenUsed="0"/>
    <w:lsdException w:name="Light List Accent 6 PHPDOCX" w:semiHidden="0" w:uiPriority="61" w:unhideWhenUsed="0"/>
    <w:lsdException w:name="Light Grid Accent 6 PHPDOCX" w:semiHidden="0" w:uiPriority="62" w:unhideWhenUsed="0"/>
    <w:lsdException w:name="Medium Shading 1 Accent 6 PHPDOCX" w:semiHidden="0" w:uiPriority="63" w:unhideWhenUsed="0"/>
    <w:lsdException w:name="Medium Shading 2 Accent 6 PHPDOCX" w:semiHidden="0" w:uiPriority="64" w:unhideWhenUsed="0"/>
    <w:lsdException w:name="Medium List 1 Accent 6 PHPDOCX" w:semiHidden="0" w:uiPriority="65" w:unhideWhenUsed="0"/>
    <w:lsdException w:name="Medium List 2 Accent 6 PHPDOCX" w:semiHidden="0" w:uiPriority="66" w:unhideWhenUsed="0"/>
    <w:lsdException w:name="Medium Grid 1 Accent 6 PHPDOCX" w:semiHidden="0" w:uiPriority="67" w:unhideWhenUsed="0"/>
    <w:lsdException w:name="Medium Grid 2 Accent 6 PHPDOCX" w:semiHidden="0" w:uiPriority="68" w:unhideWhenUsed="0"/>
    <w:lsdException w:name="Medium Grid 3 Accent 6 PHPDOCX" w:semiHidden="0" w:uiPriority="69" w:unhideWhenUsed="0"/>
    <w:lsdException w:name="Dark List Accent 6 PHPDOCX" w:semiHidden="0" w:uiPriority="70" w:unhideWhenUsed="0"/>
    <w:lsdException w:name="Colorful Shading Accent 6 PHPDOCX" w:semiHidden="0" w:uiPriority="71" w:unhideWhenUsed="0"/>
    <w:lsdException w:name="Colorful List Accent 6 PHPDOCX" w:semiHidden="0" w:uiPriority="72" w:unhideWhenUsed="0"/>
    <w:lsdException w:name="Colorful Grid Accent 6 PHPDOCX" w:semiHidden="0" w:uiPriority="73" w:unhideWhenUsed="0"/>
    <w:lsdException w:name="Subtle Emphasis PHPDOCX" w:semiHidden="0" w:uiPriority="19" w:unhideWhenUsed="0" w:qFormat="1"/>
    <w:lsdException w:name="Intense Emphasis PHPDOCX" w:semiHidden="0" w:uiPriority="21" w:unhideWhenUsed="0" w:qFormat="1"/>
    <w:lsdException w:name="Subtle Reference PHPDOCX" w:semiHidden="0" w:uiPriority="31" w:unhideWhenUsed="0" w:qFormat="1"/>
    <w:lsdException w:name="Intense Reference PHPDOCX" w:semiHidden="0" w:uiPriority="32" w:unhideWhenUsed="0" w:qFormat="1"/>
    <w:lsdException w:name="Book Title PHPDOCX" w:semiHidden="0" w:uiPriority="33" w:unhideWhenUsed="0" w:qFormat="1"/>
    <w:lsdException w:name="Bibliography PHPDOCX" w:uiPriority="37"/>
    <w:lsdException w:name="TOC Heading PHPDOCX" w:uiPriority="39" w:qFormat="1"/>
  </w:latentStyles>
  <w:style w:type="paragraph" w:default="1" w:styleId="Normal">
    <w:name w:val="Normal"/>
    <w:qFormat/>
    <w:rsid w:val="000F6147"/>
  </w:style>
  <w:style w:type="paragraph" w:styleId="Heading1PHPDOCX">
    <w:name w:val="Heading 1 PHPDOCX"/>
    <w:basedOn w:val="Normal"/>
    <w:next w:val="Normal"/>
    <w:link w:val="Heading1CarPHPDOCX"/>
    <w:uiPriority w:val="9"/>
    <w:qFormat/>
    <w:rsid w:val="00DF064E"/>
    <w:pPr>
      <w:keepNext/>
      <w:keepLines/>
      <w:spacing w:before="480" w:after="0"/>
      <w:outlineLvl w:val="0"/>
    </w:pPr>
    <w:rPr>
      <w:rFonts w:asciiTheme="majorHAnsi" w:eastAsiaTheme="majorEastAsia" w:hAnsiTheme="majorHAnsi" w:cstheme="majorBidi"/>
      <w:b/>
      <w:bCs/>
      <w:color w:val="365F91" w:themeColor="accent1" w:themeShade="BF"/>
      <w:sz w:val="28"/>
      <w:szCs w:val="28"/>
    </w:rPr>
  </w:style>
  <w:style w:type="paragraph" w:styleId="Heading2PHPDOCX">
    <w:name w:val="Heading 2 PHPDOCX"/>
    <w:basedOn w:val="Normal"/>
    <w:next w:val="Normal"/>
    <w:link w:val="Heading2CarPHPDOCX"/>
    <w:uiPriority w:val="9"/>
    <w:unhideWhenUsed/>
    <w:qFormat/>
    <w:rsid w:val="00DF064E"/>
    <w:pPr>
      <w:keepNext/>
      <w:keepLines/>
      <w:spacing w:before="200" w:after="0"/>
      <w:outlineLvl w:val="1"/>
    </w:pPr>
    <w:rPr>
      <w:rFonts w:asciiTheme="majorHAnsi" w:eastAsiaTheme="majorEastAsia" w:hAnsiTheme="majorHAnsi" w:cstheme="majorBidi"/>
      <w:b/>
      <w:bCs/>
      <w:color w:val="4F81BD" w:themeColor="accent1"/>
      <w:sz w:val="26"/>
      <w:szCs w:val="26"/>
    </w:rPr>
  </w:style>
  <w:style w:type="paragraph" w:styleId="Heading3PHPDOCX">
    <w:name w:val="Heading 3 PHPDOCX"/>
    <w:basedOn w:val="Normal"/>
    <w:next w:val="Normal"/>
    <w:link w:val="Heading3CarPHPDOCX"/>
    <w:uiPriority w:val="9"/>
    <w:unhideWhenUsed/>
    <w:qFormat/>
    <w:rsid w:val="00DF064E"/>
    <w:pPr>
      <w:keepNext/>
      <w:keepLines/>
      <w:spacing w:before="200" w:after="0"/>
      <w:outlineLvl w:val="2"/>
    </w:pPr>
    <w:rPr>
      <w:rFonts w:asciiTheme="majorHAnsi" w:eastAsiaTheme="majorEastAsia" w:hAnsiTheme="majorHAnsi" w:cstheme="majorBidi"/>
      <w:b/>
      <w:bCs/>
      <w:color w:val="4F81BD" w:themeColor="accent1"/>
    </w:rPr>
  </w:style>
  <w:style w:type="paragraph" w:styleId="Heading4PHPDOCX">
    <w:name w:val="Heading 4 PHPDOCX"/>
    <w:basedOn w:val="Normal"/>
    <w:next w:val="Normal"/>
    <w:link w:val="Heading4CarPHPDOCX"/>
    <w:uiPriority w:val="9"/>
    <w:unhideWhenUsed/>
    <w:qFormat/>
    <w:rsid w:val="00DF064E"/>
    <w:pPr>
      <w:keepNext/>
      <w:keepLines/>
      <w:spacing w:before="200" w:after="0"/>
      <w:outlineLvl w:val="3"/>
    </w:pPr>
    <w:rPr>
      <w:rFonts w:asciiTheme="majorHAnsi" w:eastAsiaTheme="majorEastAsia" w:hAnsiTheme="majorHAnsi" w:cstheme="majorBidi"/>
      <w:b/>
      <w:bCs/>
      <w:i/>
      <w:iCs/>
      <w:color w:val="4F81BD" w:themeColor="accent1"/>
    </w:rPr>
  </w:style>
  <w:style w:type="paragraph" w:styleId="Heading5PHPDOCX">
    <w:name w:val="Heading 5 PHPDOCX"/>
    <w:basedOn w:val="Normal"/>
    <w:next w:val="Normal"/>
    <w:link w:val="Heading5CarPHPDOCX"/>
    <w:uiPriority w:val="9"/>
    <w:unhideWhenUsed/>
    <w:qFormat/>
    <w:rsid w:val="00DF064E"/>
    <w:pPr>
      <w:keepNext/>
      <w:keepLines/>
      <w:spacing w:before="200" w:after="0"/>
      <w:outlineLvl w:val="4"/>
    </w:pPr>
    <w:rPr>
      <w:rFonts w:asciiTheme="majorHAnsi" w:eastAsiaTheme="majorEastAsia" w:hAnsiTheme="majorHAnsi" w:cstheme="majorBidi"/>
      <w:color w:val="243F60" w:themeColor="accent1" w:themeShade="7F"/>
    </w:rPr>
  </w:style>
  <w:style w:type="paragraph" w:styleId="Heading6PHPDOCX">
    <w:name w:val="Heading 6 PHPDOCX"/>
    <w:basedOn w:val="Normal"/>
    <w:next w:val="Normal"/>
    <w:link w:val="Heading6CarPHPDOCX"/>
    <w:uiPriority w:val="9"/>
    <w:unhideWhenUsed/>
    <w:qFormat/>
    <w:rsid w:val="00DF064E"/>
    <w:pPr>
      <w:keepNext/>
      <w:keepLines/>
      <w:spacing w:before="200" w:after="0"/>
      <w:outlineLvl w:val="5"/>
    </w:pPr>
    <w:rPr>
      <w:rFonts w:asciiTheme="majorHAnsi" w:eastAsiaTheme="majorEastAsia" w:hAnsiTheme="majorHAnsi" w:cstheme="majorBidi"/>
      <w:i/>
      <w:iCs/>
      <w:color w:val="243F60" w:themeColor="accent1" w:themeShade="7F"/>
    </w:rPr>
  </w:style>
  <w:style w:type="paragraph" w:styleId="Heading7PHPDOCX">
    <w:name w:val="Heading 7 PHPDOCX"/>
    <w:basedOn w:val="Normal"/>
    <w:next w:val="Normal"/>
    <w:link w:val="Heading7CarPHPDOCX"/>
    <w:uiPriority w:val="9"/>
    <w:unhideWhenUsed/>
    <w:qFormat/>
    <w:rsid w:val="00DF064E"/>
    <w:pPr>
      <w:keepNext/>
      <w:keepLines/>
      <w:spacing w:before="200" w:after="0"/>
      <w:outlineLvl w:val="6"/>
    </w:pPr>
    <w:rPr>
      <w:rFonts w:asciiTheme="majorHAnsi" w:eastAsiaTheme="majorEastAsia" w:hAnsiTheme="majorHAnsi" w:cstheme="majorBidi"/>
      <w:i/>
      <w:iCs/>
      <w:color w:val="404040" w:themeColor="text1" w:themeTint="BF"/>
    </w:rPr>
  </w:style>
  <w:style w:type="paragraph" w:styleId="Heading8PHPDOCX">
    <w:name w:val="Heading 8 PHPDOCX"/>
    <w:basedOn w:val="Normal"/>
    <w:next w:val="Normal"/>
    <w:link w:val="Heading8CarPHPDOCX"/>
    <w:uiPriority w:val="9"/>
    <w:semiHidden/>
    <w:unhideWhenUsed/>
    <w:qFormat/>
    <w:rsid w:val="00DF064E"/>
    <w:pPr>
      <w:keepNext/>
      <w:keepLines/>
      <w:spacing w:before="200" w:after="0"/>
      <w:outlineLvl w:val="7"/>
    </w:pPr>
    <w:rPr>
      <w:rFonts w:asciiTheme="majorHAnsi" w:eastAsiaTheme="majorEastAsia" w:hAnsiTheme="majorHAnsi" w:cstheme="majorBidi"/>
      <w:color w:val="404040" w:themeColor="text1" w:themeTint="BF"/>
      <w:sz w:val="20"/>
      <w:szCs w:val="20"/>
    </w:rPr>
  </w:style>
  <w:style w:type="paragraph" w:styleId="Heading9PHPDOCX">
    <w:name w:val="Heading 9 PHPDOCX"/>
    <w:basedOn w:val="Normal"/>
    <w:next w:val="Normal"/>
    <w:link w:val="Heading9CarPHPDOCX"/>
    <w:uiPriority w:val="9"/>
    <w:semiHidden/>
    <w:unhideWhenUsed/>
    <w:qFormat/>
    <w:rsid w:val="00DF064E"/>
    <w:pPr>
      <w:keepNext/>
      <w:keepLines/>
      <w:spacing w:before="200" w:after="0"/>
      <w:outlineLvl w:val="8"/>
    </w:pPr>
    <w:rPr>
      <w:rFonts w:asciiTheme="majorHAnsi" w:eastAsiaTheme="majorEastAsia" w:hAnsiTheme="majorHAnsi" w:cstheme="majorBidi"/>
      <w:i/>
      <w:iCs/>
      <w:color w:val="404040" w:themeColor="text1" w:themeTint="BF"/>
      <w:sz w:val="20"/>
      <w:szCs w:val="20"/>
    </w:rPr>
  </w:style>
  <w:style w:type="character" w:styleId="CommentReferencePHPDOCX">
    <w:name w:val="annotation reference PHPDOCX"/>
    <w:basedOn w:val="DefaultParagraphFontPHPDOCX"/>
    <w:uiPriority w:val="99"/>
    <w:semiHidden/>
    <w:unhideWhenUsed/>
    <w:rsid w:val="00E139EA"/>
    <w:rPr>
      <w:sz w:val="16"/>
      <w:szCs w:val="16"/>
    </w:rPr>
  </w:style>
  <w:style w:type="paragraph" w:styleId="CommentTextPHPDOCX">
    <w:name w:val="annotation text PHPDOCX"/>
    <w:basedOn w:val="Normal"/>
    <w:link w:val="CommentTextCharPHPDOCX"/>
    <w:uiPriority w:val="99"/>
    <w:semiHidden/>
    <w:unhideWhenUsed/>
    <w:rsid w:val="00E139EA"/>
    <w:pPr>
      <w:spacing w:line="240" w:lineRule="auto"/>
    </w:pPr>
    <w:rPr>
      <w:sz w:val="20"/>
      <w:szCs w:val="20"/>
    </w:rPr>
  </w:style>
  <w:style w:type="character" w:customStyle="1" w:styleId="CommentTextCharPHPDOCX">
    <w:name w:val="Comment Text Char PHPDOCX"/>
    <w:basedOn w:val="DefaultParagraphFontPHPDOCX"/>
    <w:link w:val="CommentTextPHPDOCX"/>
    <w:uiPriority w:val="99"/>
    <w:semiHidden/>
    <w:rsid w:val="00E139EA"/>
    <w:rPr>
      <w:sz w:val="20"/>
      <w:szCs w:val="20"/>
    </w:rPr>
  </w:style>
  <w:style w:type="paragraph" w:styleId="CommentSubjectPHPDOCX">
    <w:name w:val="annotation subject PHPDOCX"/>
    <w:basedOn w:val="CommentTextPHPDOCX"/>
    <w:next w:val="CommentTextPHPDOCX"/>
    <w:link w:val="CommentSubjectCharPHPDOCX"/>
    <w:uiPriority w:val="99"/>
    <w:semiHidden/>
    <w:unhideWhenUsed/>
    <w:rsid w:val="00E139EA"/>
    <w:rPr>
      <w:b/>
      <w:bCs/>
    </w:rPr>
  </w:style>
  <w:style w:type="character" w:customStyle="1" w:styleId="CommentSubjectCharPHPDOCX">
    <w:name w:val="Comment Subject Char PHPDOCX"/>
    <w:basedOn w:val="CommentTextCharPHPDOCX"/>
    <w:link w:val="CommentSubjectPHPDOCX"/>
    <w:uiPriority w:val="99"/>
    <w:semiHidden/>
    <w:rsid w:val="00E139EA"/>
    <w:rPr>
      <w:b/>
      <w:bCs/>
      <w:sz w:val="20"/>
      <w:szCs w:val="20"/>
    </w:rPr>
  </w:style>
  <w:style w:type="paragraph" w:styleId="BalloonTextPHPDOCX">
    <w:name w:val="Balloon Text PHPDOCX"/>
    <w:basedOn w:val="Normal"/>
    <w:link w:val="BalloonTextCharPHPDOCX"/>
    <w:uiPriority w:val="99"/>
    <w:semiHidden/>
    <w:unhideWhenUsed/>
    <w:rsid w:val="00E139EA"/>
    <w:pPr>
      <w:spacing w:after="0" w:line="240" w:lineRule="auto"/>
    </w:pPr>
    <w:rPr>
      <w:rFonts w:ascii="Tahoma" w:hAnsi="Tahoma" w:cs="Tahoma"/>
      <w:sz w:val="16"/>
      <w:szCs w:val="16"/>
    </w:rPr>
  </w:style>
  <w:style w:type="character" w:customStyle="1" w:styleId="BalloonTextCharPHPDOCX">
    <w:name w:val="Balloon Text Char PHPDOCX"/>
    <w:basedOn w:val="DefaultParagraphFontPHPDOCX"/>
    <w:link w:val="BalloonTextPHPDOCX"/>
    <w:uiPriority w:val="99"/>
    <w:semiHidden/>
    <w:rsid w:val="00E139EA"/>
    <w:rPr>
      <w:rFonts w:ascii="Tahoma" w:hAnsi="Tahoma" w:cs="Tahoma"/>
      <w:sz w:val="16"/>
      <w:szCs w:val="16"/>
    </w:rPr>
  </w:style>
  <w:style w:type="paragraph" w:styleId="footnoteTextPHPDOCX">
    <w:name w:val="footnote Text PHPDOCX"/>
    <w:basedOn w:val="Normal"/>
    <w:link w:val="footnoteTextCarPHPDOCX"/>
    <w:uiPriority w:val="99"/>
    <w:semiHidden/>
    <w:unhideWhenUsed/>
    <w:rsid w:val="006E0FDA"/>
    <w:pPr>
      <w:spacing w:after="0" w:line="240" w:lineRule="auto"/>
    </w:pPr>
    <w:rPr>
      <w:sz w:val="20"/>
      <w:szCs w:val="20"/>
    </w:rPr>
  </w:style>
  <w:style w:type="character" w:customStyle="1" w:styleId="footnoteTextCarPHPDOCX">
    <w:name w:val="footnote text Car PHPDOCX"/>
    <w:basedOn w:val="DefaultParagraphFontPHPDOCX"/>
    <w:link w:val="footnoteTextPHPDOCX"/>
    <w:uiPriority w:val="99"/>
    <w:semiHidden/>
    <w:rsid w:val="006E0FDA"/>
    <w:rPr>
      <w:sz w:val="20"/>
      <w:szCs w:val="20"/>
    </w:rPr>
  </w:style>
  <w:style w:type="character" w:styleId="footnoteReferencePHPDOCX">
    <w:name w:val="footnote Reference PHPDOCX"/>
    <w:basedOn w:val="DefaultParagraphFontPHPDOCX"/>
    <w:uiPriority w:val="99"/>
    <w:semiHidden/>
    <w:unhideWhenUsed/>
    <w:rsid w:val="006E0FDA"/>
    <w:rPr>
      <w:vertAlign w:val="superscript"/>
    </w:rPr>
  </w:style>
  <w:style w:type="paragraph" w:styleId="endnoteTextPHPDOCX">
    <w:name w:val="endnote Text PHPDOCX"/>
    <w:basedOn w:val="Normal"/>
    <w:link w:val="endnoteTextCarPHPDOCX"/>
    <w:uiPriority w:val="99"/>
    <w:semiHidden/>
    <w:unhideWhenUsed/>
    <w:rsid w:val="006E0FDA"/>
    <w:pPr>
      <w:spacing w:after="0" w:line="240" w:lineRule="auto"/>
    </w:pPr>
    <w:rPr>
      <w:sz w:val="20"/>
      <w:szCs w:val="20"/>
    </w:rPr>
  </w:style>
  <w:style w:type="character" w:customStyle="1" w:styleId="endnoteTextCarPHPDOCX">
    <w:name w:val="endnote text Car PHPDOCX"/>
    <w:basedOn w:val="DefaultParagraphFontPHPDOCX"/>
    <w:link w:val="endnoteTextPHPDOCX"/>
    <w:uiPriority w:val="99"/>
    <w:semiHidden/>
    <w:rsid w:val="006E0FDA"/>
    <w:rPr>
      <w:sz w:val="20"/>
      <w:szCs w:val="20"/>
    </w:rPr>
  </w:style>
  <w:style w:type="character" w:styleId="endnoteReferencePHPDOCX">
    <w:name w:val="endnote Reference PHPDOCX"/>
    <w:basedOn w:val="DefaultParagraphFontPHPDOCX"/>
    <w:uiPriority w:val="99"/>
    <w:semiHidden/>
    <w:unhideWhenUsed/>
    <w:rsid w:val="006E0FDA"/>
    <w:rPr>
      <w:vertAlign w:val="superscript"/>
    </w:rPr>
  </w:style>
  <w:style w:type="character" w:default="1" w:styleId="DefaultParagraphFontPHPDOCX">
    <w:name w:val="Default Paragraph Font PHPDOCX"/>
    <w:uiPriority w:val="1"/>
    <w:semiHidden/>
    <w:unhideWhenUsed/>
  </w:style>
  <w:style w:type="numbering" w:default="1" w:styleId="NoListPHPDOCX">
    <w:name w:val="No List PHPDOCX"/>
    <w:uiPriority w:val="99"/>
    <w:semiHidden/>
    <w:unhideWhenUsed/>
  </w:style>
  <w:style w:type="character" w:customStyle="1" w:styleId="Heading1CarPHPDOCX">
    <w:name w:val="Heading 1 Car PHPDOCX"/>
    <w:basedOn w:val="DefaultParagraphFontPHPDOCX"/>
    <w:link w:val="Heading1PHPDOCX"/>
    <w:uiPriority w:val="9"/>
    <w:rsid w:val="00DF064E"/>
    <w:rPr>
      <w:rFonts w:asciiTheme="majorHAnsi" w:eastAsiaTheme="majorEastAsia" w:hAnsiTheme="majorHAnsi" w:cstheme="majorBidi"/>
      <w:b/>
      <w:bCs/>
      <w:color w:val="365F91" w:themeColor="accent1" w:themeShade="BF"/>
      <w:sz w:val="28"/>
      <w:szCs w:val="28"/>
    </w:rPr>
  </w:style>
  <w:style w:type="character" w:customStyle="1" w:styleId="Heading2CarPHPDOCX">
    <w:name w:val="Heading 2 Car PHPDOCX"/>
    <w:basedOn w:val="DefaultParagraphFontPHPDOCX"/>
    <w:link w:val="Heading2PHPDOCX"/>
    <w:uiPriority w:val="9"/>
    <w:rsid w:val="00DF064E"/>
    <w:rPr>
      <w:rFonts w:asciiTheme="majorHAnsi" w:eastAsiaTheme="majorEastAsia" w:hAnsiTheme="majorHAnsi" w:cstheme="majorBidi"/>
      <w:b/>
      <w:bCs/>
      <w:color w:val="4F81BD" w:themeColor="accent1"/>
      <w:sz w:val="26"/>
      <w:szCs w:val="26"/>
    </w:rPr>
  </w:style>
  <w:style w:type="character" w:customStyle="1" w:styleId="Heading3CarPHPDOCX">
    <w:name w:val="Heading 3 Car PHPDOCX"/>
    <w:basedOn w:val="DefaultParagraphFontPHPDOCX"/>
    <w:link w:val="Heading3PHPDOCX"/>
    <w:uiPriority w:val="9"/>
    <w:rsid w:val="00DF064E"/>
    <w:rPr>
      <w:rFonts w:asciiTheme="majorHAnsi" w:eastAsiaTheme="majorEastAsia" w:hAnsiTheme="majorHAnsi" w:cstheme="majorBidi"/>
      <w:b/>
      <w:bCs/>
      <w:color w:val="4F81BD" w:themeColor="accent1"/>
    </w:rPr>
  </w:style>
  <w:style w:type="character" w:customStyle="1" w:styleId="Heading4CarPHPDOCX">
    <w:name w:val="Heading 4 Car PHPDOCX"/>
    <w:basedOn w:val="DefaultParagraphFontPHPDOCX"/>
    <w:link w:val="Heading4PHPDOCX"/>
    <w:uiPriority w:val="9"/>
    <w:rsid w:val="00DF064E"/>
    <w:rPr>
      <w:rFonts w:asciiTheme="majorHAnsi" w:eastAsiaTheme="majorEastAsia" w:hAnsiTheme="majorHAnsi" w:cstheme="majorBidi"/>
      <w:b/>
      <w:bCs/>
      <w:i/>
      <w:iCs/>
      <w:color w:val="4F81BD" w:themeColor="accent1"/>
    </w:rPr>
  </w:style>
  <w:style w:type="character" w:customStyle="1" w:styleId="Heading5CarPHPDOCX">
    <w:name w:val="Heading 5 Car PHPDOCX"/>
    <w:basedOn w:val="DefaultParagraphFontPHPDOCX"/>
    <w:link w:val="Heading5PHPDOCX"/>
    <w:uiPriority w:val="9"/>
    <w:rsid w:val="00DF064E"/>
    <w:rPr>
      <w:rFonts w:asciiTheme="majorHAnsi" w:eastAsiaTheme="majorEastAsia" w:hAnsiTheme="majorHAnsi" w:cstheme="majorBidi"/>
      <w:color w:val="243F60" w:themeColor="accent1" w:themeShade="7F"/>
    </w:rPr>
  </w:style>
  <w:style w:type="character" w:customStyle="1" w:styleId="Heading6CarPHPDOCX">
    <w:name w:val="Heading 6 Car PHPDOCX"/>
    <w:basedOn w:val="DefaultParagraphFontPHPDOCX"/>
    <w:link w:val="Heading6PHPDOCX"/>
    <w:uiPriority w:val="9"/>
    <w:rsid w:val="00DF064E"/>
    <w:rPr>
      <w:rFonts w:asciiTheme="majorHAnsi" w:eastAsiaTheme="majorEastAsia" w:hAnsiTheme="majorHAnsi" w:cstheme="majorBidi"/>
      <w:i/>
      <w:iCs/>
      <w:color w:val="243F60" w:themeColor="accent1" w:themeShade="7F"/>
    </w:rPr>
  </w:style>
  <w:style w:type="character" w:customStyle="1" w:styleId="Heading7CarPHPDOCX">
    <w:name w:val="Heading 7 Car PHPDOCX"/>
    <w:basedOn w:val="DefaultParagraphFontPHPDOCX"/>
    <w:link w:val="Heading7PHPDOCX"/>
    <w:uiPriority w:val="9"/>
    <w:rsid w:val="00DF064E"/>
    <w:rPr>
      <w:rFonts w:asciiTheme="majorHAnsi" w:eastAsiaTheme="majorEastAsia" w:hAnsiTheme="majorHAnsi" w:cstheme="majorBidi"/>
      <w:i/>
      <w:iCs/>
      <w:color w:val="404040" w:themeColor="text1" w:themeTint="BF"/>
    </w:rPr>
  </w:style>
  <w:style w:type="paragraph" w:styleId="TitlePHPDOCX">
    <w:name w:val="Title PHPDOCX"/>
    <w:basedOn w:val="Normal"/>
    <w:next w:val="Normal"/>
    <w:link w:val="TitleCarPHPDOCX"/>
    <w:uiPriority w:val="10"/>
    <w:qFormat/>
    <w:rsid w:val="00DF064E"/>
    <w:pPr>
      <w:pBdr>
        <w:bottom w:val="single" w:sz="8" w:space="4" w:color="4F81BD" w:themeColor="accent1"/>
      </w:pBdr>
      <w:spacing w:after="300" w:line="240" w:lineRule="auto"/>
      <w:contextualSpacing/>
    </w:pPr>
    <w:rPr>
      <w:rFonts w:asciiTheme="majorHAnsi" w:eastAsiaTheme="majorEastAsia" w:hAnsiTheme="majorHAnsi" w:cstheme="majorBidi"/>
      <w:color w:val="17365D" w:themeColor="text2" w:themeShade="BF"/>
      <w:spacing w:val="5"/>
      <w:kern w:val="28"/>
      <w:sz w:val="52"/>
      <w:szCs w:val="52"/>
    </w:rPr>
  </w:style>
  <w:style w:type="character" w:customStyle="1" w:styleId="TitleCarPHPDOCX">
    <w:name w:val="Title Car PHPDOCX"/>
    <w:basedOn w:val="DefaultParagraphFontPHPDOCX"/>
    <w:link w:val="TitlePHPDOCX"/>
    <w:uiPriority w:val="10"/>
    <w:rsid w:val="00DF064E"/>
    <w:rPr>
      <w:rFonts w:asciiTheme="majorHAnsi" w:eastAsiaTheme="majorEastAsia" w:hAnsiTheme="majorHAnsi" w:cstheme="majorBidi"/>
      <w:color w:val="17365D" w:themeColor="text2" w:themeShade="BF"/>
      <w:spacing w:val="5"/>
      <w:kern w:val="28"/>
      <w:sz w:val="52"/>
      <w:szCs w:val="52"/>
    </w:rPr>
  </w:style>
  <w:style w:type="paragraph" w:styleId="SubtitlePHPDOCX">
    <w:name w:val="Subtitle PHPDOCX"/>
    <w:basedOn w:val="Normal"/>
    <w:next w:val="Normal"/>
    <w:link w:val="SubtitleCarPHPDOCX"/>
    <w:uiPriority w:val="11"/>
    <w:qFormat/>
    <w:rsid w:val="00DF064E"/>
    <w:pPr>
      <w:numPr>
        <w:ilvl w:val="1"/>
      </w:numPr>
    </w:pPr>
    <w:rPr>
      <w:rFonts w:asciiTheme="majorHAnsi" w:eastAsiaTheme="majorEastAsia" w:hAnsiTheme="majorHAnsi" w:cstheme="majorBidi"/>
      <w:i/>
      <w:iCs/>
      <w:color w:val="4F81BD" w:themeColor="accent1"/>
      <w:spacing w:val="15"/>
      <w:sz w:val="24"/>
      <w:szCs w:val="24"/>
    </w:rPr>
  </w:style>
  <w:style w:type="character" w:customStyle="1" w:styleId="SubtitleCarPHPDOCX">
    <w:name w:val="Subtitle Car PHPDOCX"/>
    <w:basedOn w:val="DefaultParagraphFontPHPDOCX"/>
    <w:link w:val="SubtitlePHPDOCX"/>
    <w:uiPriority w:val="11"/>
    <w:rsid w:val="00DF064E"/>
    <w:rPr>
      <w:rFonts w:asciiTheme="majorHAnsi" w:eastAsiaTheme="majorEastAsia" w:hAnsiTheme="majorHAnsi" w:cstheme="majorBidi"/>
      <w:i/>
      <w:iCs/>
      <w:color w:val="4F81BD" w:themeColor="accent1"/>
      <w:spacing w:val="15"/>
      <w:sz w:val="24"/>
      <w:szCs w:val="24"/>
    </w:rPr>
  </w:style>
  <w:style w:type="character" w:styleId="SubtleEmphasisPHPDOCX">
    <w:name w:val="Subtle Emphasis PHPDOCX"/>
    <w:basedOn w:val="DefaultParagraphFontPHPDOCX"/>
    <w:uiPriority w:val="19"/>
    <w:qFormat/>
    <w:rsid w:val="00DF064E"/>
    <w:rPr>
      <w:i/>
      <w:iCs/>
      <w:color w:val="808080" w:themeColor="text1" w:themeTint="7F"/>
    </w:rPr>
  </w:style>
  <w:style w:type="character" w:styleId="EmphasisPHPDOCX">
    <w:name w:val="Emphasis PHPDOCX"/>
    <w:basedOn w:val="DefaultParagraphFontPHPDOCX"/>
    <w:uiPriority w:val="20"/>
    <w:qFormat/>
    <w:rsid w:val="00DF064E"/>
    <w:rPr>
      <w:i/>
      <w:iCs/>
    </w:rPr>
  </w:style>
  <w:style w:type="character" w:styleId="IntenseEmphasisPHPDOCX">
    <w:name w:val="Intense Emphasis PHPDOCX"/>
    <w:basedOn w:val="DefaultParagraphFontPHPDOCX"/>
    <w:uiPriority w:val="21"/>
    <w:qFormat/>
    <w:rsid w:val="00DF064E"/>
    <w:rPr>
      <w:b/>
      <w:bCs/>
      <w:i/>
      <w:iCs/>
      <w:color w:val="4F81BD" w:themeColor="accent1"/>
    </w:rPr>
  </w:style>
  <w:style w:type="character" w:styleId="Strong PHPDOCX">
    <w:name w:val="Strong PHPDOCX"/>
    <w:basedOn w:val="DefaultParagraphFontPHPDOCX"/>
    <w:uiPriority w:val="22"/>
    <w:qFormat/>
    <w:rsid w:val="00DF064E"/>
    <w:rPr>
      <w:b/>
      <w:bCs/>
    </w:rPr>
  </w:style>
  <w:style w:type="paragraph" w:styleId="QuotePHPDOCX">
    <w:name w:val="Quote PHPDOCX"/>
    <w:basedOn w:val="Normal"/>
    <w:next w:val="Normal"/>
    <w:link w:val="QuoteCarPHPDOCX"/>
    <w:uiPriority w:val="29"/>
    <w:qFormat/>
    <w:rsid w:val="00DF064E"/>
    <w:rPr>
      <w:i/>
      <w:iCs/>
      <w:color w:val="000000" w:themeColor="text1"/>
    </w:rPr>
  </w:style>
  <w:style w:type="character" w:customStyle="1" w:styleId="QuoteCarPHPDOCX">
    <w:name w:val="Quote Car PHPDOCX"/>
    <w:basedOn w:val="DefaultParagraphFontPHPDOCX"/>
    <w:link w:val="QuotePHPDOCX"/>
    <w:uiPriority w:val="29"/>
    <w:rsid w:val="00DF064E"/>
    <w:rPr>
      <w:i/>
      <w:iCs/>
      <w:color w:val="000000" w:themeColor="text1"/>
    </w:rPr>
  </w:style>
  <w:style w:type="paragraph" w:styleId="IntenseQuotePHPDOCX">
    <w:name w:val="Intense Quote PHPDOCX"/>
    <w:basedOn w:val="Normal"/>
    <w:next w:val="Normal"/>
    <w:link w:val="IntenseQuoteCarPHPDOCX"/>
    <w:uiPriority w:val="30"/>
    <w:qFormat/>
    <w:rsid w:val="00DF064E"/>
    <w:pPr>
      <w:pBdr>
        <w:bottom w:val="single" w:sz="4" w:space="4" w:color="4F81BD" w:themeColor="accent1"/>
      </w:pBdr>
      <w:spacing w:before="200" w:after="280"/>
      <w:ind w:left="936" w:right="936"/>
    </w:pPr>
    <w:rPr>
      <w:b/>
      <w:bCs/>
      <w:i/>
      <w:iCs/>
      <w:color w:val="4F81BD" w:themeColor="accent1"/>
    </w:rPr>
  </w:style>
  <w:style w:type="character" w:customStyle="1" w:styleId="IntenseQuoteCarPHPDOCX">
    <w:name w:val="Intense Quote Car PHPDOCX"/>
    <w:basedOn w:val="DefaultParagraphFontPHPDOCX"/>
    <w:link w:val="IntenseQuotePHPDOCX"/>
    <w:uiPriority w:val="30"/>
    <w:rsid w:val="00DF064E"/>
    <w:rPr>
      <w:b/>
      <w:bCs/>
      <w:i/>
      <w:iCs/>
      <w:color w:val="4F81BD" w:themeColor="accent1"/>
    </w:rPr>
  </w:style>
  <w:style w:type="character" w:styleId="SubtleReferencePHPDOCX">
    <w:name w:val="Subtle Reference PHPDOCX"/>
    <w:basedOn w:val="DefaultParagraphFontPHPDOCX"/>
    <w:uiPriority w:val="31"/>
    <w:qFormat/>
    <w:rsid w:val="00DF064E"/>
    <w:rPr>
      <w:smallCaps/>
      <w:color w:val="C0504D" w:themeColor="accent2"/>
      <w:u w:val="single"/>
    </w:rPr>
  </w:style>
  <w:style w:type="character" w:styleId="IntenseReferencePHPDOCX">
    <w:name w:val="Intense Reference PHPDOCX"/>
    <w:basedOn w:val="DefaultParagraphFontPHPDOCX"/>
    <w:uiPriority w:val="32"/>
    <w:qFormat/>
    <w:rsid w:val="00DF064E"/>
    <w:rPr>
      <w:b/>
      <w:bCs/>
      <w:smallCaps/>
      <w:color w:val="C0504D" w:themeColor="accent2"/>
      <w:spacing w:val="5"/>
      <w:u w:val="single"/>
    </w:rPr>
  </w:style>
  <w:style w:type="character" w:styleId="BookTitlePHPDOCX">
    <w:name w:val="Book Title PHPDOCX"/>
    <w:basedOn w:val="DefaultParagraphFontPHPDOCX"/>
    <w:uiPriority w:val="33"/>
    <w:qFormat/>
    <w:rsid w:val="00DF064E"/>
    <w:rPr>
      <w:b/>
      <w:bCs/>
      <w:smallCaps/>
      <w:spacing w:val="5"/>
    </w:rPr>
  </w:style>
  <w:style w:type="paragraph" w:styleId="ListParagraphPHPDOCX">
    <w:name w:val="List Paragraph PHPDOCX"/>
    <w:basedOn w:val="Normal"/>
    <w:uiPriority w:val="34"/>
    <w:qFormat/>
    <w:rsid w:val="00DF064E"/>
    <w:pPr>
      <w:ind w:left="720"/>
      <w:contextualSpacing/>
    </w:pPr>
  </w:style>
  <w:style w:type="paragraph" w:styleId="NoSpacingPHPDOCX">
    <w:name w:val="No Spacing PHPDOCX"/>
    <w:uiPriority w:val="1"/>
    <w:qFormat/>
    <w:rsid w:val="00DF064E"/>
    <w:pPr>
      <w:spacing w:after="0" w:line="240" w:lineRule="auto"/>
    </w:pPr>
  </w:style>
  <w:style w:type="character" w:customStyle="1" w:styleId="Heading8CarPHPDOCX">
    <w:name w:val="Heading 8 Car PHPDOCX"/>
    <w:basedOn w:val="DefaultParagraphFontPHPDOCX"/>
    <w:link w:val="Heading8PHPDOCX"/>
    <w:uiPriority w:val="9"/>
    <w:semiHidden/>
    <w:rsid w:val="00DF064E"/>
    <w:rPr>
      <w:rFonts w:asciiTheme="majorHAnsi" w:eastAsiaTheme="majorEastAsia" w:hAnsiTheme="majorHAnsi" w:cstheme="majorBidi"/>
      <w:color w:val="404040" w:themeColor="text1" w:themeTint="BF"/>
      <w:sz w:val="20"/>
      <w:szCs w:val="20"/>
    </w:rPr>
  </w:style>
  <w:style w:type="character" w:customStyle="1" w:styleId="Heading9CarPHPDOCX">
    <w:name w:val="Heading 9 Car PHPDOCX"/>
    <w:basedOn w:val="DefaultParagraphFontPHPDOCX"/>
    <w:link w:val="Heading9PHPDOCX"/>
    <w:uiPriority w:val="9"/>
    <w:semiHidden/>
    <w:rsid w:val="00DF064E"/>
    <w:rPr>
      <w:rFonts w:asciiTheme="majorHAnsi" w:eastAsiaTheme="majorEastAsia" w:hAnsiTheme="majorHAnsi" w:cstheme="majorBidi"/>
      <w:i/>
      <w:iCs/>
      <w:color w:val="404040" w:themeColor="text1" w:themeTint="BF"/>
      <w:sz w:val="20"/>
      <w:szCs w:val="20"/>
    </w:rPr>
  </w:style>
  <w:style w:type="table" w:default="1" w:styleId="NormalTablePHPDOCX">
    <w:name w:val="Normal Table PHPDOCX"/>
    <w:uiPriority w:val="99"/>
    <w:semiHidden/>
    <w:unhideWhenUsed/>
    <w:qFormat/>
    <w:tblPr>
      <w:tblInd w:w="0" w:type="dxa"/>
      <w:tblCellMar>
        <w:top w:w="0" w:type="dxa"/>
        <w:left w:w="108" w:type="dxa"/>
        <w:bottom w:w="0" w:type="dxa"/>
        <w:right w:w="108" w:type="dxa"/>
      </w:tblCellMar>
    </w:tblPr>
  </w:style>
  <w:style w:type="table" w:styleId="PlainTablePHPDOCX">
    <w:name w:val="Plain Table PHPDOCX"/>
    <w:uiPriority w:val="58"/>
    <w:pPr>
      <w:spacing w:after="0" w:line="240" w:lineRule="auto"/>
    </w:pPr>
    <w:tblPr>
      <w:tblInd w:w="0" w:type="dxa"/>
      <w:tblCellMar>
        <w:top w:w="0" w:type="dxa"/>
        <w:left w:w="108" w:type="dxa"/>
        <w:bottom w:w="0" w:type="dxa"/>
        <w:right w:w="108" w:type="dxa"/>
      </w:tblCellMar>
    </w:tblPr>
  </w:style>
  <w:style w:type="table" w:styleId="TableGridPHPDOCX">
    <w:name w:val="Table Grid PHPDOCX"/>
    <w:uiPriority w:val="59"/>
    <w:rsid w:val="00493A0C"/>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LightShadingPHPDOCX">
    <w:name w:val="Light Shading PHPDOCX"/>
    <w:uiPriority w:val="60"/>
    <w:rsid w:val="00493A0C"/>
    <w:pPr>
      <w:spacing w:after="0" w:line="240" w:lineRule="auto"/>
    </w:pPr>
    <w:rPr>
      <w:color w:val="000000" w:themeColor="text1" w:themeShade="BF"/>
    </w:rPr>
    <w:tblPr>
      <w:tblStyleRowBandSize w:val="1"/>
      <w:tblStyleColBandSize w:val="1"/>
      <w:tblInd w:w="0" w:type="dxa"/>
      <w:tblBorders>
        <w:top w:val="single" w:sz="8" w:space="0" w:color="000000" w:themeColor="text1"/>
        <w:bottom w:val="single" w:sz="8" w:space="0" w:color="000000" w:themeColor="text1"/>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la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left w:val="nil"/>
          <w:right w:val="nil"/>
          <w:insideH w:val="nil"/>
          <w:insideV w:val="nil"/>
        </w:tcBorders>
        <w:shd w:val="clear" w:color="auto" w:fill="C0C0C0" w:themeFill="text1" w:themeFillTint="3F"/>
      </w:tcPr>
    </w:tblStylePr>
  </w:style>
  <w:style w:type="table" w:customStyle="1" w:styleId="LightShadingAccent1PHPDOCX">
    <w:name w:val="Light Shading Accent 1 PHPDOCX"/>
    <w:uiPriority w:val="60"/>
    <w:rsid w:val="00493A0C"/>
    <w:pPr>
      <w:spacing w:after="0" w:line="240" w:lineRule="auto"/>
    </w:pPr>
    <w:rPr>
      <w:color w:val="365F91" w:themeColor="accent1" w:themeShade="BF"/>
    </w:rPr>
    <w:tblPr>
      <w:tblStyleRowBandSize w:val="1"/>
      <w:tblStyleColBandSize w:val="1"/>
      <w:tblInd w:w="0" w:type="dxa"/>
      <w:tblBorders>
        <w:top w:val="single" w:sz="8" w:space="0" w:color="4F81BD" w:themeColor="accent1"/>
        <w:bottom w:val="single" w:sz="8" w:space="0" w:color="4F81BD" w:themeColor="accent1"/>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4F81BD" w:themeColor="accent1"/>
          <w:left w:val="nil"/>
          <w:bottom w:val="single" w:sz="8" w:space="0" w:color="4F81BD" w:themeColor="accent1"/>
          <w:right w:val="nil"/>
          <w:insideH w:val="nil"/>
          <w:insideV w:val="nil"/>
        </w:tcBorders>
      </w:tcPr>
    </w:tblStylePr>
    <w:tblStylePr w:type="lastRow">
      <w:pPr>
        <w:spacing w:before="0" w:after="0" w:line="240" w:lineRule="auto"/>
      </w:pPr>
      <w:rPr>
        <w:b/>
        <w:bCs/>
      </w:rPr>
      <w:tblPr/>
      <w:tcPr>
        <w:tcBorders>
          <w:top w:val="single" w:sz="8" w:space="0" w:color="4F81BD" w:themeColor="accent1"/>
          <w:left w:val="nil"/>
          <w:bottom w:val="single" w:sz="8" w:space="0" w:color="4F81BD" w:themeColor="accen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3DFEE" w:themeFill="accent1" w:themeFillTint="3F"/>
      </w:tcPr>
    </w:tblStylePr>
    <w:tblStylePr w:type="band1Horz">
      <w:tblPr/>
      <w:tcPr>
        <w:tcBorders>
          <w:left w:val="nil"/>
          <w:right w:val="nil"/>
          <w:insideH w:val="nil"/>
          <w:insideV w:val="nil"/>
        </w:tcBorders>
        <w:shd w:val="clear" w:color="auto" w:fill="D3DFEE" w:themeFill="accent1" w:themeFillTint="3F"/>
      </w:tcPr>
    </w:tblStylePr>
  </w:style>
  <w:style w:type="table" w:styleId="LightShadingAccent2PHPDOCX">
    <w:name w:val="Light Shading Accent 2 PHPDOCX"/>
    <w:uiPriority w:val="60"/>
    <w:rsid w:val="00493A0C"/>
    <w:pPr>
      <w:spacing w:after="0" w:line="240" w:lineRule="auto"/>
    </w:pPr>
    <w:rPr>
      <w:color w:val="943634" w:themeColor="accent2" w:themeShade="BF"/>
    </w:rPr>
    <w:tblPr>
      <w:tblStyleRowBandSize w:val="1"/>
      <w:tblStyleColBandSize w:val="1"/>
      <w:tblInd w:w="0" w:type="dxa"/>
      <w:tblBorders>
        <w:top w:val="single" w:sz="8" w:space="0" w:color="C0504D" w:themeColor="accent2"/>
        <w:bottom w:val="single" w:sz="8" w:space="0" w:color="C0504D" w:themeColor="accent2"/>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C0504D" w:themeColor="accent2"/>
          <w:left w:val="nil"/>
          <w:bottom w:val="single" w:sz="8" w:space="0" w:color="C0504D" w:themeColor="accent2"/>
          <w:right w:val="nil"/>
          <w:insideH w:val="nil"/>
          <w:insideV w:val="nil"/>
        </w:tcBorders>
      </w:tcPr>
    </w:tblStylePr>
    <w:tblStylePr w:type="lastRow">
      <w:pPr>
        <w:spacing w:before="0" w:after="0" w:line="240" w:lineRule="auto"/>
      </w:pPr>
      <w:rPr>
        <w:b/>
        <w:bCs/>
      </w:rPr>
      <w:tblPr/>
      <w:tcPr>
        <w:tcBorders>
          <w:top w:val="single" w:sz="8" w:space="0" w:color="C0504D" w:themeColor="accent2"/>
          <w:left w:val="nil"/>
          <w:bottom w:val="single" w:sz="8" w:space="0" w:color="C0504D" w:themeColor="accent2"/>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EFD3D2" w:themeFill="accent2" w:themeFillTint="3F"/>
      </w:tcPr>
    </w:tblStylePr>
    <w:tblStylePr w:type="band1Horz">
      <w:tblPr/>
      <w:tcPr>
        <w:tcBorders>
          <w:left w:val="nil"/>
          <w:right w:val="nil"/>
          <w:insideH w:val="nil"/>
          <w:insideV w:val="nil"/>
        </w:tcBorders>
        <w:shd w:val="clear" w:color="auto" w:fill="EFD3D2" w:themeFill="accent2" w:themeFillTint="3F"/>
      </w:tcPr>
    </w:tblStylePr>
  </w:style>
  <w:style w:type="table" w:styleId="LightShadingAccent3PHPDOCX">
    <w:name w:val="Light Shading Accent 3 PHPDOCX"/>
    <w:uiPriority w:val="60"/>
    <w:rsid w:val="00493A0C"/>
    <w:pPr>
      <w:spacing w:after="0" w:line="240" w:lineRule="auto"/>
    </w:pPr>
    <w:rPr>
      <w:color w:val="76923C" w:themeColor="accent3" w:themeShade="BF"/>
    </w:rPr>
    <w:tblPr>
      <w:tblStyleRowBandSize w:val="1"/>
      <w:tblStyleColBandSize w:val="1"/>
      <w:tblInd w:w="0" w:type="dxa"/>
      <w:tblBorders>
        <w:top w:val="single" w:sz="8" w:space="0" w:color="9BBB59" w:themeColor="accent3"/>
        <w:bottom w:val="single" w:sz="8" w:space="0" w:color="9BBB59" w:themeColor="accent3"/>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9BBB59" w:themeColor="accent3"/>
          <w:left w:val="nil"/>
          <w:bottom w:val="single" w:sz="8" w:space="0" w:color="9BBB59" w:themeColor="accent3"/>
          <w:right w:val="nil"/>
          <w:insideH w:val="nil"/>
          <w:insideV w:val="nil"/>
        </w:tcBorders>
      </w:tcPr>
    </w:tblStylePr>
    <w:tblStylePr w:type="lastRow">
      <w:pPr>
        <w:spacing w:before="0" w:after="0" w:line="240" w:lineRule="auto"/>
      </w:pPr>
      <w:rPr>
        <w:b/>
        <w:bCs/>
      </w:rPr>
      <w:tblPr/>
      <w:tcPr>
        <w:tcBorders>
          <w:top w:val="single" w:sz="8" w:space="0" w:color="9BBB59" w:themeColor="accent3"/>
          <w:left w:val="nil"/>
          <w:bottom w:val="single" w:sz="8" w:space="0" w:color="9BBB59" w:themeColor="accent3"/>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E6EED5" w:themeFill="accent3" w:themeFillTint="3F"/>
      </w:tcPr>
    </w:tblStylePr>
    <w:tblStylePr w:type="band1Horz">
      <w:tblPr/>
      <w:tcPr>
        <w:tcBorders>
          <w:left w:val="nil"/>
          <w:right w:val="nil"/>
          <w:insideH w:val="nil"/>
          <w:insideV w:val="nil"/>
        </w:tcBorders>
        <w:shd w:val="clear" w:color="auto" w:fill="E6EED5" w:themeFill="accent3" w:themeFillTint="3F"/>
      </w:tcPr>
    </w:tblStylePr>
  </w:style>
  <w:style w:type="table" w:styleId="LightShadingAccent4PHPDOCX">
    <w:name w:val="Light Shading Accent 4 PHPDOCX"/>
    <w:uiPriority w:val="60"/>
    <w:rsid w:val="00493A0C"/>
    <w:pPr>
      <w:spacing w:after="0" w:line="240" w:lineRule="auto"/>
    </w:pPr>
    <w:rPr>
      <w:color w:val="5F497A" w:themeColor="accent4" w:themeShade="BF"/>
    </w:rPr>
    <w:tblPr>
      <w:tblStyleRowBandSize w:val="1"/>
      <w:tblStyleColBandSize w:val="1"/>
      <w:tblInd w:w="0" w:type="dxa"/>
      <w:tblBorders>
        <w:top w:val="single" w:sz="8" w:space="0" w:color="8064A2" w:themeColor="accent4"/>
        <w:bottom w:val="single" w:sz="8" w:space="0" w:color="8064A2" w:themeColor="accent4"/>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8064A2" w:themeColor="accent4"/>
          <w:left w:val="nil"/>
          <w:bottom w:val="single" w:sz="8" w:space="0" w:color="8064A2" w:themeColor="accent4"/>
          <w:right w:val="nil"/>
          <w:insideH w:val="nil"/>
          <w:insideV w:val="nil"/>
        </w:tcBorders>
      </w:tcPr>
    </w:tblStylePr>
    <w:tblStylePr w:type="lastRow">
      <w:pPr>
        <w:spacing w:before="0" w:after="0" w:line="240" w:lineRule="auto"/>
      </w:pPr>
      <w:rPr>
        <w:b/>
        <w:bCs/>
      </w:rPr>
      <w:tblPr/>
      <w:tcPr>
        <w:tcBorders>
          <w:top w:val="single" w:sz="8" w:space="0" w:color="8064A2" w:themeColor="accent4"/>
          <w:left w:val="nil"/>
          <w:bottom w:val="single" w:sz="8" w:space="0" w:color="8064A2" w:themeColor="accent4"/>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FD8E8" w:themeFill="accent4" w:themeFillTint="3F"/>
      </w:tcPr>
    </w:tblStylePr>
    <w:tblStylePr w:type="band1Horz">
      <w:tblPr/>
      <w:tcPr>
        <w:tcBorders>
          <w:left w:val="nil"/>
          <w:right w:val="nil"/>
          <w:insideH w:val="nil"/>
          <w:insideV w:val="nil"/>
        </w:tcBorders>
        <w:shd w:val="clear" w:color="auto" w:fill="DFD8E8" w:themeFill="accent4" w:themeFillTint="3F"/>
      </w:tcPr>
    </w:tblStylePr>
  </w:style>
  <w:style w:type="table" w:styleId="LightShadingAccent5PHPDOCX">
    <w:name w:val="Light Shading Accent 5 PHPDOCX"/>
    <w:uiPriority w:val="60"/>
    <w:rsid w:val="00493A0C"/>
    <w:pPr>
      <w:spacing w:after="0" w:line="240" w:lineRule="auto"/>
    </w:pPr>
    <w:rPr>
      <w:color w:val="31849B" w:themeColor="accent5" w:themeShade="BF"/>
    </w:rPr>
    <w:tblPr>
      <w:tblStyleRowBandSize w:val="1"/>
      <w:tblStyleColBandSize w:val="1"/>
      <w:tblInd w:w="0" w:type="dxa"/>
      <w:tblBorders>
        <w:top w:val="single" w:sz="8" w:space="0" w:color="4BACC6" w:themeColor="accent5"/>
        <w:bottom w:val="single" w:sz="8" w:space="0" w:color="4BACC6" w:themeColor="accent5"/>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4BACC6" w:themeColor="accent5"/>
          <w:left w:val="nil"/>
          <w:bottom w:val="single" w:sz="8" w:space="0" w:color="4BACC6" w:themeColor="accent5"/>
          <w:right w:val="nil"/>
          <w:insideH w:val="nil"/>
          <w:insideV w:val="nil"/>
        </w:tcBorders>
      </w:tcPr>
    </w:tblStylePr>
    <w:tblStylePr w:type="lastRow">
      <w:pPr>
        <w:spacing w:before="0" w:after="0" w:line="240" w:lineRule="auto"/>
      </w:pPr>
      <w:rPr>
        <w:b/>
        <w:bCs/>
      </w:rPr>
      <w:tblPr/>
      <w:tcPr>
        <w:tcBorders>
          <w:top w:val="single" w:sz="8" w:space="0" w:color="4BACC6" w:themeColor="accent5"/>
          <w:left w:val="nil"/>
          <w:bottom w:val="single" w:sz="8" w:space="0" w:color="4BACC6" w:themeColor="accent5"/>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2EAF1" w:themeFill="accent5" w:themeFillTint="3F"/>
      </w:tcPr>
    </w:tblStylePr>
    <w:tblStylePr w:type="band1Horz">
      <w:tblPr/>
      <w:tcPr>
        <w:tcBorders>
          <w:left w:val="nil"/>
          <w:right w:val="nil"/>
          <w:insideH w:val="nil"/>
          <w:insideV w:val="nil"/>
        </w:tcBorders>
        <w:shd w:val="clear" w:color="auto" w:fill="D2EAF1" w:themeFill="accent5" w:themeFillTint="3F"/>
      </w:tcPr>
    </w:tblStylePr>
  </w:style>
  <w:style w:type="table" w:customStyle="1" w:styleId="LightListPHPDOCX">
    <w:name w:val="Light List PHPDOCX"/>
    <w:uiPriority w:val="61"/>
    <w:rsid w:val="00493A0C"/>
    <w:pPr>
      <w:spacing w:after="0" w:line="240" w:lineRule="auto"/>
    </w:pPr>
    <w:tblPr>
      <w:tblStyleRowBandSize w:val="1"/>
      <w:tblStyleColBandSize w:val="1"/>
      <w:tblInd w:w="0" w:type="dxa"/>
      <w:tblBorders>
        <w:top w:val="single" w:sz="8" w:space="0" w:color="000000" w:themeColor="text1"/>
        <w:left w:val="single" w:sz="8" w:space="0" w:color="000000" w:themeColor="text1"/>
        <w:bottom w:val="single" w:sz="8" w:space="0" w:color="000000" w:themeColor="text1"/>
        <w:right w:val="single" w:sz="8" w:space="0" w:color="000000" w:themeColor="text1"/>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000000" w:themeFill="text1"/>
      </w:tcPr>
    </w:tblStylePr>
    <w:tblStylePr w:type="lastRow">
      <w:pPr>
        <w:spacing w:before="0" w:after="0" w:line="240" w:lineRule="auto"/>
      </w:pPr>
      <w:rPr>
        <w:b/>
        <w:bCs/>
      </w:rPr>
      <w:tblPr/>
      <w:tcPr>
        <w:tcBorders>
          <w:top w:val="double" w:sz="6" w:space="0" w:color="000000" w:themeColor="text1"/>
          <w:left w:val="single" w:sz="8" w:space="0" w:color="000000" w:themeColor="text1"/>
          <w:bottom w:val="single" w:sz="8" w:space="0" w:color="000000" w:themeColor="text1"/>
          <w:right w:val="single" w:sz="8" w:space="0" w:color="000000" w:themeColor="text1"/>
        </w:tcBorders>
      </w:tcPr>
    </w:tblStylePr>
    <w:tblStylePr w:type="firstCol">
      <w:rPr>
        <w:b/>
        <w:bCs/>
      </w:rPr>
    </w:tblStylePr>
    <w:tblStylePr w:type="lastCol">
      <w:rPr>
        <w:b/>
        <w:bCs/>
      </w:rPr>
    </w:tblStylePr>
    <w:tblStylePr w:type="band1Vert">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tblStylePr w:type="band1Horz">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style>
  <w:style w:type="table" w:customStyle="1" w:styleId="LightListAccent1PHPDOCX">
    <w:name w:val="Light List Accent 1 PHPDOCX"/>
    <w:uiPriority w:val="61"/>
    <w:rsid w:val="00493A0C"/>
    <w:pPr>
      <w:spacing w:after="0" w:line="240" w:lineRule="auto"/>
    </w:pPr>
    <w:tblPr>
      <w:tblStyleRowBandSize w:val="1"/>
      <w:tblStyleColBandSize w:val="1"/>
      <w:tblInd w:w="0" w:type="dxa"/>
      <w:tblBorders>
        <w:top w:val="single" w:sz="8" w:space="0" w:color="4F81BD" w:themeColor="accent1"/>
        <w:left w:val="single" w:sz="8" w:space="0" w:color="4F81BD" w:themeColor="accent1"/>
        <w:bottom w:val="single" w:sz="8" w:space="0" w:color="4F81BD" w:themeColor="accent1"/>
        <w:right w:val="single" w:sz="8" w:space="0" w:color="4F81BD" w:themeColor="accent1"/>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4F81BD" w:themeFill="accent1"/>
      </w:tcPr>
    </w:tblStylePr>
    <w:tblStylePr w:type="lastRow">
      <w:pPr>
        <w:spacing w:before="0" w:after="0" w:line="240" w:lineRule="auto"/>
      </w:pPr>
      <w:rPr>
        <w:b/>
        <w:bCs/>
      </w:rPr>
      <w:tblPr/>
      <w:tcPr>
        <w:tcBorders>
          <w:top w:val="double" w:sz="6" w:space="0" w:color="4F81BD" w:themeColor="accent1"/>
          <w:left w:val="single" w:sz="8" w:space="0" w:color="4F81BD" w:themeColor="accent1"/>
          <w:bottom w:val="single" w:sz="8" w:space="0" w:color="4F81BD" w:themeColor="accent1"/>
          <w:right w:val="single" w:sz="8" w:space="0" w:color="4F81BD" w:themeColor="accent1"/>
        </w:tcBorders>
      </w:tcPr>
    </w:tblStylePr>
    <w:tblStylePr w:type="firstCol">
      <w:rPr>
        <w:b/>
        <w:bCs/>
      </w:rPr>
    </w:tblStylePr>
    <w:tblStylePr w:type="lastCol">
      <w:rPr>
        <w:b/>
        <w:bCs/>
      </w:rPr>
    </w:tblStylePr>
    <w:tblStylePr w:type="band1Vert">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tblStylePr w:type="band1Horz">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style>
  <w:style w:type="table" w:styleId="LightListAccent2PHPDOCX">
    <w:name w:val="Light List Accent 2 PHPDOCX"/>
    <w:uiPriority w:val="61"/>
    <w:rsid w:val="00493A0C"/>
    <w:pPr>
      <w:spacing w:after="0" w:line="240" w:lineRule="auto"/>
    </w:pPr>
    <w:tblPr>
      <w:tblStyleRowBandSize w:val="1"/>
      <w:tblStyleColBandSize w:val="1"/>
      <w:tblInd w:w="0" w:type="dxa"/>
      <w:tblBorders>
        <w:top w:val="single" w:sz="8" w:space="0" w:color="C0504D" w:themeColor="accent2"/>
        <w:left w:val="single" w:sz="8" w:space="0" w:color="C0504D" w:themeColor="accent2"/>
        <w:bottom w:val="single" w:sz="8" w:space="0" w:color="C0504D" w:themeColor="accent2"/>
        <w:right w:val="single" w:sz="8" w:space="0" w:color="C0504D" w:themeColor="accent2"/>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C0504D" w:themeFill="accent2"/>
      </w:tcPr>
    </w:tblStylePr>
    <w:tblStylePr w:type="lastRow">
      <w:pPr>
        <w:spacing w:before="0" w:after="0" w:line="240" w:lineRule="auto"/>
      </w:pPr>
      <w:rPr>
        <w:b/>
        <w:bCs/>
      </w:rPr>
      <w:tblPr/>
      <w:tcPr>
        <w:tcBorders>
          <w:top w:val="double" w:sz="6" w:space="0" w:color="C0504D" w:themeColor="accent2"/>
          <w:left w:val="single" w:sz="8" w:space="0" w:color="C0504D" w:themeColor="accent2"/>
          <w:bottom w:val="single" w:sz="8" w:space="0" w:color="C0504D" w:themeColor="accent2"/>
          <w:right w:val="single" w:sz="8" w:space="0" w:color="C0504D" w:themeColor="accent2"/>
        </w:tcBorders>
      </w:tcPr>
    </w:tblStylePr>
    <w:tblStylePr w:type="firstCol">
      <w:rPr>
        <w:b/>
        <w:bCs/>
      </w:rPr>
    </w:tblStylePr>
    <w:tblStylePr w:type="lastCol">
      <w:rPr>
        <w:b/>
        <w:bCs/>
      </w:rPr>
    </w:tblStylePr>
    <w:tblStylePr w:type="band1Vert">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tcPr>
    </w:tblStylePr>
    <w:tblStylePr w:type="band1Horz">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tcPr>
    </w:tblStylePr>
  </w:style>
  <w:style w:type="table" w:styleId="LightListAccent3PHPDOCX">
    <w:name w:val="Light List Accent 3 PHPDOCX"/>
    <w:uiPriority w:val="61"/>
    <w:rsid w:val="00493A0C"/>
    <w:pPr>
      <w:spacing w:after="0" w:line="240" w:lineRule="auto"/>
    </w:pPr>
    <w:tblPr>
      <w:tblStyleRowBandSize w:val="1"/>
      <w:tblStyleColBandSize w:val="1"/>
      <w:tblInd w:w="0" w:type="dxa"/>
      <w:tblBorders>
        <w:top w:val="single" w:sz="8" w:space="0" w:color="9BBB59" w:themeColor="accent3"/>
        <w:left w:val="single" w:sz="8" w:space="0" w:color="9BBB59" w:themeColor="accent3"/>
        <w:bottom w:val="single" w:sz="8" w:space="0" w:color="9BBB59" w:themeColor="accent3"/>
        <w:right w:val="single" w:sz="8" w:space="0" w:color="9BBB59" w:themeColor="accent3"/>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9BBB59" w:themeFill="accent3"/>
      </w:tcPr>
    </w:tblStylePr>
    <w:tblStylePr w:type="lastRow">
      <w:pPr>
        <w:spacing w:before="0" w:after="0" w:line="240" w:lineRule="auto"/>
      </w:pPr>
      <w:rPr>
        <w:b/>
        <w:bCs/>
      </w:rPr>
      <w:tblPr/>
      <w:tcPr>
        <w:tcBorders>
          <w:top w:val="double" w:sz="6" w:space="0" w:color="9BBB59" w:themeColor="accent3"/>
          <w:left w:val="single" w:sz="8" w:space="0" w:color="9BBB59" w:themeColor="accent3"/>
          <w:bottom w:val="single" w:sz="8" w:space="0" w:color="9BBB59" w:themeColor="accent3"/>
          <w:right w:val="single" w:sz="8" w:space="0" w:color="9BBB59" w:themeColor="accent3"/>
        </w:tcBorders>
      </w:tcPr>
    </w:tblStylePr>
    <w:tblStylePr w:type="firstCol">
      <w:rPr>
        <w:b/>
        <w:bCs/>
      </w:rPr>
    </w:tblStylePr>
    <w:tblStylePr w:type="lastCol">
      <w:rPr>
        <w:b/>
        <w:bCs/>
      </w:rPr>
    </w:tblStylePr>
    <w:tblStylePr w:type="band1Vert">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tcPr>
    </w:tblStylePr>
    <w:tblStylePr w:type="band1Horz">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tcPr>
    </w:tblStylePr>
  </w:style>
  <w:style w:type="table" w:styleId="LightListAccent4PHPDOCX">
    <w:name w:val="Light List Accent 4 PHPDOCX"/>
    <w:uiPriority w:val="61"/>
    <w:rsid w:val="00493A0C"/>
    <w:pPr>
      <w:spacing w:after="0" w:line="240" w:lineRule="auto"/>
    </w:pPr>
    <w:tblPr>
      <w:tblStyleRowBandSize w:val="1"/>
      <w:tblStyleColBandSize w:val="1"/>
      <w:tblInd w:w="0" w:type="dxa"/>
      <w:tblBorders>
        <w:top w:val="single" w:sz="8" w:space="0" w:color="8064A2" w:themeColor="accent4"/>
        <w:left w:val="single" w:sz="8" w:space="0" w:color="8064A2" w:themeColor="accent4"/>
        <w:bottom w:val="single" w:sz="8" w:space="0" w:color="8064A2" w:themeColor="accent4"/>
        <w:right w:val="single" w:sz="8" w:space="0" w:color="8064A2" w:themeColor="accent4"/>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8064A2" w:themeFill="accent4"/>
      </w:tcPr>
    </w:tblStylePr>
    <w:tblStylePr w:type="lastRow">
      <w:pPr>
        <w:spacing w:before="0" w:after="0" w:line="240" w:lineRule="auto"/>
      </w:pPr>
      <w:rPr>
        <w:b/>
        <w:bCs/>
      </w:rPr>
      <w:tblPr/>
      <w:tcPr>
        <w:tcBorders>
          <w:top w:val="double" w:sz="6" w:space="0" w:color="8064A2" w:themeColor="accent4"/>
          <w:left w:val="single" w:sz="8" w:space="0" w:color="8064A2" w:themeColor="accent4"/>
          <w:bottom w:val="single" w:sz="8" w:space="0" w:color="8064A2" w:themeColor="accent4"/>
          <w:right w:val="single" w:sz="8" w:space="0" w:color="8064A2" w:themeColor="accent4"/>
        </w:tcBorders>
      </w:tcPr>
    </w:tblStylePr>
    <w:tblStylePr w:type="firstCol">
      <w:rPr>
        <w:b/>
        <w:bCs/>
      </w:rPr>
    </w:tblStylePr>
    <w:tblStylePr w:type="lastCol">
      <w:rPr>
        <w:b/>
        <w:bCs/>
      </w:rPr>
    </w:tblStylePr>
    <w:tblStylePr w:type="band1Vert">
      <w:tblPr/>
      <w:tcPr>
        <w:tcBorders>
          <w:top w:val="single" w:sz="8" w:space="0" w:color="8064A2" w:themeColor="accent4"/>
          <w:left w:val="single" w:sz="8" w:space="0" w:color="8064A2" w:themeColor="accent4"/>
          <w:bottom w:val="single" w:sz="8" w:space="0" w:color="8064A2" w:themeColor="accent4"/>
          <w:right w:val="single" w:sz="8" w:space="0" w:color="8064A2" w:themeColor="accent4"/>
        </w:tcBorders>
      </w:tcPr>
    </w:tblStylePr>
    <w:tblStylePr w:type="band1Horz">
      <w:tblPr/>
      <w:tcPr>
        <w:tcBorders>
          <w:top w:val="single" w:sz="8" w:space="0" w:color="8064A2" w:themeColor="accent4"/>
          <w:left w:val="single" w:sz="8" w:space="0" w:color="8064A2" w:themeColor="accent4"/>
          <w:bottom w:val="single" w:sz="8" w:space="0" w:color="8064A2" w:themeColor="accent4"/>
          <w:right w:val="single" w:sz="8" w:space="0" w:color="8064A2" w:themeColor="accent4"/>
        </w:tcBorders>
      </w:tcPr>
    </w:tblStylePr>
  </w:style>
  <w:style w:type="table" w:styleId="LightListAccent5PHPDOCX">
    <w:name w:val="Light List Accent 5 PHPDOCX"/>
    <w:uiPriority w:val="61"/>
    <w:rsid w:val="00493A0C"/>
    <w:pPr>
      <w:spacing w:after="0" w:line="240" w:lineRule="auto"/>
    </w:pPr>
    <w:tblPr>
      <w:tblStyleRowBandSize w:val="1"/>
      <w:tblStyleColBandSize w:val="1"/>
      <w:tblInd w:w="0" w:type="dxa"/>
      <w:tblBorders>
        <w:top w:val="single" w:sz="8" w:space="0" w:color="4BACC6" w:themeColor="accent5"/>
        <w:left w:val="single" w:sz="8" w:space="0" w:color="4BACC6" w:themeColor="accent5"/>
        <w:bottom w:val="single" w:sz="8" w:space="0" w:color="4BACC6" w:themeColor="accent5"/>
        <w:right w:val="single" w:sz="8" w:space="0" w:color="4BACC6" w:themeColor="accent5"/>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4BACC6" w:themeFill="accent5"/>
      </w:tcPr>
    </w:tblStylePr>
    <w:tblStylePr w:type="lastRow">
      <w:pPr>
        <w:spacing w:before="0" w:after="0" w:line="240" w:lineRule="auto"/>
      </w:pPr>
      <w:rPr>
        <w:b/>
        <w:bCs/>
      </w:rPr>
      <w:tblPr/>
      <w:tcPr>
        <w:tcBorders>
          <w:top w:val="double" w:sz="6" w:space="0" w:color="4BACC6" w:themeColor="accent5"/>
          <w:left w:val="single" w:sz="8" w:space="0" w:color="4BACC6" w:themeColor="accent5"/>
          <w:bottom w:val="single" w:sz="8" w:space="0" w:color="4BACC6" w:themeColor="accent5"/>
          <w:right w:val="single" w:sz="8" w:space="0" w:color="4BACC6" w:themeColor="accent5"/>
        </w:tcBorders>
      </w:tcPr>
    </w:tblStylePr>
    <w:tblStylePr w:type="firstCol">
      <w:rPr>
        <w:b/>
        <w:bCs/>
      </w:rPr>
    </w:tblStylePr>
    <w:tblStylePr w:type="lastCol">
      <w:rPr>
        <w:b/>
        <w:bCs/>
      </w:rPr>
    </w:tblStylePr>
    <w:tblStylePr w:type="band1Vert">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tblStylePr w:type="band1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style>
  <w:style w:type="table" w:styleId="LightListAccent6PHPDOCX">
    <w:name w:val="Light List Accent 6 PHPDOCX"/>
    <w:uiPriority w:val="61"/>
    <w:rsid w:val="00493A0C"/>
    <w:pPr>
      <w:spacing w:after="0" w:line="240" w:lineRule="auto"/>
    </w:pPr>
    <w:tblPr>
      <w:tblStyleRowBandSize w:val="1"/>
      <w:tblStyleColBandSize w:val="1"/>
      <w:tblInd w:w="0" w:type="dxa"/>
      <w:tblBorders>
        <w:top w:val="single" w:sz="8" w:space="0" w:color="F79646" w:themeColor="accent6"/>
        <w:left w:val="single" w:sz="8" w:space="0" w:color="F79646" w:themeColor="accent6"/>
        <w:bottom w:val="single" w:sz="8" w:space="0" w:color="F79646" w:themeColor="accent6"/>
        <w:right w:val="single" w:sz="8" w:space="0" w:color="F79646" w:themeColor="accent6"/>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F79646" w:themeFill="accent6"/>
      </w:tcPr>
    </w:tblStylePr>
    <w:tblStylePr w:type="lastRow">
      <w:pPr>
        <w:spacing w:before="0" w:after="0" w:line="240" w:lineRule="auto"/>
      </w:pPr>
      <w:rPr>
        <w:b/>
        <w:bCs/>
      </w:rPr>
      <w:tblPr/>
      <w:tcPr>
        <w:tcBorders>
          <w:top w:val="double" w:sz="6" w:space="0" w:color="F79646" w:themeColor="accent6"/>
          <w:left w:val="single" w:sz="8" w:space="0" w:color="F79646" w:themeColor="accent6"/>
          <w:bottom w:val="single" w:sz="8" w:space="0" w:color="F79646" w:themeColor="accent6"/>
          <w:right w:val="single" w:sz="8" w:space="0" w:color="F79646" w:themeColor="accent6"/>
        </w:tcBorders>
      </w:tcPr>
    </w:tblStylePr>
    <w:tblStylePr w:type="firstCol">
      <w:rPr>
        <w:b/>
        <w:bCs/>
      </w:rPr>
    </w:tblStylePr>
    <w:tblStylePr w:type="lastCol">
      <w:rPr>
        <w:b/>
        <w:bCs/>
      </w:rPr>
    </w:tblStylePr>
    <w:tblStylePr w:type="band1Vert">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tcPr>
    </w:tblStylePr>
    <w:tblStylePr w:type="band1Horz">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tcPr>
    </w:tblStylePr>
  </w:style>
  <w:style w:type="table" w:styleId="LightGridPHPDOCX">
    <w:name w:val="Light Grid PHPDOCX"/>
    <w:uiPriority w:val="62"/>
    <w:rsid w:val="00493A0C"/>
    <w:pPr>
      <w:spacing w:after="0" w:line="240" w:lineRule="auto"/>
    </w:pPr>
    <w:tblPr>
      <w:tblStyleRowBandSize w:val="1"/>
      <w:tblStyleColBandSize w:val="1"/>
      <w:tblInd w:w="0" w:type="dxa"/>
      <w:tblBorders>
        <w:top w:val="single" w:sz="8" w:space="0" w:color="000000" w:themeColor="text1"/>
        <w:left w:val="single" w:sz="8" w:space="0" w:color="000000" w:themeColor="text1"/>
        <w:bottom w:val="single" w:sz="8" w:space="0" w:color="000000" w:themeColor="text1"/>
        <w:right w:val="single" w:sz="8" w:space="0" w:color="000000" w:themeColor="text1"/>
        <w:insideH w:val="single" w:sz="8" w:space="0" w:color="000000" w:themeColor="text1"/>
        <w:insideV w:val="single" w:sz="8" w:space="0" w:color="000000" w:themeColor="text1"/>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000000" w:themeColor="text1"/>
          <w:left w:val="single" w:sz="8" w:space="0" w:color="000000" w:themeColor="text1"/>
          <w:bottom w:val="single" w:sz="18" w:space="0" w:color="000000" w:themeColor="text1"/>
          <w:right w:val="single" w:sz="8" w:space="0" w:color="000000" w:themeColor="text1"/>
          <w:insideH w:val="nil"/>
          <w:insideV w:val="single" w:sz="8" w:space="0" w:color="000000" w:themeColor="text1"/>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000000" w:themeColor="text1"/>
          <w:left w:val="single" w:sz="8" w:space="0" w:color="000000" w:themeColor="text1"/>
          <w:bottom w:val="single" w:sz="8" w:space="0" w:color="000000" w:themeColor="text1"/>
          <w:right w:val="single" w:sz="8" w:space="0" w:color="000000" w:themeColor="text1"/>
          <w:insideH w:val="nil"/>
          <w:insideV w:val="single" w:sz="8" w:space="0" w:color="000000" w:themeColor="text1"/>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tblStylePr w:type="band1Vert">
      <w:tblPr/>
      <w:tcPr>
        <w:tcBorders>
          <w:top w:val="single" w:sz="8" w:space="0" w:color="000000" w:themeColor="text1"/>
          <w:left w:val="single" w:sz="8" w:space="0" w:color="000000" w:themeColor="text1"/>
          <w:bottom w:val="single" w:sz="8" w:space="0" w:color="000000" w:themeColor="text1"/>
          <w:right w:val="single" w:sz="8" w:space="0" w:color="000000" w:themeColor="text1"/>
        </w:tcBorders>
        <w:shd w:val="clear" w:color="auto" w:fill="C0C0C0" w:themeFill="text1" w:themeFillTint="3F"/>
      </w:tcPr>
    </w:tblStylePr>
    <w:tblStylePr w:type="band1Horz">
      <w:tblPr/>
      <w:tcPr>
        <w:tcBorders>
          <w:top w:val="single" w:sz="8" w:space="0" w:color="000000" w:themeColor="text1"/>
          <w:left w:val="single" w:sz="8" w:space="0" w:color="000000" w:themeColor="text1"/>
          <w:bottom w:val="single" w:sz="8" w:space="0" w:color="000000" w:themeColor="text1"/>
          <w:right w:val="single" w:sz="8" w:space="0" w:color="000000" w:themeColor="text1"/>
          <w:insideV w:val="single" w:sz="8" w:space="0" w:color="000000" w:themeColor="text1"/>
        </w:tcBorders>
        <w:shd w:val="clear" w:color="auto" w:fill="C0C0C0" w:themeFill="text1" w:themeFillTint="3F"/>
      </w:tcPr>
    </w:tblStylePr>
    <w:tblStylePr w:type="band2Horz">
      <w:tblPr/>
      <w:tcPr>
        <w:tcBorders>
          <w:top w:val="single" w:sz="8" w:space="0" w:color="000000" w:themeColor="text1"/>
          <w:left w:val="single" w:sz="8" w:space="0" w:color="000000" w:themeColor="text1"/>
          <w:bottom w:val="single" w:sz="8" w:space="0" w:color="000000" w:themeColor="text1"/>
          <w:right w:val="single" w:sz="8" w:space="0" w:color="000000" w:themeColor="text1"/>
          <w:insideV w:val="single" w:sz="8" w:space="0" w:color="000000" w:themeColor="text1"/>
        </w:tcBorders>
      </w:tcPr>
    </w:tblStylePr>
  </w:style>
  <w:style w:type="table" w:styleId="LightGrid1PHPDOCX">
    <w:name w:val="Light Grid 1 PHPDOCX"/>
    <w:uiPriority w:val="62"/>
    <w:rsid w:val="00493A0C"/>
    <w:pPr>
      <w:spacing w:after="0" w:line="240" w:lineRule="auto"/>
    </w:pPr>
    <w:tblPr>
      <w:tblStyleRowBandSize w:val="1"/>
      <w:tblStyleColBandSize w:val="1"/>
      <w:tblInd w:w="0" w:type="dxa"/>
      <w:tblBorders>
        <w:top w:val="single" w:sz="8" w:space="0" w:color="4F81BD" w:themeColor="accent1"/>
        <w:left w:val="single" w:sz="8" w:space="0" w:color="4F81BD" w:themeColor="accent1"/>
        <w:bottom w:val="single" w:sz="8" w:space="0" w:color="4F81BD" w:themeColor="accent1"/>
        <w:right w:val="single" w:sz="8" w:space="0" w:color="4F81BD" w:themeColor="accent1"/>
        <w:insideH w:val="single" w:sz="8" w:space="0" w:color="4F81BD" w:themeColor="accent1"/>
        <w:insideV w:val="single" w:sz="8" w:space="0" w:color="4F81BD" w:themeColor="accent1"/>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4F81BD" w:themeColor="accent1"/>
          <w:left w:val="single" w:sz="8" w:space="0" w:color="4F81BD" w:themeColor="accent1"/>
          <w:bottom w:val="single" w:sz="18" w:space="0" w:color="4F81BD" w:themeColor="accent1"/>
          <w:right w:val="single" w:sz="8" w:space="0" w:color="4F81BD" w:themeColor="accent1"/>
          <w:insideH w:val="nil"/>
          <w:insideV w:val="single" w:sz="8" w:space="0" w:color="4F81BD" w:themeColor="accent1"/>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4F81BD" w:themeColor="accent1"/>
          <w:left w:val="single" w:sz="8" w:space="0" w:color="4F81BD" w:themeColor="accent1"/>
          <w:bottom w:val="single" w:sz="8" w:space="0" w:color="4F81BD" w:themeColor="accent1"/>
          <w:right w:val="single" w:sz="8" w:space="0" w:color="4F81BD" w:themeColor="accent1"/>
          <w:insideH w:val="nil"/>
          <w:insideV w:val="single" w:sz="8" w:space="0" w:color="4F81BD" w:themeColor="accent1"/>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tblStylePr w:type="band1Vert">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shd w:val="clear" w:color="auto" w:fill="D3DFEE" w:themeFill="accent1" w:themeFillTint="3F"/>
      </w:tcPr>
    </w:tblStylePr>
    <w:tblStylePr w:type="band1Horz">
      <w:tblPr/>
      <w:tcPr>
        <w:tcBorders>
          <w:top w:val="single" w:sz="8" w:space="0" w:color="4F81BD" w:themeColor="accent1"/>
          <w:left w:val="single" w:sz="8" w:space="0" w:color="4F81BD" w:themeColor="accent1"/>
          <w:bottom w:val="single" w:sz="8" w:space="0" w:color="4F81BD" w:themeColor="accent1"/>
          <w:right w:val="single" w:sz="8" w:space="0" w:color="4F81BD" w:themeColor="accent1"/>
          <w:insideV w:val="single" w:sz="8" w:space="0" w:color="4F81BD" w:themeColor="accent1"/>
        </w:tcBorders>
        <w:shd w:val="clear" w:color="auto" w:fill="D3DFEE" w:themeFill="accent1" w:themeFillTint="3F"/>
      </w:tcPr>
    </w:tblStylePr>
    <w:tblStylePr w:type="band2Horz">
      <w:tblPr/>
      <w:tcPr>
        <w:tcBorders>
          <w:top w:val="single" w:sz="8" w:space="0" w:color="4F81BD" w:themeColor="accent1"/>
          <w:left w:val="single" w:sz="8" w:space="0" w:color="4F81BD" w:themeColor="accent1"/>
          <w:bottom w:val="single" w:sz="8" w:space="0" w:color="4F81BD" w:themeColor="accent1"/>
          <w:right w:val="single" w:sz="8" w:space="0" w:color="4F81BD" w:themeColor="accent1"/>
          <w:insideV w:val="single" w:sz="8" w:space="0" w:color="4F81BD" w:themeColor="accent1"/>
        </w:tcBorders>
      </w:tcPr>
    </w:tblStylePr>
  </w:style>
  <w:style w:type="table" w:styleId="LightGrid2PHPDOCX">
    <w:name w:val="Light Grid 2 PHPDOCX"/>
    <w:uiPriority w:val="62"/>
    <w:rsid w:val="00112029"/>
    <w:pPr>
      <w:spacing w:after="0" w:line="240" w:lineRule="auto"/>
    </w:pPr>
    <w:tblPr>
      <w:tblStyleRowBandSize w:val="1"/>
      <w:tblStyleColBandSize w:val="1"/>
      <w:tblInd w:w="0" w:type="dxa"/>
      <w:tblBorders>
        <w:top w:val="single" w:sz="8" w:space="0" w:color="C0504D" w:themeColor="accent2"/>
        <w:left w:val="single" w:sz="8" w:space="0" w:color="C0504D" w:themeColor="accent2"/>
        <w:bottom w:val="single" w:sz="8" w:space="0" w:color="C0504D" w:themeColor="accent2"/>
        <w:right w:val="single" w:sz="8" w:space="0" w:color="C0504D" w:themeColor="accent2"/>
        <w:insideH w:val="single" w:sz="8" w:space="0" w:color="C0504D" w:themeColor="accent2"/>
        <w:insideV w:val="single" w:sz="8" w:space="0" w:color="C0504D" w:themeColor="accent2"/>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C0504D" w:themeColor="accent2"/>
          <w:left w:val="single" w:sz="8" w:space="0" w:color="C0504D" w:themeColor="accent2"/>
          <w:bottom w:val="single" w:sz="18" w:space="0" w:color="C0504D" w:themeColor="accent2"/>
          <w:right w:val="single" w:sz="8" w:space="0" w:color="C0504D" w:themeColor="accent2"/>
          <w:insideH w:val="nil"/>
          <w:insideV w:val="single" w:sz="8" w:space="0" w:color="C0504D" w:themeColor="accent2"/>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C0504D" w:themeColor="accent2"/>
          <w:left w:val="single" w:sz="8" w:space="0" w:color="C0504D" w:themeColor="accent2"/>
          <w:bottom w:val="single" w:sz="8" w:space="0" w:color="C0504D" w:themeColor="accent2"/>
          <w:right w:val="single" w:sz="8" w:space="0" w:color="C0504D" w:themeColor="accent2"/>
          <w:insideH w:val="nil"/>
          <w:insideV w:val="single" w:sz="8" w:space="0" w:color="C0504D" w:themeColor="accent2"/>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tcPr>
    </w:tblStylePr>
    <w:tblStylePr w:type="band1Vert">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shd w:val="clear" w:color="auto" w:fill="EFD3D2" w:themeFill="accent2" w:themeFillTint="3F"/>
      </w:tcPr>
    </w:tblStylePr>
    <w:tblStylePr w:type="band1Horz">
      <w:tblPr/>
      <w:tcPr>
        <w:tcBorders>
          <w:top w:val="single" w:sz="8" w:space="0" w:color="C0504D" w:themeColor="accent2"/>
          <w:left w:val="single" w:sz="8" w:space="0" w:color="C0504D" w:themeColor="accent2"/>
          <w:bottom w:val="single" w:sz="8" w:space="0" w:color="C0504D" w:themeColor="accent2"/>
          <w:right w:val="single" w:sz="8" w:space="0" w:color="C0504D" w:themeColor="accent2"/>
          <w:insideV w:val="single" w:sz="8" w:space="0" w:color="C0504D" w:themeColor="accent2"/>
        </w:tcBorders>
        <w:shd w:val="clear" w:color="auto" w:fill="EFD3D2" w:themeFill="accent2" w:themeFillTint="3F"/>
      </w:tcPr>
    </w:tblStylePr>
    <w:tblStylePr w:type="band2Horz">
      <w:tblPr/>
      <w:tcPr>
        <w:tcBorders>
          <w:top w:val="single" w:sz="8" w:space="0" w:color="C0504D" w:themeColor="accent2"/>
          <w:left w:val="single" w:sz="8" w:space="0" w:color="C0504D" w:themeColor="accent2"/>
          <w:bottom w:val="single" w:sz="8" w:space="0" w:color="C0504D" w:themeColor="accent2"/>
          <w:right w:val="single" w:sz="8" w:space="0" w:color="C0504D" w:themeColor="accent2"/>
          <w:insideV w:val="single" w:sz="8" w:space="0" w:color="C0504D" w:themeColor="accent2"/>
        </w:tcBorders>
      </w:tcPr>
    </w:tblStylePr>
  </w:style>
  <w:style w:type="table" w:styleId="LightGrid3PHPDOCX">
    <w:name w:val="Light Grid 3 PHPDOCX"/>
    <w:uiPriority w:val="62"/>
    <w:rsid w:val="00112029"/>
    <w:pPr>
      <w:spacing w:after="0" w:line="240" w:lineRule="auto"/>
    </w:pPr>
    <w:tblPr>
      <w:tblStyleRowBandSize w:val="1"/>
      <w:tblStyleColBandSize w:val="1"/>
      <w:tblInd w:w="0" w:type="dxa"/>
      <w:tblBorders>
        <w:top w:val="single" w:sz="8" w:space="0" w:color="9BBB59" w:themeColor="accent3"/>
        <w:left w:val="single" w:sz="8" w:space="0" w:color="9BBB59" w:themeColor="accent3"/>
        <w:bottom w:val="single" w:sz="8" w:space="0" w:color="9BBB59" w:themeColor="accent3"/>
        <w:right w:val="single" w:sz="8" w:space="0" w:color="9BBB59" w:themeColor="accent3"/>
        <w:insideH w:val="single" w:sz="8" w:space="0" w:color="9BBB59" w:themeColor="accent3"/>
        <w:insideV w:val="single" w:sz="8" w:space="0" w:color="9BBB59" w:themeColor="accent3"/>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9BBB59" w:themeColor="accent3"/>
          <w:left w:val="single" w:sz="8" w:space="0" w:color="9BBB59" w:themeColor="accent3"/>
          <w:bottom w:val="single" w:sz="18" w:space="0" w:color="9BBB59" w:themeColor="accent3"/>
          <w:right w:val="single" w:sz="8" w:space="0" w:color="9BBB59" w:themeColor="accent3"/>
          <w:insideH w:val="nil"/>
          <w:insideV w:val="single" w:sz="8" w:space="0" w:color="9BBB59" w:themeColor="accent3"/>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9BBB59" w:themeColor="accent3"/>
          <w:left w:val="single" w:sz="8" w:space="0" w:color="9BBB59" w:themeColor="accent3"/>
          <w:bottom w:val="single" w:sz="8" w:space="0" w:color="9BBB59" w:themeColor="accent3"/>
          <w:right w:val="single" w:sz="8" w:space="0" w:color="9BBB59" w:themeColor="accent3"/>
          <w:insideH w:val="nil"/>
          <w:insideV w:val="single" w:sz="8" w:space="0" w:color="9BBB59" w:themeColor="accent3"/>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tcPr>
    </w:tblStylePr>
    <w:tblStylePr w:type="band1Vert">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shd w:val="clear" w:color="auto" w:fill="E6EED5" w:themeFill="accent3" w:themeFillTint="3F"/>
      </w:tcPr>
    </w:tblStylePr>
    <w:tblStylePr w:type="band1Horz">
      <w:tblPr/>
      <w:tcPr>
        <w:tcBorders>
          <w:top w:val="single" w:sz="8" w:space="0" w:color="9BBB59" w:themeColor="accent3"/>
          <w:left w:val="single" w:sz="8" w:space="0" w:color="9BBB59" w:themeColor="accent3"/>
          <w:bottom w:val="single" w:sz="8" w:space="0" w:color="9BBB59" w:themeColor="accent3"/>
          <w:right w:val="single" w:sz="8" w:space="0" w:color="9BBB59" w:themeColor="accent3"/>
          <w:insideV w:val="single" w:sz="8" w:space="0" w:color="9BBB59" w:themeColor="accent3"/>
        </w:tcBorders>
        <w:shd w:val="clear" w:color="auto" w:fill="E6EED5" w:themeFill="accent3" w:themeFillTint="3F"/>
      </w:tcPr>
    </w:tblStylePr>
    <w:tblStylePr w:type="band2Horz">
      <w:tblPr/>
      <w:tcPr>
        <w:tcBorders>
          <w:top w:val="single" w:sz="8" w:space="0" w:color="9BBB59" w:themeColor="accent3"/>
          <w:left w:val="single" w:sz="8" w:space="0" w:color="9BBB59" w:themeColor="accent3"/>
          <w:bottom w:val="single" w:sz="8" w:space="0" w:color="9BBB59" w:themeColor="accent3"/>
          <w:right w:val="single" w:sz="8" w:space="0" w:color="9BBB59" w:themeColor="accent3"/>
          <w:insideV w:val="single" w:sz="8" w:space="0" w:color="9BBB59" w:themeColor="accent3"/>
        </w:tcBorders>
      </w:tcPr>
    </w:tblStylePr>
  </w:style>
  <w:style w:type="table" w:styleId="LightGrid4PHPDOCX">
    <w:name w:val="Light Grid 4 PHPDOCX"/>
    <w:uiPriority w:val="62"/>
    <w:rsid w:val="00112029"/>
    <w:pPr>
      <w:spacing w:after="0" w:line="240" w:lineRule="auto"/>
    </w:pPr>
    <w:tblPr>
      <w:tblStyleRowBandSize w:val="1"/>
      <w:tblStyleColBandSize w:val="1"/>
      <w:tblInd w:w="0" w:type="dxa"/>
      <w:tblBorders>
        <w:top w:val="single" w:sz="8" w:space="0" w:color="8064A2" w:themeColor="accent4"/>
        <w:left w:val="single" w:sz="8" w:space="0" w:color="8064A2" w:themeColor="accent4"/>
        <w:bottom w:val="single" w:sz="8" w:space="0" w:color="8064A2" w:themeColor="accent4"/>
        <w:right w:val="single" w:sz="8" w:space="0" w:color="8064A2" w:themeColor="accent4"/>
        <w:insideH w:val="single" w:sz="8" w:space="0" w:color="8064A2" w:themeColor="accent4"/>
        <w:insideV w:val="single" w:sz="8" w:space="0" w:color="8064A2" w:themeColor="accent4"/>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8064A2" w:themeColor="accent4"/>
          <w:left w:val="single" w:sz="8" w:space="0" w:color="8064A2" w:themeColor="accent4"/>
          <w:bottom w:val="single" w:sz="18" w:space="0" w:color="8064A2" w:themeColor="accent4"/>
          <w:right w:val="single" w:sz="8" w:space="0" w:color="8064A2" w:themeColor="accent4"/>
          <w:insideH w:val="nil"/>
          <w:insideV w:val="single" w:sz="8" w:space="0" w:color="8064A2" w:themeColor="accent4"/>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8064A2" w:themeColor="accent4"/>
          <w:left w:val="single" w:sz="8" w:space="0" w:color="8064A2" w:themeColor="accent4"/>
          <w:bottom w:val="single" w:sz="8" w:space="0" w:color="8064A2" w:themeColor="accent4"/>
          <w:right w:val="single" w:sz="8" w:space="0" w:color="8064A2" w:themeColor="accent4"/>
          <w:insideH w:val="nil"/>
          <w:insideV w:val="single" w:sz="8" w:space="0" w:color="8064A2" w:themeColor="accent4"/>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8064A2" w:themeColor="accent4"/>
          <w:left w:val="single" w:sz="8" w:space="0" w:color="8064A2" w:themeColor="accent4"/>
          <w:bottom w:val="single" w:sz="8" w:space="0" w:color="8064A2" w:themeColor="accent4"/>
          <w:right w:val="single" w:sz="8" w:space="0" w:color="8064A2" w:themeColor="accent4"/>
        </w:tcBorders>
      </w:tcPr>
    </w:tblStylePr>
    <w:tblStylePr w:type="band1Vert">
      <w:tblPr/>
      <w:tcPr>
        <w:tcBorders>
          <w:top w:val="single" w:sz="8" w:space="0" w:color="8064A2" w:themeColor="accent4"/>
          <w:left w:val="single" w:sz="8" w:space="0" w:color="8064A2" w:themeColor="accent4"/>
          <w:bottom w:val="single" w:sz="8" w:space="0" w:color="8064A2" w:themeColor="accent4"/>
          <w:right w:val="single" w:sz="8" w:space="0" w:color="8064A2" w:themeColor="accent4"/>
        </w:tcBorders>
        <w:shd w:val="clear" w:color="auto" w:fill="DFD8E8" w:themeFill="accent4" w:themeFillTint="3F"/>
      </w:tcPr>
    </w:tblStylePr>
    <w:tblStylePr w:type="band1Horz">
      <w:tblPr/>
      <w:tcPr>
        <w:tcBorders>
          <w:top w:val="single" w:sz="8" w:space="0" w:color="8064A2" w:themeColor="accent4"/>
          <w:left w:val="single" w:sz="8" w:space="0" w:color="8064A2" w:themeColor="accent4"/>
          <w:bottom w:val="single" w:sz="8" w:space="0" w:color="8064A2" w:themeColor="accent4"/>
          <w:right w:val="single" w:sz="8" w:space="0" w:color="8064A2" w:themeColor="accent4"/>
          <w:insideV w:val="single" w:sz="8" w:space="0" w:color="8064A2" w:themeColor="accent4"/>
        </w:tcBorders>
        <w:shd w:val="clear" w:color="auto" w:fill="DFD8E8" w:themeFill="accent4" w:themeFillTint="3F"/>
      </w:tcPr>
    </w:tblStylePr>
    <w:tblStylePr w:type="band2Horz">
      <w:tblPr/>
      <w:tcPr>
        <w:tcBorders>
          <w:top w:val="single" w:sz="8" w:space="0" w:color="8064A2" w:themeColor="accent4"/>
          <w:left w:val="single" w:sz="8" w:space="0" w:color="8064A2" w:themeColor="accent4"/>
          <w:bottom w:val="single" w:sz="8" w:space="0" w:color="8064A2" w:themeColor="accent4"/>
          <w:right w:val="single" w:sz="8" w:space="0" w:color="8064A2" w:themeColor="accent4"/>
          <w:insideV w:val="single" w:sz="8" w:space="0" w:color="8064A2" w:themeColor="accent4"/>
        </w:tcBorders>
      </w:tcPr>
    </w:tblStylePr>
  </w:style>
  <w:style w:type="table" w:styleId="LightGrid5PHPDOCX">
    <w:name w:val="Light Grid 5 PHPDOCX"/>
    <w:uiPriority w:val="62"/>
    <w:rsid w:val="00112029"/>
    <w:pPr>
      <w:spacing w:after="0" w:line="240" w:lineRule="auto"/>
    </w:pPr>
    <w:tblPr>
      <w:tblStyleRowBandSize w:val="1"/>
      <w:tblStyleColBandSize w:val="1"/>
      <w:tblInd w:w="0" w:type="dxa"/>
      <w:tblBorders>
        <w:top w:val="single" w:sz="8" w:space="0" w:color="4BACC6" w:themeColor="accent5"/>
        <w:left w:val="single" w:sz="8" w:space="0" w:color="4BACC6" w:themeColor="accent5"/>
        <w:bottom w:val="single" w:sz="8" w:space="0" w:color="4BACC6" w:themeColor="accent5"/>
        <w:right w:val="single" w:sz="8" w:space="0" w:color="4BACC6" w:themeColor="accent5"/>
        <w:insideH w:val="single" w:sz="8" w:space="0" w:color="4BACC6" w:themeColor="accent5"/>
        <w:insideV w:val="single" w:sz="8" w:space="0" w:color="4BACC6" w:themeColor="accent5"/>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4BACC6" w:themeColor="accent5"/>
          <w:left w:val="single" w:sz="8" w:space="0" w:color="4BACC6" w:themeColor="accent5"/>
          <w:bottom w:val="single" w:sz="18" w:space="0" w:color="4BACC6" w:themeColor="accent5"/>
          <w:right w:val="single" w:sz="8" w:space="0" w:color="4BACC6" w:themeColor="accent5"/>
          <w:insideH w:val="nil"/>
          <w:insideV w:val="single" w:sz="8" w:space="0" w:color="4BACC6" w:themeColor="accent5"/>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4BACC6" w:themeColor="accent5"/>
          <w:left w:val="single" w:sz="8" w:space="0" w:color="4BACC6" w:themeColor="accent5"/>
          <w:bottom w:val="single" w:sz="8" w:space="0" w:color="4BACC6" w:themeColor="accent5"/>
          <w:right w:val="single" w:sz="8" w:space="0" w:color="4BACC6" w:themeColor="accent5"/>
          <w:insideH w:val="nil"/>
          <w:insideV w:val="single" w:sz="8" w:space="0" w:color="4BACC6" w:themeColor="accent5"/>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tblStylePr w:type="band1Vert">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shd w:val="clear" w:color="auto" w:fill="D2EAF1" w:themeFill="accent5" w:themeFillTint="3F"/>
      </w:tcPr>
    </w:tblStylePr>
    <w:tblStylePr w:type="band1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insideV w:val="single" w:sz="8" w:space="0" w:color="4BACC6" w:themeColor="accent5"/>
        </w:tcBorders>
        <w:shd w:val="clear" w:color="auto" w:fill="D2EAF1" w:themeFill="accent5" w:themeFillTint="3F"/>
      </w:tcPr>
    </w:tblStylePr>
    <w:tblStylePr w:type="band2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insideV w:val="single" w:sz="8" w:space="0" w:color="4BACC6" w:themeColor="accent5"/>
        </w:tcBorders>
      </w:tcPr>
    </w:tblStylePr>
  </w:style>
  <w:style w:type="table" w:styleId="LightGrid6PHPDOCX">
    <w:name w:val="Light Grid 6 PHPDOCX"/>
    <w:uiPriority w:val="62"/>
    <w:rsid w:val="00112029"/>
    <w:pPr>
      <w:spacing w:after="0" w:line="240" w:lineRule="auto"/>
    </w:pPr>
    <w:tblPr>
      <w:tblStyleRowBandSize w:val="1"/>
      <w:tblStyleColBandSize w:val="1"/>
      <w:tblInd w:w="0" w:type="dxa"/>
      <w:tblBorders>
        <w:top w:val="single" w:sz="8" w:space="0" w:color="F79646" w:themeColor="accent6"/>
        <w:left w:val="single" w:sz="8" w:space="0" w:color="F79646" w:themeColor="accent6"/>
        <w:bottom w:val="single" w:sz="8" w:space="0" w:color="F79646" w:themeColor="accent6"/>
        <w:right w:val="single" w:sz="8" w:space="0" w:color="F79646" w:themeColor="accent6"/>
        <w:insideH w:val="single" w:sz="8" w:space="0" w:color="F79646" w:themeColor="accent6"/>
        <w:insideV w:val="single" w:sz="8" w:space="0" w:color="F79646" w:themeColor="accent6"/>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F79646" w:themeColor="accent6"/>
          <w:left w:val="single" w:sz="8" w:space="0" w:color="F79646" w:themeColor="accent6"/>
          <w:bottom w:val="single" w:sz="18" w:space="0" w:color="F79646" w:themeColor="accent6"/>
          <w:right w:val="single" w:sz="8" w:space="0" w:color="F79646" w:themeColor="accent6"/>
          <w:insideH w:val="nil"/>
          <w:insideV w:val="single" w:sz="8" w:space="0" w:color="F79646" w:themeColor="accent6"/>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F79646" w:themeColor="accent6"/>
          <w:left w:val="single" w:sz="8" w:space="0" w:color="F79646" w:themeColor="accent6"/>
          <w:bottom w:val="single" w:sz="8" w:space="0" w:color="F79646" w:themeColor="accent6"/>
          <w:right w:val="single" w:sz="8" w:space="0" w:color="F79646" w:themeColor="accent6"/>
          <w:insideH w:val="nil"/>
          <w:insideV w:val="single" w:sz="8" w:space="0" w:color="F79646" w:themeColor="accent6"/>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tcPr>
    </w:tblStylePr>
    <w:tblStylePr w:type="band1Vert">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shd w:val="clear" w:color="auto" w:fill="FDE4D0" w:themeFill="accent6" w:themeFillTint="3F"/>
      </w:tcPr>
    </w:tblStylePr>
    <w:tblStylePr w:type="band1Horz">
      <w:tblPr/>
      <w:tcPr>
        <w:tcBorders>
          <w:top w:val="single" w:sz="8" w:space="0" w:color="F79646" w:themeColor="accent6"/>
          <w:left w:val="single" w:sz="8" w:space="0" w:color="F79646" w:themeColor="accent6"/>
          <w:bottom w:val="single" w:sz="8" w:space="0" w:color="F79646" w:themeColor="accent6"/>
          <w:right w:val="single" w:sz="8" w:space="0" w:color="F79646" w:themeColor="accent6"/>
          <w:insideV w:val="single" w:sz="8" w:space="0" w:color="F79646" w:themeColor="accent6"/>
        </w:tcBorders>
        <w:shd w:val="clear" w:color="auto" w:fill="FDE4D0" w:themeFill="accent6" w:themeFillTint="3F"/>
      </w:tcPr>
    </w:tblStylePr>
    <w:tblStylePr w:type="band2Horz">
      <w:tblPr/>
      <w:tcPr>
        <w:tcBorders>
          <w:top w:val="single" w:sz="8" w:space="0" w:color="F79646" w:themeColor="accent6"/>
          <w:left w:val="single" w:sz="8" w:space="0" w:color="F79646" w:themeColor="accent6"/>
          <w:bottom w:val="single" w:sz="8" w:space="0" w:color="F79646" w:themeColor="accent6"/>
          <w:right w:val="single" w:sz="8" w:space="0" w:color="F79646" w:themeColor="accent6"/>
          <w:insideV w:val="single" w:sz="8" w:space="0" w:color="F79646" w:themeColor="accent6"/>
        </w:tcBorders>
      </w:tcPr>
    </w:tblStylePr>
  </w:style>
  <w:style w:type="table" w:styleId="MediumShading1PHPDOCX">
    <w:name w:val="Medium Shading 1 PHPDOCX"/>
    <w:uiPriority w:val="63"/>
    <w:rsid w:val="00535F5A"/>
    <w:pPr>
      <w:spacing w:after="0" w:line="240" w:lineRule="auto"/>
    </w:pPr>
    <w:tblPr>
      <w:tblStyleRowBandSize w:val="1"/>
      <w:tblStyleColBandSize w:val="1"/>
      <w:tblInd w:w="0" w:type="dxa"/>
      <w:tbl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single" w:sz="8" w:space="0" w:color="404040" w:themeColor="text1"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nil"/>
          <w:insideV w:val="nil"/>
        </w:tcBorders>
        <w:shd w:val="clear" w:color="auto" w:fill="000000" w:themeFill="text1"/>
      </w:tcPr>
    </w:tblStylePr>
    <w:tblStylePr w:type="lastRow">
      <w:pPr>
        <w:spacing w:before="0" w:after="0" w:line="240" w:lineRule="auto"/>
      </w:pPr>
      <w:rPr>
        <w:b/>
        <w:bCs/>
      </w:rPr>
      <w:tblPr/>
      <w:tcPr>
        <w:tcBorders>
          <w:top w:val="double" w:sz="6"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nil"/>
          <w:insideV w:val="nil"/>
        </w:tcBorders>
      </w:tcPr>
    </w:tblStylePr>
    <w:tblStylePr w:type="firstCol">
      <w:rPr>
        <w:b/>
        <w:bCs/>
      </w:rPr>
    </w:tblStylePr>
    <w:tblStylePr w:type="lastCol">
      <w:rPr>
        <w:b/>
        <w:bCs/>
      </w:rPr>
    </w:tblStylePr>
    <w:tblStylePr w:type="band1Vert">
      <w:tblPr/>
      <w:tcPr>
        <w:shd w:val="clear" w:color="auto" w:fill="C0C0C0" w:themeFill="text1" w:themeFillTint="3F"/>
      </w:tcPr>
    </w:tblStylePr>
    <w:tblStylePr w:type="band1Horz">
      <w:tblPr/>
      <w:tcPr>
        <w:tcBorders>
          <w:insideH w:val="nil"/>
          <w:insideV w:val="nil"/>
        </w:tcBorders>
        <w:shd w:val="clear" w:color="auto" w:fill="C0C0C0" w:themeFill="text1" w:themeFillTint="3F"/>
      </w:tcPr>
    </w:tblStylePr>
    <w:tblStylePr w:type="band2Horz">
      <w:tblPr/>
      <w:tcPr>
        <w:tcBorders>
          <w:insideH w:val="nil"/>
          <w:insideV w:val="nil"/>
        </w:tcBorders>
      </w:tcPr>
    </w:tblStylePr>
  </w:style>
  <w:style w:type="table" w:styleId="MediumShading1-accent1PHPDOCX">
    <w:name w:val="Medium Shading 1 Accent 1 PHPDOCX"/>
    <w:uiPriority w:val="63"/>
    <w:rsid w:val="00535F5A"/>
    <w:pPr>
      <w:spacing w:after="0" w:line="240" w:lineRule="auto"/>
    </w:pPr>
    <w:tblPr>
      <w:tblStyleRowBandSize w:val="1"/>
      <w:tblStyleColBandSize w:val="1"/>
      <w:tblInd w:w="0" w:type="dxa"/>
      <w:tbl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single" w:sz="8" w:space="0" w:color="7BA0CD" w:themeColor="accent1"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nil"/>
          <w:insideV w:val="nil"/>
        </w:tcBorders>
        <w:shd w:val="clear" w:color="auto" w:fill="4F81BD" w:themeFill="accent1"/>
      </w:tcPr>
    </w:tblStylePr>
    <w:tblStylePr w:type="lastRow">
      <w:pPr>
        <w:spacing w:before="0" w:after="0" w:line="240" w:lineRule="auto"/>
      </w:pPr>
      <w:rPr>
        <w:b/>
        <w:bCs/>
      </w:rPr>
      <w:tblPr/>
      <w:tcPr>
        <w:tcBorders>
          <w:top w:val="double" w:sz="6"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nil"/>
          <w:insideV w:val="nil"/>
        </w:tcBorders>
      </w:tcPr>
    </w:tblStylePr>
    <w:tblStylePr w:type="firstCol">
      <w:rPr>
        <w:b/>
        <w:bCs/>
      </w:rPr>
    </w:tblStylePr>
    <w:tblStylePr w:type="lastCol">
      <w:rPr>
        <w:b/>
        <w:bCs/>
      </w:rPr>
    </w:tblStylePr>
    <w:tblStylePr w:type="band1Vert">
      <w:tblPr/>
      <w:tcPr>
        <w:shd w:val="clear" w:color="auto" w:fill="D3DFEE" w:themeFill="accent1" w:themeFillTint="3F"/>
      </w:tcPr>
    </w:tblStylePr>
    <w:tblStylePr w:type="band1Horz">
      <w:tblPr/>
      <w:tcPr>
        <w:tcBorders>
          <w:insideH w:val="nil"/>
          <w:insideV w:val="nil"/>
        </w:tcBorders>
        <w:shd w:val="clear" w:color="auto" w:fill="D3DFEE" w:themeFill="accent1" w:themeFillTint="3F"/>
      </w:tcPr>
    </w:tblStylePr>
    <w:tblStylePr w:type="band2Horz">
      <w:tblPr/>
      <w:tcPr>
        <w:tcBorders>
          <w:insideH w:val="nil"/>
          <w:insideV w:val="nil"/>
        </w:tcBorders>
      </w:tcPr>
    </w:tblStylePr>
  </w:style>
  <w:style w:type="table" w:styleId="MediumShading1-accent2PHPDOCX">
    <w:name w:val="Medium Shading 1 Accent 2 PHPDOCX"/>
    <w:uiPriority w:val="63"/>
    <w:rsid w:val="00535F5A"/>
    <w:pPr>
      <w:spacing w:after="0" w:line="240" w:lineRule="auto"/>
    </w:pPr>
    <w:tblPr>
      <w:tblStyleRowBandSize w:val="1"/>
      <w:tblStyleColBandSize w:val="1"/>
      <w:tblInd w:w="0" w:type="dxa"/>
      <w:tblBorders>
        <w:top w:val="single" w:sz="8"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single" w:sz="8" w:space="0" w:color="CF7B79" w:themeColor="accent2"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nil"/>
          <w:insideV w:val="nil"/>
        </w:tcBorders>
        <w:shd w:val="clear" w:color="auto" w:fill="C0504D" w:themeFill="accent2"/>
      </w:tcPr>
    </w:tblStylePr>
    <w:tblStylePr w:type="lastRow">
      <w:pPr>
        <w:spacing w:before="0" w:after="0" w:line="240" w:lineRule="auto"/>
      </w:pPr>
      <w:rPr>
        <w:b/>
        <w:bCs/>
      </w:rPr>
      <w:tblPr/>
      <w:tcPr>
        <w:tcBorders>
          <w:top w:val="double" w:sz="6"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nil"/>
          <w:insideV w:val="nil"/>
        </w:tcBorders>
      </w:tcPr>
    </w:tblStylePr>
    <w:tblStylePr w:type="firstCol">
      <w:rPr>
        <w:b/>
        <w:bCs/>
      </w:rPr>
    </w:tblStylePr>
    <w:tblStylePr w:type="lastCol">
      <w:rPr>
        <w:b/>
        <w:bCs/>
      </w:rPr>
    </w:tblStylePr>
    <w:tblStylePr w:type="band1Vert">
      <w:tblPr/>
      <w:tcPr>
        <w:shd w:val="clear" w:color="auto" w:fill="EFD3D2" w:themeFill="accent2" w:themeFillTint="3F"/>
      </w:tcPr>
    </w:tblStylePr>
    <w:tblStylePr w:type="band1Horz">
      <w:tblPr/>
      <w:tcPr>
        <w:tcBorders>
          <w:insideH w:val="nil"/>
          <w:insideV w:val="nil"/>
        </w:tcBorders>
        <w:shd w:val="clear" w:color="auto" w:fill="EFD3D2" w:themeFill="accent2" w:themeFillTint="3F"/>
      </w:tcPr>
    </w:tblStylePr>
    <w:tblStylePr w:type="band2Horz">
      <w:tblPr/>
      <w:tcPr>
        <w:tcBorders>
          <w:insideH w:val="nil"/>
          <w:insideV w:val="nil"/>
        </w:tcBorders>
      </w:tcPr>
    </w:tblStylePr>
  </w:style>
  <w:style w:type="table" w:styleId="MediumShading1-accent3PHPDOCX">
    <w:name w:val="Medium Shading 1 Accent 3 PHPDOCX"/>
    <w:uiPriority w:val="63"/>
    <w:rsid w:val="00535F5A"/>
    <w:pPr>
      <w:spacing w:after="0" w:line="240" w:lineRule="auto"/>
    </w:pPr>
    <w:tblPr>
      <w:tblStyleRowBandSize w:val="1"/>
      <w:tblStyleColBandSize w:val="1"/>
      <w:tblInd w:w="0" w:type="dxa"/>
      <w:tblBorders>
        <w:top w:val="single" w:sz="8"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single" w:sz="8" w:space="0" w:color="B3CC82" w:themeColor="accent3"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nil"/>
          <w:insideV w:val="nil"/>
        </w:tcBorders>
        <w:shd w:val="clear" w:color="auto" w:fill="9BBB59" w:themeFill="accent3"/>
      </w:tcPr>
    </w:tblStylePr>
    <w:tblStylePr w:type="lastRow">
      <w:pPr>
        <w:spacing w:before="0" w:after="0" w:line="240" w:lineRule="auto"/>
      </w:pPr>
      <w:rPr>
        <w:b/>
        <w:bCs/>
      </w:rPr>
      <w:tblPr/>
      <w:tcPr>
        <w:tcBorders>
          <w:top w:val="double" w:sz="6"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nil"/>
          <w:insideV w:val="nil"/>
        </w:tcBorders>
      </w:tcPr>
    </w:tblStylePr>
    <w:tblStylePr w:type="firstCol">
      <w:rPr>
        <w:b/>
        <w:bCs/>
      </w:rPr>
    </w:tblStylePr>
    <w:tblStylePr w:type="lastCol">
      <w:rPr>
        <w:b/>
        <w:bCs/>
      </w:rPr>
    </w:tblStylePr>
    <w:tblStylePr w:type="band1Vert">
      <w:tblPr/>
      <w:tcPr>
        <w:shd w:val="clear" w:color="auto" w:fill="E6EED5" w:themeFill="accent3" w:themeFillTint="3F"/>
      </w:tcPr>
    </w:tblStylePr>
    <w:tblStylePr w:type="band1Horz">
      <w:tblPr/>
      <w:tcPr>
        <w:tcBorders>
          <w:insideH w:val="nil"/>
          <w:insideV w:val="nil"/>
        </w:tcBorders>
        <w:shd w:val="clear" w:color="auto" w:fill="E6EED5" w:themeFill="accent3" w:themeFillTint="3F"/>
      </w:tcPr>
    </w:tblStylePr>
    <w:tblStylePr w:type="band2Horz">
      <w:tblPr/>
      <w:tcPr>
        <w:tcBorders>
          <w:insideH w:val="nil"/>
          <w:insideV w:val="nil"/>
        </w:tcBorders>
      </w:tcPr>
    </w:tblStylePr>
  </w:style>
  <w:style w:type="table" w:styleId="MediumShading1-accent4PHPDOCX">
    <w:name w:val="Medium Shading 1 Accent 4 PHPDOCX"/>
    <w:uiPriority w:val="63"/>
    <w:rsid w:val="00535F5A"/>
    <w:pPr>
      <w:spacing w:after="0" w:line="240" w:lineRule="auto"/>
    </w:pPr>
    <w:tblPr>
      <w:tblStyleRowBandSize w:val="1"/>
      <w:tblStyleColBandSize w:val="1"/>
      <w:tblInd w:w="0" w:type="dxa"/>
      <w:tblBorders>
        <w:top w:val="single" w:sz="8" w:space="0" w:color="9F8AB9" w:themeColor="accent4" w:themeTint="BF"/>
        <w:left w:val="single" w:sz="8" w:space="0" w:color="9F8AB9" w:themeColor="accent4" w:themeTint="BF"/>
        <w:bottom w:val="single" w:sz="8" w:space="0" w:color="9F8AB9" w:themeColor="accent4" w:themeTint="BF"/>
        <w:right w:val="single" w:sz="8" w:space="0" w:color="9F8AB9" w:themeColor="accent4" w:themeTint="BF"/>
        <w:insideH w:val="single" w:sz="8" w:space="0" w:color="9F8AB9" w:themeColor="accent4"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9F8AB9" w:themeColor="accent4" w:themeTint="BF"/>
          <w:left w:val="single" w:sz="8" w:space="0" w:color="9F8AB9" w:themeColor="accent4" w:themeTint="BF"/>
          <w:bottom w:val="single" w:sz="8" w:space="0" w:color="9F8AB9" w:themeColor="accent4" w:themeTint="BF"/>
          <w:right w:val="single" w:sz="8" w:space="0" w:color="9F8AB9" w:themeColor="accent4" w:themeTint="BF"/>
          <w:insideH w:val="nil"/>
          <w:insideV w:val="nil"/>
        </w:tcBorders>
        <w:shd w:val="clear" w:color="auto" w:fill="8064A2" w:themeFill="accent4"/>
      </w:tcPr>
    </w:tblStylePr>
    <w:tblStylePr w:type="lastRow">
      <w:pPr>
        <w:spacing w:before="0" w:after="0" w:line="240" w:lineRule="auto"/>
      </w:pPr>
      <w:rPr>
        <w:b/>
        <w:bCs/>
      </w:rPr>
      <w:tblPr/>
      <w:tcPr>
        <w:tcBorders>
          <w:top w:val="double" w:sz="6" w:space="0" w:color="9F8AB9" w:themeColor="accent4" w:themeTint="BF"/>
          <w:left w:val="single" w:sz="8" w:space="0" w:color="9F8AB9" w:themeColor="accent4" w:themeTint="BF"/>
          <w:bottom w:val="single" w:sz="8" w:space="0" w:color="9F8AB9" w:themeColor="accent4" w:themeTint="BF"/>
          <w:right w:val="single" w:sz="8" w:space="0" w:color="9F8AB9" w:themeColor="accent4" w:themeTint="BF"/>
          <w:insideH w:val="nil"/>
          <w:insideV w:val="nil"/>
        </w:tcBorders>
      </w:tcPr>
    </w:tblStylePr>
    <w:tblStylePr w:type="firstCol">
      <w:rPr>
        <w:b/>
        <w:bCs/>
      </w:rPr>
    </w:tblStylePr>
    <w:tblStylePr w:type="lastCol">
      <w:rPr>
        <w:b/>
        <w:bCs/>
      </w:rPr>
    </w:tblStylePr>
    <w:tblStylePr w:type="band1Vert">
      <w:tblPr/>
      <w:tcPr>
        <w:shd w:val="clear" w:color="auto" w:fill="DFD8E8" w:themeFill="accent4" w:themeFillTint="3F"/>
      </w:tcPr>
    </w:tblStylePr>
    <w:tblStylePr w:type="band1Horz">
      <w:tblPr/>
      <w:tcPr>
        <w:tcBorders>
          <w:insideH w:val="nil"/>
          <w:insideV w:val="nil"/>
        </w:tcBorders>
        <w:shd w:val="clear" w:color="auto" w:fill="DFD8E8" w:themeFill="accent4" w:themeFillTint="3F"/>
      </w:tcPr>
    </w:tblStylePr>
    <w:tblStylePr w:type="band2Horz">
      <w:tblPr/>
      <w:tcPr>
        <w:tcBorders>
          <w:insideH w:val="nil"/>
          <w:insideV w:val="nil"/>
        </w:tcBorders>
      </w:tcPr>
    </w:tblStylePr>
  </w:style>
  <w:style w:type="table" w:styleId="MediumShading1-accent5PHPDOCX">
    <w:name w:val="Medium Shading 1 Accent 5 PHPDOCX"/>
    <w:uiPriority w:val="63"/>
    <w:rsid w:val="00535F5A"/>
    <w:pPr>
      <w:spacing w:after="0" w:line="240" w:lineRule="auto"/>
    </w:pPr>
    <w:tblPr>
      <w:tblStyleRowBandSize w:val="1"/>
      <w:tblStyleColBandSize w:val="1"/>
      <w:tblInd w:w="0" w:type="dxa"/>
      <w:tblBorders>
        <w:top w:val="single" w:sz="8"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single" w:sz="8" w:space="0" w:color="78C0D4" w:themeColor="accent5"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nil"/>
          <w:insideV w:val="nil"/>
        </w:tcBorders>
        <w:shd w:val="clear" w:color="auto" w:fill="4BACC6" w:themeFill="accent5"/>
      </w:tcPr>
    </w:tblStylePr>
    <w:tblStylePr w:type="lastRow">
      <w:pPr>
        <w:spacing w:before="0" w:after="0" w:line="240" w:lineRule="auto"/>
      </w:pPr>
      <w:rPr>
        <w:b/>
        <w:bCs/>
      </w:rPr>
      <w:tblPr/>
      <w:tcPr>
        <w:tcBorders>
          <w:top w:val="double" w:sz="6"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nil"/>
          <w:insideV w:val="nil"/>
        </w:tcBorders>
      </w:tcPr>
    </w:tblStylePr>
    <w:tblStylePr w:type="firstCol">
      <w:rPr>
        <w:b/>
        <w:bCs/>
      </w:rPr>
    </w:tblStylePr>
    <w:tblStylePr w:type="lastCol">
      <w:rPr>
        <w:b/>
        <w:bCs/>
      </w:rPr>
    </w:tblStylePr>
    <w:tblStylePr w:type="band1Vert">
      <w:tblPr/>
      <w:tcPr>
        <w:shd w:val="clear" w:color="auto" w:fill="D2EAF1" w:themeFill="accent5" w:themeFillTint="3F"/>
      </w:tcPr>
    </w:tblStylePr>
    <w:tblStylePr w:type="band1Horz">
      <w:tblPr/>
      <w:tcPr>
        <w:tcBorders>
          <w:insideH w:val="nil"/>
          <w:insideV w:val="nil"/>
        </w:tcBorders>
        <w:shd w:val="clear" w:color="auto" w:fill="D2EAF1" w:themeFill="accent5" w:themeFillTint="3F"/>
      </w:tcPr>
    </w:tblStylePr>
    <w:tblStylePr w:type="band2Horz">
      <w:tblPr/>
      <w:tcPr>
        <w:tcBorders>
          <w:insideH w:val="nil"/>
          <w:insideV w:val="nil"/>
        </w:tcBorders>
      </w:tcPr>
    </w:tblStylePr>
  </w:style>
  <w:style w:type="table" w:styleId="MediumShading1-accent6PHPDOCX">
    <w:name w:val="Medium Shading 1 Accent 6 PHPDOCX"/>
    <w:uiPriority w:val="63"/>
    <w:rsid w:val="00535F5A"/>
    <w:pPr>
      <w:spacing w:after="0" w:line="240" w:lineRule="auto"/>
    </w:pPr>
    <w:tblPr>
      <w:tblStyleRowBandSize w:val="1"/>
      <w:tblStyleColBandSize w:val="1"/>
      <w:tblInd w:w="0" w:type="dxa"/>
      <w:tblBorders>
        <w:top w:val="single" w:sz="8"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single" w:sz="8" w:space="0" w:color="F9B074" w:themeColor="accent6"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nil"/>
          <w:insideV w:val="nil"/>
        </w:tcBorders>
        <w:shd w:val="clear" w:color="auto" w:fill="F79646" w:themeFill="accent6"/>
      </w:tcPr>
    </w:tblStylePr>
    <w:tblStylePr w:type="lastRow">
      <w:pPr>
        <w:spacing w:before="0" w:after="0" w:line="240" w:lineRule="auto"/>
      </w:pPr>
      <w:rPr>
        <w:b/>
        <w:bCs/>
      </w:rPr>
      <w:tblPr/>
      <w:tcPr>
        <w:tcBorders>
          <w:top w:val="double" w:sz="6"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nil"/>
          <w:insideV w:val="nil"/>
        </w:tcBorders>
      </w:tcPr>
    </w:tblStylePr>
    <w:tblStylePr w:type="firstCol">
      <w:rPr>
        <w:b/>
        <w:bCs/>
      </w:rPr>
    </w:tblStylePr>
    <w:tblStylePr w:type="lastCol">
      <w:rPr>
        <w:b/>
        <w:bCs/>
      </w:rPr>
    </w:tblStylePr>
    <w:tblStylePr w:type="band1Vert">
      <w:tblPr/>
      <w:tcPr>
        <w:shd w:val="clear" w:color="auto" w:fill="FDE4D0" w:themeFill="accent6" w:themeFillTint="3F"/>
      </w:tcPr>
    </w:tblStylePr>
    <w:tblStylePr w:type="band1Horz">
      <w:tblPr/>
      <w:tcPr>
        <w:tcBorders>
          <w:insideH w:val="nil"/>
          <w:insideV w:val="nil"/>
        </w:tcBorders>
        <w:shd w:val="clear" w:color="auto" w:fill="FDE4D0" w:themeFill="accent6" w:themeFillTint="3F"/>
      </w:tcPr>
    </w:tblStylePr>
    <w:tblStylePr w:type="band2Horz">
      <w:tblPr/>
      <w:tcPr>
        <w:tcBorders>
          <w:insideH w:val="nil"/>
          <w:insideV w:val="nil"/>
        </w:tcBorders>
      </w:tcPr>
    </w:tblStylePr>
  </w:style>
  <w:style w:type="table" w:styleId="MediumShading2PHPDOCX">
    <w:name w:val="Medium Shading 2 PHPDOCX"/>
    <w:uiPriority w:val="64"/>
    <w:rsid w:val="00535F5A"/>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000000" w:themeFill="text1"/>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000000" w:themeFill="text1"/>
      </w:tcPr>
    </w:tblStylePr>
    <w:tblStylePr w:type="lastCol">
      <w:rPr>
        <w:b/>
        <w:bCs/>
        <w:color w:val="FFFFFF" w:themeColor="background1"/>
      </w:rPr>
      <w:tblPr/>
      <w:tcPr>
        <w:tcBorders>
          <w:left w:val="nil"/>
          <w:right w:val="nil"/>
          <w:insideH w:val="nil"/>
          <w:insideV w:val="nil"/>
        </w:tcBorders>
        <w:shd w:val="clear" w:color="auto" w:fill="000000" w:themeFill="text1"/>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1PHPDOCX">
    <w:name w:val="Medium Shading 2 Accent 1 PHPDOCX"/>
    <w:uiPriority w:val="64"/>
    <w:rsid w:val="00535F5A"/>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4F81BD" w:themeFill="accent1"/>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4F81BD" w:themeFill="accent1"/>
      </w:tcPr>
    </w:tblStylePr>
    <w:tblStylePr w:type="lastCol">
      <w:rPr>
        <w:b/>
        <w:bCs/>
        <w:color w:val="FFFFFF" w:themeColor="background1"/>
      </w:rPr>
      <w:tblPr/>
      <w:tcPr>
        <w:tcBorders>
          <w:left w:val="nil"/>
          <w:right w:val="nil"/>
          <w:insideH w:val="nil"/>
          <w:insideV w:val="nil"/>
        </w:tcBorders>
        <w:shd w:val="clear" w:color="auto" w:fill="4F81BD" w:themeFill="accent1"/>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2PHPDOCX">
    <w:name w:val="Medium Shading 2 Accent 2 PHPDOCX"/>
    <w:uiPriority w:val="64"/>
    <w:rsid w:val="00535F5A"/>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C0504D" w:themeFill="accent2"/>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C0504D" w:themeFill="accent2"/>
      </w:tcPr>
    </w:tblStylePr>
    <w:tblStylePr w:type="lastCol">
      <w:rPr>
        <w:b/>
        <w:bCs/>
        <w:color w:val="FFFFFF" w:themeColor="background1"/>
      </w:rPr>
      <w:tblPr/>
      <w:tcPr>
        <w:tcBorders>
          <w:left w:val="nil"/>
          <w:right w:val="nil"/>
          <w:insideH w:val="nil"/>
          <w:insideV w:val="nil"/>
        </w:tcBorders>
        <w:shd w:val="clear" w:color="auto" w:fill="C0504D" w:themeFill="accent2"/>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3PHPDOCX">
    <w:name w:val="Medium Shading 2 Accent 3 PHPDOCX"/>
    <w:uiPriority w:val="64"/>
    <w:rsid w:val="00535F5A"/>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9BBB59" w:themeFill="accent3"/>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9BBB59" w:themeFill="accent3"/>
      </w:tcPr>
    </w:tblStylePr>
    <w:tblStylePr w:type="lastCol">
      <w:rPr>
        <w:b/>
        <w:bCs/>
        <w:color w:val="FFFFFF" w:themeColor="background1"/>
      </w:rPr>
      <w:tblPr/>
      <w:tcPr>
        <w:tcBorders>
          <w:left w:val="nil"/>
          <w:right w:val="nil"/>
          <w:insideH w:val="nil"/>
          <w:insideV w:val="nil"/>
        </w:tcBorders>
        <w:shd w:val="clear" w:color="auto" w:fill="9BBB59" w:themeFill="accent3"/>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4PHPDOCX">
    <w:name w:val="Medium Shading 2 Accent 4 PHPDOCX"/>
    <w:uiPriority w:val="64"/>
    <w:rsid w:val="00535F5A"/>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8064A2" w:themeFill="accent4"/>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8064A2" w:themeFill="accent4"/>
      </w:tcPr>
    </w:tblStylePr>
    <w:tblStylePr w:type="lastCol">
      <w:rPr>
        <w:b/>
        <w:bCs/>
        <w:color w:val="FFFFFF" w:themeColor="background1"/>
      </w:rPr>
      <w:tblPr/>
      <w:tcPr>
        <w:tcBorders>
          <w:left w:val="nil"/>
          <w:right w:val="nil"/>
          <w:insideH w:val="nil"/>
          <w:insideV w:val="nil"/>
        </w:tcBorders>
        <w:shd w:val="clear" w:color="auto" w:fill="8064A2" w:themeFill="accent4"/>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5PHPDOCX">
    <w:name w:val="Medium Shading 2 Accent 5 PHPDOCX"/>
    <w:uiPriority w:val="64"/>
    <w:rsid w:val="00361FF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4BACC6" w:themeFill="accent5"/>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4BACC6" w:themeFill="accent5"/>
      </w:tcPr>
    </w:tblStylePr>
    <w:tblStylePr w:type="lastCol">
      <w:rPr>
        <w:b/>
        <w:bCs/>
        <w:color w:val="FFFFFF" w:themeColor="background1"/>
      </w:rPr>
      <w:tblPr/>
      <w:tcPr>
        <w:tcBorders>
          <w:left w:val="nil"/>
          <w:right w:val="nil"/>
          <w:insideH w:val="nil"/>
          <w:insideV w:val="nil"/>
        </w:tcBorders>
        <w:shd w:val="clear" w:color="auto" w:fill="4BACC6" w:themeFill="accent5"/>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6PHPDOCX">
    <w:name w:val="Medium Shading 2 Accent 6 PHPDOCX"/>
    <w:uiPriority w:val="64"/>
    <w:rsid w:val="00361FF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F79646" w:themeFill="accent6"/>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F79646" w:themeFill="accent6"/>
      </w:tcPr>
    </w:tblStylePr>
    <w:tblStylePr w:type="lastCol">
      <w:rPr>
        <w:b/>
        <w:bCs/>
        <w:color w:val="FFFFFF" w:themeColor="background1"/>
      </w:rPr>
      <w:tblPr/>
      <w:tcPr>
        <w:tcBorders>
          <w:left w:val="nil"/>
          <w:right w:val="nil"/>
          <w:insideH w:val="nil"/>
          <w:insideV w:val="nil"/>
        </w:tcBorders>
        <w:shd w:val="clear" w:color="auto" w:fill="F79646" w:themeFill="accent6"/>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List1PHPDOCX">
    <w:name w:val="Medium List 1 PHPDOCX"/>
    <w:uiPriority w:val="65"/>
    <w:rsid w:val="00361FF4"/>
    <w:pPr>
      <w:spacing w:after="0" w:line="240" w:lineRule="auto"/>
    </w:pPr>
    <w:rPr>
      <w:color w:val="000000" w:themeColor="text1"/>
    </w:rPr>
    <w:tblPr>
      <w:tblStyleRowBandSize w:val="1"/>
      <w:tblStyleColBandSize w:val="1"/>
      <w:tblInd w:w="0" w:type="dxa"/>
      <w:tblBorders>
        <w:top w:val="single" w:sz="8" w:space="0" w:color="000000" w:themeColor="text1"/>
        <w:bottom w:val="single" w:sz="8" w:space="0" w:color="000000" w:themeColor="text1"/>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000000" w:themeColor="text1"/>
        </w:tcBorders>
      </w:tcPr>
    </w:tblStylePr>
    <w:tblStylePr w:type="lastRow">
      <w:rPr>
        <w:b/>
        <w:bCs/>
        <w:color w:val="1F497D" w:themeColor="text2"/>
      </w:rPr>
      <w:tblPr/>
      <w:tcPr>
        <w:tcBorders>
          <w:top w:val="single" w:sz="8" w:space="0" w:color="000000" w:themeColor="text1"/>
          <w:bottom w:val="single" w:sz="8" w:space="0" w:color="000000" w:themeColor="text1"/>
        </w:tcBorders>
      </w:tcPr>
    </w:tblStylePr>
    <w:tblStylePr w:type="firstCol">
      <w:rPr>
        <w:b/>
        <w:bCs/>
      </w:rPr>
    </w:tblStylePr>
    <w:tblStylePr w:type="lastCol">
      <w:rPr>
        <w:b/>
        <w:bCs/>
      </w:rPr>
      <w:tblPr/>
      <w:tcPr>
        <w:tcBorders>
          <w:top w:val="single" w:sz="8" w:space="0" w:color="000000" w:themeColor="text1"/>
          <w:bottom w:val="single" w:sz="8" w:space="0" w:color="000000" w:themeColor="text1"/>
        </w:tcBorders>
      </w:tcPr>
    </w:tblStylePr>
    <w:tblStylePr w:type="band1Vert">
      <w:tblPr/>
      <w:tcPr>
        <w:shd w:val="clear" w:color="auto" w:fill="C0C0C0" w:themeFill="text1" w:themeFillTint="3F"/>
      </w:tcPr>
    </w:tblStylePr>
    <w:tblStylePr w:type="band1Horz">
      <w:tblPr/>
      <w:tcPr>
        <w:shd w:val="clear" w:color="auto" w:fill="C0C0C0" w:themeFill="text1" w:themeFillTint="3F"/>
      </w:tcPr>
    </w:tblStylePr>
  </w:style>
  <w:style w:type="table" w:styleId="MediumList1-accent1PHPDOCX">
    <w:name w:val="Medium List 1 Accent 1 PHPDOCX"/>
    <w:uiPriority w:val="65"/>
    <w:rsid w:val="00361FF4"/>
    <w:pPr>
      <w:spacing w:after="0" w:line="240" w:lineRule="auto"/>
    </w:pPr>
    <w:rPr>
      <w:color w:val="000000" w:themeColor="text1"/>
    </w:rPr>
    <w:tblPr>
      <w:tblStyleRowBandSize w:val="1"/>
      <w:tblStyleColBandSize w:val="1"/>
      <w:tblInd w:w="0" w:type="dxa"/>
      <w:tblBorders>
        <w:top w:val="single" w:sz="8" w:space="0" w:color="4F81BD" w:themeColor="accent1"/>
        <w:bottom w:val="single" w:sz="8" w:space="0" w:color="4F81BD" w:themeColor="accent1"/>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4F81BD" w:themeColor="accent1"/>
        </w:tcBorders>
      </w:tcPr>
    </w:tblStylePr>
    <w:tblStylePr w:type="lastRow">
      <w:rPr>
        <w:b/>
        <w:bCs/>
        <w:color w:val="1F497D" w:themeColor="text2"/>
      </w:rPr>
      <w:tblPr/>
      <w:tcPr>
        <w:tcBorders>
          <w:top w:val="single" w:sz="8" w:space="0" w:color="4F81BD" w:themeColor="accent1"/>
          <w:bottom w:val="single" w:sz="8" w:space="0" w:color="4F81BD" w:themeColor="accent1"/>
        </w:tcBorders>
      </w:tcPr>
    </w:tblStylePr>
    <w:tblStylePr w:type="firstCol">
      <w:rPr>
        <w:b/>
        <w:bCs/>
      </w:rPr>
    </w:tblStylePr>
    <w:tblStylePr w:type="lastCol">
      <w:rPr>
        <w:b/>
        <w:bCs/>
      </w:rPr>
      <w:tblPr/>
      <w:tcPr>
        <w:tcBorders>
          <w:top w:val="single" w:sz="8" w:space="0" w:color="4F81BD" w:themeColor="accent1"/>
          <w:bottom w:val="single" w:sz="8" w:space="0" w:color="4F81BD" w:themeColor="accent1"/>
        </w:tcBorders>
      </w:tcPr>
    </w:tblStylePr>
    <w:tblStylePr w:type="band1Vert">
      <w:tblPr/>
      <w:tcPr>
        <w:shd w:val="clear" w:color="auto" w:fill="D3DFEE" w:themeFill="accent1" w:themeFillTint="3F"/>
      </w:tcPr>
    </w:tblStylePr>
    <w:tblStylePr w:type="band1Horz">
      <w:tblPr/>
      <w:tcPr>
        <w:shd w:val="clear" w:color="auto" w:fill="D3DFEE" w:themeFill="accent1" w:themeFillTint="3F"/>
      </w:tcPr>
    </w:tblStylePr>
  </w:style>
  <w:style w:type="table" w:styleId="MediumList1-accent2PHPDOCX">
    <w:name w:val="Medium List 1 Accent 2 PHPDOCX"/>
    <w:uiPriority w:val="65"/>
    <w:rsid w:val="00361FF4"/>
    <w:pPr>
      <w:spacing w:after="0" w:line="240" w:lineRule="auto"/>
    </w:pPr>
    <w:rPr>
      <w:color w:val="000000" w:themeColor="text1"/>
    </w:rPr>
    <w:tblPr>
      <w:tblStyleRowBandSize w:val="1"/>
      <w:tblStyleColBandSize w:val="1"/>
      <w:tblInd w:w="0" w:type="dxa"/>
      <w:tblBorders>
        <w:top w:val="single" w:sz="8" w:space="0" w:color="C0504D" w:themeColor="accent2"/>
        <w:bottom w:val="single" w:sz="8" w:space="0" w:color="C0504D" w:themeColor="accent2"/>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C0504D" w:themeColor="accent2"/>
        </w:tcBorders>
      </w:tcPr>
    </w:tblStylePr>
    <w:tblStylePr w:type="lastRow">
      <w:rPr>
        <w:b/>
        <w:bCs/>
        <w:color w:val="1F497D" w:themeColor="text2"/>
      </w:rPr>
      <w:tblPr/>
      <w:tcPr>
        <w:tcBorders>
          <w:top w:val="single" w:sz="8" w:space="0" w:color="C0504D" w:themeColor="accent2"/>
          <w:bottom w:val="single" w:sz="8" w:space="0" w:color="C0504D" w:themeColor="accent2"/>
        </w:tcBorders>
      </w:tcPr>
    </w:tblStylePr>
    <w:tblStylePr w:type="firstCol">
      <w:rPr>
        <w:b/>
        <w:bCs/>
      </w:rPr>
    </w:tblStylePr>
    <w:tblStylePr w:type="lastCol">
      <w:rPr>
        <w:b/>
        <w:bCs/>
      </w:rPr>
      <w:tblPr/>
      <w:tcPr>
        <w:tcBorders>
          <w:top w:val="single" w:sz="8" w:space="0" w:color="C0504D" w:themeColor="accent2"/>
          <w:bottom w:val="single" w:sz="8" w:space="0" w:color="C0504D" w:themeColor="accent2"/>
        </w:tcBorders>
      </w:tcPr>
    </w:tblStylePr>
    <w:tblStylePr w:type="band1Vert">
      <w:tblPr/>
      <w:tcPr>
        <w:shd w:val="clear" w:color="auto" w:fill="EFD3D2" w:themeFill="accent2" w:themeFillTint="3F"/>
      </w:tcPr>
    </w:tblStylePr>
    <w:tblStylePr w:type="band1Horz">
      <w:tblPr/>
      <w:tcPr>
        <w:shd w:val="clear" w:color="auto" w:fill="EFD3D2" w:themeFill="accent2" w:themeFillTint="3F"/>
      </w:tcPr>
    </w:tblStylePr>
  </w:style>
  <w:style w:type="table" w:styleId="MediumList1-accent3PHPDOCX">
    <w:name w:val="Medium List 1 Accent 3 PHPDOCX"/>
    <w:uiPriority w:val="65"/>
    <w:rsid w:val="00361FF4"/>
    <w:pPr>
      <w:spacing w:after="0" w:line="240" w:lineRule="auto"/>
    </w:pPr>
    <w:rPr>
      <w:color w:val="000000" w:themeColor="text1"/>
    </w:rPr>
    <w:tblPr>
      <w:tblStyleRowBandSize w:val="1"/>
      <w:tblStyleColBandSize w:val="1"/>
      <w:tblInd w:w="0" w:type="dxa"/>
      <w:tblBorders>
        <w:top w:val="single" w:sz="8" w:space="0" w:color="9BBB59" w:themeColor="accent3"/>
        <w:bottom w:val="single" w:sz="8" w:space="0" w:color="9BBB59" w:themeColor="accent3"/>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9BBB59" w:themeColor="accent3"/>
        </w:tcBorders>
      </w:tcPr>
    </w:tblStylePr>
    <w:tblStylePr w:type="lastRow">
      <w:rPr>
        <w:b/>
        <w:bCs/>
        <w:color w:val="1F497D" w:themeColor="text2"/>
      </w:rPr>
      <w:tblPr/>
      <w:tcPr>
        <w:tcBorders>
          <w:top w:val="single" w:sz="8" w:space="0" w:color="9BBB59" w:themeColor="accent3"/>
          <w:bottom w:val="single" w:sz="8" w:space="0" w:color="9BBB59" w:themeColor="accent3"/>
        </w:tcBorders>
      </w:tcPr>
    </w:tblStylePr>
    <w:tblStylePr w:type="firstCol">
      <w:rPr>
        <w:b/>
        <w:bCs/>
      </w:rPr>
    </w:tblStylePr>
    <w:tblStylePr w:type="lastCol">
      <w:rPr>
        <w:b/>
        <w:bCs/>
      </w:rPr>
      <w:tblPr/>
      <w:tcPr>
        <w:tcBorders>
          <w:top w:val="single" w:sz="8" w:space="0" w:color="9BBB59" w:themeColor="accent3"/>
          <w:bottom w:val="single" w:sz="8" w:space="0" w:color="9BBB59" w:themeColor="accent3"/>
        </w:tcBorders>
      </w:tcPr>
    </w:tblStylePr>
    <w:tblStylePr w:type="band1Vert">
      <w:tblPr/>
      <w:tcPr>
        <w:shd w:val="clear" w:color="auto" w:fill="E6EED5" w:themeFill="accent3" w:themeFillTint="3F"/>
      </w:tcPr>
    </w:tblStylePr>
    <w:tblStylePr w:type="band1Horz">
      <w:tblPr/>
      <w:tcPr>
        <w:shd w:val="clear" w:color="auto" w:fill="E6EED5" w:themeFill="accent3" w:themeFillTint="3F"/>
      </w:tcPr>
    </w:tblStylePr>
  </w:style>
  <w:style w:type="table" w:styleId="MediumList1-accent4PHPDOCX">
    <w:name w:val="Medium List 1 Accent 4 PHPDOCX"/>
    <w:uiPriority w:val="65"/>
    <w:rsid w:val="00361FF4"/>
    <w:pPr>
      <w:spacing w:after="0" w:line="240" w:lineRule="auto"/>
    </w:pPr>
    <w:rPr>
      <w:color w:val="000000" w:themeColor="text1"/>
    </w:rPr>
    <w:tblPr>
      <w:tblStyleRowBandSize w:val="1"/>
      <w:tblStyleColBandSize w:val="1"/>
      <w:tblInd w:w="0" w:type="dxa"/>
      <w:tblBorders>
        <w:top w:val="single" w:sz="8" w:space="0" w:color="8064A2" w:themeColor="accent4"/>
        <w:bottom w:val="single" w:sz="8" w:space="0" w:color="8064A2" w:themeColor="accent4"/>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8064A2" w:themeColor="accent4"/>
        </w:tcBorders>
      </w:tcPr>
    </w:tblStylePr>
    <w:tblStylePr w:type="lastRow">
      <w:rPr>
        <w:b/>
        <w:bCs/>
        <w:color w:val="1F497D" w:themeColor="text2"/>
      </w:rPr>
      <w:tblPr/>
      <w:tcPr>
        <w:tcBorders>
          <w:top w:val="single" w:sz="8" w:space="0" w:color="8064A2" w:themeColor="accent4"/>
          <w:bottom w:val="single" w:sz="8" w:space="0" w:color="8064A2" w:themeColor="accent4"/>
        </w:tcBorders>
      </w:tcPr>
    </w:tblStylePr>
    <w:tblStylePr w:type="firstCol">
      <w:rPr>
        <w:b/>
        <w:bCs/>
      </w:rPr>
    </w:tblStylePr>
    <w:tblStylePr w:type="lastCol">
      <w:rPr>
        <w:b/>
        <w:bCs/>
      </w:rPr>
      <w:tblPr/>
      <w:tcPr>
        <w:tcBorders>
          <w:top w:val="single" w:sz="8" w:space="0" w:color="8064A2" w:themeColor="accent4"/>
          <w:bottom w:val="single" w:sz="8" w:space="0" w:color="8064A2" w:themeColor="accent4"/>
        </w:tcBorders>
      </w:tcPr>
    </w:tblStylePr>
    <w:tblStylePr w:type="band1Vert">
      <w:tblPr/>
      <w:tcPr>
        <w:shd w:val="clear" w:color="auto" w:fill="DFD8E8" w:themeFill="accent4" w:themeFillTint="3F"/>
      </w:tcPr>
    </w:tblStylePr>
    <w:tblStylePr w:type="band1Horz">
      <w:tblPr/>
      <w:tcPr>
        <w:shd w:val="clear" w:color="auto" w:fill="DFD8E8" w:themeFill="accent4" w:themeFillTint="3F"/>
      </w:tcPr>
    </w:tblStylePr>
  </w:style>
  <w:style w:type="table" w:styleId="MediumList1-accent5PHPDOCX">
    <w:name w:val="Medium List 1 Accent 5 PHPDOCX"/>
    <w:uiPriority w:val="65"/>
    <w:rsid w:val="00361FF4"/>
    <w:pPr>
      <w:spacing w:after="0" w:line="240" w:lineRule="auto"/>
    </w:pPr>
    <w:rPr>
      <w:color w:val="000000" w:themeColor="text1"/>
    </w:rPr>
    <w:tblPr>
      <w:tblStyleRowBandSize w:val="1"/>
      <w:tblStyleColBandSize w:val="1"/>
      <w:tblInd w:w="0" w:type="dxa"/>
      <w:tblBorders>
        <w:top w:val="single" w:sz="8" w:space="0" w:color="4BACC6" w:themeColor="accent5"/>
        <w:bottom w:val="single" w:sz="8" w:space="0" w:color="4BACC6" w:themeColor="accent5"/>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4BACC6" w:themeColor="accent5"/>
        </w:tcBorders>
      </w:tcPr>
    </w:tblStylePr>
    <w:tblStylePr w:type="lastRow">
      <w:rPr>
        <w:b/>
        <w:bCs/>
        <w:color w:val="1F497D" w:themeColor="text2"/>
      </w:rPr>
      <w:tblPr/>
      <w:tcPr>
        <w:tcBorders>
          <w:top w:val="single" w:sz="8" w:space="0" w:color="4BACC6" w:themeColor="accent5"/>
          <w:bottom w:val="single" w:sz="8" w:space="0" w:color="4BACC6" w:themeColor="accent5"/>
        </w:tcBorders>
      </w:tcPr>
    </w:tblStylePr>
    <w:tblStylePr w:type="firstCol">
      <w:rPr>
        <w:b/>
        <w:bCs/>
      </w:rPr>
    </w:tblStylePr>
    <w:tblStylePr w:type="lastCol">
      <w:rPr>
        <w:b/>
        <w:bCs/>
      </w:rPr>
      <w:tblPr/>
      <w:tcPr>
        <w:tcBorders>
          <w:top w:val="single" w:sz="8" w:space="0" w:color="4BACC6" w:themeColor="accent5"/>
          <w:bottom w:val="single" w:sz="8" w:space="0" w:color="4BACC6" w:themeColor="accent5"/>
        </w:tcBorders>
      </w:tcPr>
    </w:tblStylePr>
    <w:tblStylePr w:type="band1Vert">
      <w:tblPr/>
      <w:tcPr>
        <w:shd w:val="clear" w:color="auto" w:fill="D2EAF1" w:themeFill="accent5" w:themeFillTint="3F"/>
      </w:tcPr>
    </w:tblStylePr>
    <w:tblStylePr w:type="band1Horz">
      <w:tblPr/>
      <w:tcPr>
        <w:shd w:val="clear" w:color="auto" w:fill="D2EAF1" w:themeFill="accent5" w:themeFillTint="3F"/>
      </w:tcPr>
    </w:tblStylePr>
  </w:style>
  <w:style w:type="table" w:styleId="MediumList1-accent6PHPDOCX">
    <w:name w:val="Medium List 1 Accent 6 PHPDOCX"/>
    <w:uiPriority w:val="65"/>
    <w:rsid w:val="00361FF4"/>
    <w:pPr>
      <w:spacing w:after="0" w:line="240" w:lineRule="auto"/>
    </w:pPr>
    <w:rPr>
      <w:color w:val="000000" w:themeColor="text1"/>
    </w:rPr>
    <w:tblPr>
      <w:tblStyleRowBandSize w:val="1"/>
      <w:tblStyleColBandSize w:val="1"/>
      <w:tblInd w:w="0" w:type="dxa"/>
      <w:tblBorders>
        <w:top w:val="single" w:sz="8" w:space="0" w:color="F79646" w:themeColor="accent6"/>
        <w:bottom w:val="single" w:sz="8" w:space="0" w:color="F79646" w:themeColor="accent6"/>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F79646" w:themeColor="accent6"/>
        </w:tcBorders>
      </w:tcPr>
    </w:tblStylePr>
    <w:tblStylePr w:type="lastRow">
      <w:rPr>
        <w:b/>
        <w:bCs/>
        <w:color w:val="1F497D" w:themeColor="text2"/>
      </w:rPr>
      <w:tblPr/>
      <w:tcPr>
        <w:tcBorders>
          <w:top w:val="single" w:sz="8" w:space="0" w:color="F79646" w:themeColor="accent6"/>
          <w:bottom w:val="single" w:sz="8" w:space="0" w:color="F79646" w:themeColor="accent6"/>
        </w:tcBorders>
      </w:tcPr>
    </w:tblStylePr>
    <w:tblStylePr w:type="firstCol">
      <w:rPr>
        <w:b/>
        <w:bCs/>
      </w:rPr>
    </w:tblStylePr>
    <w:tblStylePr w:type="lastCol">
      <w:rPr>
        <w:b/>
        <w:bCs/>
      </w:rPr>
      <w:tblPr/>
      <w:tcPr>
        <w:tcBorders>
          <w:top w:val="single" w:sz="8" w:space="0" w:color="F79646" w:themeColor="accent6"/>
          <w:bottom w:val="single" w:sz="8" w:space="0" w:color="F79646" w:themeColor="accent6"/>
        </w:tcBorders>
      </w:tcPr>
    </w:tblStylePr>
    <w:tblStylePr w:type="band1Vert">
      <w:tblPr/>
      <w:tcPr>
        <w:shd w:val="clear" w:color="auto" w:fill="FDE4D0" w:themeFill="accent6" w:themeFillTint="3F"/>
      </w:tcPr>
    </w:tblStylePr>
    <w:tblStylePr w:type="band1Horz">
      <w:tblPr/>
      <w:tcPr>
        <w:shd w:val="clear" w:color="auto" w:fill="FDE4D0" w:themeFill="accent6" w:themeFillTint="3F"/>
      </w:tcPr>
    </w:tblStylePr>
  </w:style>
  <w:style w:type="table" w:styleId="MediumList2PHPDOCX">
    <w:name w:val="Medium List 2 PHPDOCX"/>
    <w:uiPriority w:val="66"/>
    <w:rsid w:val="00361FF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000000" w:themeColor="text1"/>
        <w:left w:val="single" w:sz="8" w:space="0" w:color="000000" w:themeColor="text1"/>
        <w:bottom w:val="single" w:sz="8" w:space="0" w:color="000000" w:themeColor="text1"/>
        <w:right w:val="single" w:sz="8" w:space="0" w:color="000000" w:themeColor="text1"/>
      </w:tblBorders>
      <w:tblCellMar>
        <w:top w:w="0" w:type="dxa"/>
        <w:left w:w="108" w:type="dxa"/>
        <w:bottom w:w="0" w:type="dxa"/>
        <w:right w:w="108" w:type="dxa"/>
      </w:tblCellMar>
    </w:tblPr>
    <w:tblStylePr w:type="firstRow">
      <w:rPr>
        <w:sz w:val="24"/>
        <w:szCs w:val="24"/>
      </w:rPr>
      <w:tblPr/>
      <w:tcPr>
        <w:tcBorders>
          <w:top w:val="nil"/>
          <w:left w:val="nil"/>
          <w:bottom w:val="single" w:sz="24" w:space="0" w:color="000000" w:themeColor="text1"/>
          <w:right w:val="nil"/>
          <w:insideH w:val="nil"/>
          <w:insideV w:val="nil"/>
        </w:tcBorders>
        <w:shd w:val="clear" w:color="auto" w:fill="FFFFFF" w:themeFill="background1"/>
      </w:tcPr>
    </w:tblStylePr>
    <w:tblStylePr w:type="lastRow">
      <w:tblPr/>
      <w:tcPr>
        <w:tcBorders>
          <w:top w:val="single" w:sz="8" w:space="0" w:color="000000" w:themeColor="text1"/>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000000" w:themeColor="text1"/>
          <w:insideH w:val="nil"/>
          <w:insideV w:val="nil"/>
        </w:tcBorders>
        <w:shd w:val="clear" w:color="auto" w:fill="FFFFFF" w:themeFill="background1"/>
      </w:tcPr>
    </w:tblStylePr>
    <w:tblStylePr w:type="lastCol">
      <w:tblPr/>
      <w:tcPr>
        <w:tcBorders>
          <w:top w:val="nil"/>
          <w:left w:val="single" w:sz="8" w:space="0" w:color="000000" w:themeColor="text1"/>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top w:val="nil"/>
          <w:bottom w:val="nil"/>
          <w:insideH w:val="nil"/>
          <w:insideV w:val="nil"/>
        </w:tcBorders>
        <w:shd w:val="clear" w:color="auto" w:fill="C0C0C0" w:themeFill="text1"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1PHPDOCX">
    <w:name w:val="Medium List 2 Accent 1 PHPDOCX"/>
    <w:uiPriority w:val="66"/>
    <w:rsid w:val="00361FF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4F81BD" w:themeColor="accent1"/>
        <w:left w:val="single" w:sz="8" w:space="0" w:color="4F81BD" w:themeColor="accent1"/>
        <w:bottom w:val="single" w:sz="8" w:space="0" w:color="4F81BD" w:themeColor="accent1"/>
        <w:right w:val="single" w:sz="8" w:space="0" w:color="4F81BD" w:themeColor="accent1"/>
      </w:tblBorders>
      <w:tblCellMar>
        <w:top w:w="0" w:type="dxa"/>
        <w:left w:w="108" w:type="dxa"/>
        <w:bottom w:w="0" w:type="dxa"/>
        <w:right w:w="108" w:type="dxa"/>
      </w:tblCellMar>
    </w:tblPr>
    <w:tblStylePr w:type="firstRow">
      <w:rPr>
        <w:sz w:val="24"/>
        <w:szCs w:val="24"/>
      </w:rPr>
      <w:tblPr/>
      <w:tcPr>
        <w:tcBorders>
          <w:top w:val="nil"/>
          <w:left w:val="nil"/>
          <w:bottom w:val="single" w:sz="24" w:space="0" w:color="4F81BD" w:themeColor="accent1"/>
          <w:right w:val="nil"/>
          <w:insideH w:val="nil"/>
          <w:insideV w:val="nil"/>
        </w:tcBorders>
        <w:shd w:val="clear" w:color="auto" w:fill="FFFFFF" w:themeFill="background1"/>
      </w:tcPr>
    </w:tblStylePr>
    <w:tblStylePr w:type="lastRow">
      <w:tblPr/>
      <w:tcPr>
        <w:tcBorders>
          <w:top w:val="single" w:sz="8" w:space="0" w:color="4F81BD" w:themeColor="accent1"/>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4F81BD" w:themeColor="accent1"/>
          <w:insideH w:val="nil"/>
          <w:insideV w:val="nil"/>
        </w:tcBorders>
        <w:shd w:val="clear" w:color="auto" w:fill="FFFFFF" w:themeFill="background1"/>
      </w:tcPr>
    </w:tblStylePr>
    <w:tblStylePr w:type="lastCol">
      <w:tblPr/>
      <w:tcPr>
        <w:tcBorders>
          <w:top w:val="nil"/>
          <w:left w:val="single" w:sz="8" w:space="0" w:color="4F81BD" w:themeColor="accent1"/>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D3DFEE" w:themeFill="accent1" w:themeFillTint="3F"/>
      </w:tcPr>
    </w:tblStylePr>
    <w:tblStylePr w:type="band1Horz">
      <w:tblPr/>
      <w:tcPr>
        <w:tcBorders>
          <w:top w:val="nil"/>
          <w:bottom w:val="nil"/>
          <w:insideH w:val="nil"/>
          <w:insideV w:val="nil"/>
        </w:tcBorders>
        <w:shd w:val="clear" w:color="auto" w:fill="D3DFEE" w:themeFill="accent1"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2PHPDOCX">
    <w:name w:val="Medium List 2 Accent 2 PHPDOCX"/>
    <w:uiPriority w:val="66"/>
    <w:rsid w:val="00361FF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C0504D" w:themeColor="accent2"/>
        <w:left w:val="single" w:sz="8" w:space="0" w:color="C0504D" w:themeColor="accent2"/>
        <w:bottom w:val="single" w:sz="8" w:space="0" w:color="C0504D" w:themeColor="accent2"/>
        <w:right w:val="single" w:sz="8" w:space="0" w:color="C0504D" w:themeColor="accent2"/>
      </w:tblBorders>
      <w:tblCellMar>
        <w:top w:w="0" w:type="dxa"/>
        <w:left w:w="108" w:type="dxa"/>
        <w:bottom w:w="0" w:type="dxa"/>
        <w:right w:w="108" w:type="dxa"/>
      </w:tblCellMar>
    </w:tblPr>
    <w:tblStylePr w:type="firstRow">
      <w:rPr>
        <w:sz w:val="24"/>
        <w:szCs w:val="24"/>
      </w:rPr>
      <w:tblPr/>
      <w:tcPr>
        <w:tcBorders>
          <w:top w:val="nil"/>
          <w:left w:val="nil"/>
          <w:bottom w:val="single" w:sz="24" w:space="0" w:color="C0504D" w:themeColor="accent2"/>
          <w:right w:val="nil"/>
          <w:insideH w:val="nil"/>
          <w:insideV w:val="nil"/>
        </w:tcBorders>
        <w:shd w:val="clear" w:color="auto" w:fill="FFFFFF" w:themeFill="background1"/>
      </w:tcPr>
    </w:tblStylePr>
    <w:tblStylePr w:type="lastRow">
      <w:tblPr/>
      <w:tcPr>
        <w:tcBorders>
          <w:top w:val="single" w:sz="8" w:space="0" w:color="C0504D" w:themeColor="accent2"/>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C0504D" w:themeColor="accent2"/>
          <w:insideH w:val="nil"/>
          <w:insideV w:val="nil"/>
        </w:tcBorders>
        <w:shd w:val="clear" w:color="auto" w:fill="FFFFFF" w:themeFill="background1"/>
      </w:tcPr>
    </w:tblStylePr>
    <w:tblStylePr w:type="lastCol">
      <w:tblPr/>
      <w:tcPr>
        <w:tcBorders>
          <w:top w:val="nil"/>
          <w:left w:val="single" w:sz="8" w:space="0" w:color="C0504D" w:themeColor="accent2"/>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EFD3D2" w:themeFill="accent2" w:themeFillTint="3F"/>
      </w:tcPr>
    </w:tblStylePr>
    <w:tblStylePr w:type="band1Horz">
      <w:tblPr/>
      <w:tcPr>
        <w:tcBorders>
          <w:top w:val="nil"/>
          <w:bottom w:val="nil"/>
          <w:insideH w:val="nil"/>
          <w:insideV w:val="nil"/>
        </w:tcBorders>
        <w:shd w:val="clear" w:color="auto" w:fill="EFD3D2" w:themeFill="accent2"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3PHPDOCX">
    <w:name w:val="Medium List 2 Accent 3 PHPDOCX"/>
    <w:uiPriority w:val="66"/>
    <w:rsid w:val="00361FF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9BBB59" w:themeColor="accent3"/>
        <w:left w:val="single" w:sz="8" w:space="0" w:color="9BBB59" w:themeColor="accent3"/>
        <w:bottom w:val="single" w:sz="8" w:space="0" w:color="9BBB59" w:themeColor="accent3"/>
        <w:right w:val="single" w:sz="8" w:space="0" w:color="9BBB59" w:themeColor="accent3"/>
      </w:tblBorders>
      <w:tblCellMar>
        <w:top w:w="0" w:type="dxa"/>
        <w:left w:w="108" w:type="dxa"/>
        <w:bottom w:w="0" w:type="dxa"/>
        <w:right w:w="108" w:type="dxa"/>
      </w:tblCellMar>
    </w:tblPr>
    <w:tblStylePr w:type="firstRow">
      <w:rPr>
        <w:sz w:val="24"/>
        <w:szCs w:val="24"/>
      </w:rPr>
      <w:tblPr/>
      <w:tcPr>
        <w:tcBorders>
          <w:top w:val="nil"/>
          <w:left w:val="nil"/>
          <w:bottom w:val="single" w:sz="24" w:space="0" w:color="9BBB59" w:themeColor="accent3"/>
          <w:right w:val="nil"/>
          <w:insideH w:val="nil"/>
          <w:insideV w:val="nil"/>
        </w:tcBorders>
        <w:shd w:val="clear" w:color="auto" w:fill="FFFFFF" w:themeFill="background1"/>
      </w:tcPr>
    </w:tblStylePr>
    <w:tblStylePr w:type="lastRow">
      <w:tblPr/>
      <w:tcPr>
        <w:tcBorders>
          <w:top w:val="single" w:sz="8" w:space="0" w:color="9BBB59" w:themeColor="accent3"/>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9BBB59" w:themeColor="accent3"/>
          <w:insideH w:val="nil"/>
          <w:insideV w:val="nil"/>
        </w:tcBorders>
        <w:shd w:val="clear" w:color="auto" w:fill="FFFFFF" w:themeFill="background1"/>
      </w:tcPr>
    </w:tblStylePr>
    <w:tblStylePr w:type="lastCol">
      <w:tblPr/>
      <w:tcPr>
        <w:tcBorders>
          <w:top w:val="nil"/>
          <w:left w:val="single" w:sz="8" w:space="0" w:color="9BBB59" w:themeColor="accent3"/>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E6EED5" w:themeFill="accent3" w:themeFillTint="3F"/>
      </w:tcPr>
    </w:tblStylePr>
    <w:tblStylePr w:type="band1Horz">
      <w:tblPr/>
      <w:tcPr>
        <w:tcBorders>
          <w:top w:val="nil"/>
          <w:bottom w:val="nil"/>
          <w:insideH w:val="nil"/>
          <w:insideV w:val="nil"/>
        </w:tcBorders>
        <w:shd w:val="clear" w:color="auto" w:fill="E6EED5" w:themeFill="accent3"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4PHPDOCX">
    <w:name w:val="Medium List 2 Accent 4 PHPDOCX"/>
    <w:uiPriority w:val="66"/>
    <w:rsid w:val="00361FF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8064A2" w:themeColor="accent4"/>
        <w:left w:val="single" w:sz="8" w:space="0" w:color="8064A2" w:themeColor="accent4"/>
        <w:bottom w:val="single" w:sz="8" w:space="0" w:color="8064A2" w:themeColor="accent4"/>
        <w:right w:val="single" w:sz="8" w:space="0" w:color="8064A2" w:themeColor="accent4"/>
      </w:tblBorders>
      <w:tblCellMar>
        <w:top w:w="0" w:type="dxa"/>
        <w:left w:w="108" w:type="dxa"/>
        <w:bottom w:w="0" w:type="dxa"/>
        <w:right w:w="108" w:type="dxa"/>
      </w:tblCellMar>
    </w:tblPr>
    <w:tblStylePr w:type="firstRow">
      <w:rPr>
        <w:sz w:val="24"/>
        <w:szCs w:val="24"/>
      </w:rPr>
      <w:tblPr/>
      <w:tcPr>
        <w:tcBorders>
          <w:top w:val="nil"/>
          <w:left w:val="nil"/>
          <w:bottom w:val="single" w:sz="24" w:space="0" w:color="8064A2" w:themeColor="accent4"/>
          <w:right w:val="nil"/>
          <w:insideH w:val="nil"/>
          <w:insideV w:val="nil"/>
        </w:tcBorders>
        <w:shd w:val="clear" w:color="auto" w:fill="FFFFFF" w:themeFill="background1"/>
      </w:tcPr>
    </w:tblStylePr>
    <w:tblStylePr w:type="lastRow">
      <w:tblPr/>
      <w:tcPr>
        <w:tcBorders>
          <w:top w:val="single" w:sz="8" w:space="0" w:color="8064A2" w:themeColor="accent4"/>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8064A2" w:themeColor="accent4"/>
          <w:insideH w:val="nil"/>
          <w:insideV w:val="nil"/>
        </w:tcBorders>
        <w:shd w:val="clear" w:color="auto" w:fill="FFFFFF" w:themeFill="background1"/>
      </w:tcPr>
    </w:tblStylePr>
    <w:tblStylePr w:type="lastCol">
      <w:tblPr/>
      <w:tcPr>
        <w:tcBorders>
          <w:top w:val="nil"/>
          <w:left w:val="single" w:sz="8" w:space="0" w:color="8064A2" w:themeColor="accent4"/>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DFD8E8" w:themeFill="accent4" w:themeFillTint="3F"/>
      </w:tcPr>
    </w:tblStylePr>
    <w:tblStylePr w:type="band1Horz">
      <w:tblPr/>
      <w:tcPr>
        <w:tcBorders>
          <w:top w:val="nil"/>
          <w:bottom w:val="nil"/>
          <w:insideH w:val="nil"/>
          <w:insideV w:val="nil"/>
        </w:tcBorders>
        <w:shd w:val="clear" w:color="auto" w:fill="DFD8E8" w:themeFill="accent4"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5PHPDOCX">
    <w:name w:val="Medium List 2 Accent 5 PHPDOCX"/>
    <w:uiPriority w:val="66"/>
    <w:rsid w:val="00361FF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4BACC6" w:themeColor="accent5"/>
        <w:left w:val="single" w:sz="8" w:space="0" w:color="4BACC6" w:themeColor="accent5"/>
        <w:bottom w:val="single" w:sz="8" w:space="0" w:color="4BACC6" w:themeColor="accent5"/>
        <w:right w:val="single" w:sz="8" w:space="0" w:color="4BACC6" w:themeColor="accent5"/>
      </w:tblBorders>
      <w:tblCellMar>
        <w:top w:w="0" w:type="dxa"/>
        <w:left w:w="108" w:type="dxa"/>
        <w:bottom w:w="0" w:type="dxa"/>
        <w:right w:w="108" w:type="dxa"/>
      </w:tblCellMar>
    </w:tblPr>
    <w:tblStylePr w:type="firstRow">
      <w:rPr>
        <w:sz w:val="24"/>
        <w:szCs w:val="24"/>
      </w:rPr>
      <w:tblPr/>
      <w:tcPr>
        <w:tcBorders>
          <w:top w:val="nil"/>
          <w:left w:val="nil"/>
          <w:bottom w:val="single" w:sz="24" w:space="0" w:color="4BACC6" w:themeColor="accent5"/>
          <w:right w:val="nil"/>
          <w:insideH w:val="nil"/>
          <w:insideV w:val="nil"/>
        </w:tcBorders>
        <w:shd w:val="clear" w:color="auto" w:fill="FFFFFF" w:themeFill="background1"/>
      </w:tcPr>
    </w:tblStylePr>
    <w:tblStylePr w:type="lastRow">
      <w:tblPr/>
      <w:tcPr>
        <w:tcBorders>
          <w:top w:val="single" w:sz="8" w:space="0" w:color="4BACC6" w:themeColor="accent5"/>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4BACC6" w:themeColor="accent5"/>
          <w:insideH w:val="nil"/>
          <w:insideV w:val="nil"/>
        </w:tcBorders>
        <w:shd w:val="clear" w:color="auto" w:fill="FFFFFF" w:themeFill="background1"/>
      </w:tcPr>
    </w:tblStylePr>
    <w:tblStylePr w:type="lastCol">
      <w:tblPr/>
      <w:tcPr>
        <w:tcBorders>
          <w:top w:val="nil"/>
          <w:left w:val="single" w:sz="8" w:space="0" w:color="4BACC6" w:themeColor="accent5"/>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D2EAF1" w:themeFill="accent5" w:themeFillTint="3F"/>
      </w:tcPr>
    </w:tblStylePr>
    <w:tblStylePr w:type="band1Horz">
      <w:tblPr/>
      <w:tcPr>
        <w:tcBorders>
          <w:top w:val="nil"/>
          <w:bottom w:val="nil"/>
          <w:insideH w:val="nil"/>
          <w:insideV w:val="nil"/>
        </w:tcBorders>
        <w:shd w:val="clear" w:color="auto" w:fill="D2EAF1" w:themeFill="accent5"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6PHPDOCX">
    <w:name w:val="Medium List 2 Accent 6 PHPDOCX"/>
    <w:uiPriority w:val="66"/>
    <w:rsid w:val="00361FF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F79646" w:themeColor="accent6"/>
        <w:left w:val="single" w:sz="8" w:space="0" w:color="F79646" w:themeColor="accent6"/>
        <w:bottom w:val="single" w:sz="8" w:space="0" w:color="F79646" w:themeColor="accent6"/>
        <w:right w:val="single" w:sz="8" w:space="0" w:color="F79646" w:themeColor="accent6"/>
      </w:tblBorders>
      <w:tblCellMar>
        <w:top w:w="0" w:type="dxa"/>
        <w:left w:w="108" w:type="dxa"/>
        <w:bottom w:w="0" w:type="dxa"/>
        <w:right w:w="108" w:type="dxa"/>
      </w:tblCellMar>
    </w:tblPr>
    <w:tblStylePr w:type="firstRow">
      <w:rPr>
        <w:sz w:val="24"/>
        <w:szCs w:val="24"/>
      </w:rPr>
      <w:tblPr/>
      <w:tcPr>
        <w:tcBorders>
          <w:top w:val="nil"/>
          <w:left w:val="nil"/>
          <w:bottom w:val="single" w:sz="24" w:space="0" w:color="F79646" w:themeColor="accent6"/>
          <w:right w:val="nil"/>
          <w:insideH w:val="nil"/>
          <w:insideV w:val="nil"/>
        </w:tcBorders>
        <w:shd w:val="clear" w:color="auto" w:fill="FFFFFF" w:themeFill="background1"/>
      </w:tcPr>
    </w:tblStylePr>
    <w:tblStylePr w:type="lastRow">
      <w:tblPr/>
      <w:tcPr>
        <w:tcBorders>
          <w:top w:val="single" w:sz="8" w:space="0" w:color="F79646" w:themeColor="accent6"/>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F79646" w:themeColor="accent6"/>
          <w:insideH w:val="nil"/>
          <w:insideV w:val="nil"/>
        </w:tcBorders>
        <w:shd w:val="clear" w:color="auto" w:fill="FFFFFF" w:themeFill="background1"/>
      </w:tcPr>
    </w:tblStylePr>
    <w:tblStylePr w:type="lastCol">
      <w:tblPr/>
      <w:tcPr>
        <w:tcBorders>
          <w:top w:val="nil"/>
          <w:left w:val="single" w:sz="8" w:space="0" w:color="F79646" w:themeColor="accent6"/>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FDE4D0" w:themeFill="accent6" w:themeFillTint="3F"/>
      </w:tcPr>
    </w:tblStylePr>
    <w:tblStylePr w:type="band1Horz">
      <w:tblPr/>
      <w:tcPr>
        <w:tcBorders>
          <w:top w:val="nil"/>
          <w:bottom w:val="nil"/>
          <w:insideH w:val="nil"/>
          <w:insideV w:val="nil"/>
        </w:tcBorders>
        <w:shd w:val="clear" w:color="auto" w:fill="FDE4D0" w:themeFill="accent6"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Grid1PHPDOCX">
    <w:name w:val="Medium Grid 1 PHPDOCX"/>
    <w:uiPriority w:val="67"/>
    <w:rsid w:val="00361FF4"/>
    <w:pPr>
      <w:spacing w:after="0" w:line="240" w:lineRule="auto"/>
    </w:pPr>
    <w:tblPr>
      <w:tblStyleRowBandSize w:val="1"/>
      <w:tblStyleColBandSize w:val="1"/>
      <w:tblInd w:w="0" w:type="dxa"/>
      <w:tbl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single" w:sz="8" w:space="0" w:color="404040" w:themeColor="text1" w:themeTint="BF"/>
        <w:insideV w:val="single" w:sz="8" w:space="0" w:color="404040" w:themeColor="text1" w:themeTint="BF"/>
      </w:tblBorders>
      <w:tblCellMar>
        <w:top w:w="0" w:type="dxa"/>
        <w:left w:w="108" w:type="dxa"/>
        <w:bottom w:w="0" w:type="dxa"/>
        <w:right w:w="108" w:type="dxa"/>
      </w:tblCellMar>
    </w:tblPr>
    <w:tcPr>
      <w:shd w:val="clear" w:color="auto" w:fill="C0C0C0" w:themeFill="text1" w:themeFillTint="3F"/>
    </w:tcPr>
    <w:tblStylePr w:type="firstRow">
      <w:rPr>
        <w:b/>
        <w:bCs/>
      </w:rPr>
    </w:tblStylePr>
    <w:tblStylePr w:type="lastRow">
      <w:rPr>
        <w:b/>
        <w:bCs/>
      </w:rPr>
      <w:tblPr/>
      <w:tcPr>
        <w:tcBorders>
          <w:top w:val="single" w:sz="18" w:space="0" w:color="404040" w:themeColor="text1" w:themeTint="BF"/>
        </w:tcBorders>
      </w:tcPr>
    </w:tblStylePr>
    <w:tblStylePr w:type="firstCol">
      <w:rPr>
        <w:b/>
        <w:bCs/>
      </w:rPr>
    </w:tblStylePr>
    <w:tblStylePr w:type="lastCol">
      <w:rPr>
        <w:b/>
        <w:bCs/>
      </w:rPr>
    </w:tblStylePr>
    <w:tblStylePr w:type="band1Vert">
      <w:tblPr/>
      <w:tcPr>
        <w:shd w:val="clear" w:color="auto" w:fill="808080" w:themeFill="text1" w:themeFillTint="7F"/>
      </w:tcPr>
    </w:tblStylePr>
    <w:tblStylePr w:type="band1Horz">
      <w:tblPr/>
      <w:tcPr>
        <w:shd w:val="clear" w:color="auto" w:fill="808080" w:themeFill="text1" w:themeFillTint="7F"/>
      </w:tcPr>
    </w:tblStylePr>
  </w:style>
  <w:style w:type="table" w:styleId="MediumGrid1-accent1PHPDOCX">
    <w:name w:val="Medium Grid 1 Accent 1 PHPDOCX"/>
    <w:uiPriority w:val="67"/>
    <w:rsid w:val="00361FF4"/>
    <w:pPr>
      <w:spacing w:after="0" w:line="240" w:lineRule="auto"/>
    </w:pPr>
    <w:tblPr>
      <w:tblStyleRowBandSize w:val="1"/>
      <w:tblStyleColBandSize w:val="1"/>
      <w:tblInd w:w="0" w:type="dxa"/>
      <w:tbl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single" w:sz="8" w:space="0" w:color="7BA0CD" w:themeColor="accent1" w:themeTint="BF"/>
        <w:insideV w:val="single" w:sz="8" w:space="0" w:color="7BA0CD" w:themeColor="accent1" w:themeTint="BF"/>
      </w:tblBorders>
      <w:tblCellMar>
        <w:top w:w="0" w:type="dxa"/>
        <w:left w:w="108" w:type="dxa"/>
        <w:bottom w:w="0" w:type="dxa"/>
        <w:right w:w="108" w:type="dxa"/>
      </w:tblCellMar>
    </w:tblPr>
    <w:tcPr>
      <w:shd w:val="clear" w:color="auto" w:fill="D3DFEE" w:themeFill="accent1" w:themeFillTint="3F"/>
    </w:tcPr>
    <w:tblStylePr w:type="firstRow">
      <w:rPr>
        <w:b/>
        <w:bCs/>
      </w:rPr>
    </w:tblStylePr>
    <w:tblStylePr w:type="lastRow">
      <w:rPr>
        <w:b/>
        <w:bCs/>
      </w:rPr>
      <w:tblPr/>
      <w:tcPr>
        <w:tcBorders>
          <w:top w:val="single" w:sz="18" w:space="0" w:color="7BA0CD" w:themeColor="accent1" w:themeTint="BF"/>
        </w:tcBorders>
      </w:tcPr>
    </w:tblStylePr>
    <w:tblStylePr w:type="firstCol">
      <w:rPr>
        <w:b/>
        <w:bCs/>
      </w:rPr>
    </w:tblStylePr>
    <w:tblStylePr w:type="lastCol">
      <w:rPr>
        <w:b/>
        <w:bCs/>
      </w:rPr>
    </w:tblStylePr>
    <w:tblStylePr w:type="band1Vert">
      <w:tblPr/>
      <w:tcPr>
        <w:shd w:val="clear" w:color="auto" w:fill="A7BFDE" w:themeFill="accent1" w:themeFillTint="7F"/>
      </w:tcPr>
    </w:tblStylePr>
    <w:tblStylePr w:type="band1Horz">
      <w:tblPr/>
      <w:tcPr>
        <w:shd w:val="clear" w:color="auto" w:fill="A7BFDE" w:themeFill="accent1" w:themeFillTint="7F"/>
      </w:tcPr>
    </w:tblStylePr>
  </w:style>
  <w:style w:type="table" w:styleId="MediumGrid1-accent2PHPDOCX">
    <w:name w:val="Medium Grid 1 Accent 2 PHPDOCX"/>
    <w:uiPriority w:val="67"/>
    <w:rsid w:val="00361FF4"/>
    <w:pPr>
      <w:spacing w:after="0" w:line="240" w:lineRule="auto"/>
    </w:pPr>
    <w:tblPr>
      <w:tblStyleRowBandSize w:val="1"/>
      <w:tblStyleColBandSize w:val="1"/>
      <w:tblInd w:w="0" w:type="dxa"/>
      <w:tblBorders>
        <w:top w:val="single" w:sz="8"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single" w:sz="8" w:space="0" w:color="CF7B79" w:themeColor="accent2" w:themeTint="BF"/>
        <w:insideV w:val="single" w:sz="8" w:space="0" w:color="CF7B79" w:themeColor="accent2" w:themeTint="BF"/>
      </w:tblBorders>
      <w:tblCellMar>
        <w:top w:w="0" w:type="dxa"/>
        <w:left w:w="108" w:type="dxa"/>
        <w:bottom w:w="0" w:type="dxa"/>
        <w:right w:w="108" w:type="dxa"/>
      </w:tblCellMar>
    </w:tblPr>
    <w:tcPr>
      <w:shd w:val="clear" w:color="auto" w:fill="EFD3D2" w:themeFill="accent2" w:themeFillTint="3F"/>
    </w:tcPr>
    <w:tblStylePr w:type="firstRow">
      <w:rPr>
        <w:b/>
        <w:bCs/>
      </w:rPr>
    </w:tblStylePr>
    <w:tblStylePr w:type="lastRow">
      <w:rPr>
        <w:b/>
        <w:bCs/>
      </w:rPr>
      <w:tblPr/>
      <w:tcPr>
        <w:tcBorders>
          <w:top w:val="single" w:sz="18" w:space="0" w:color="CF7B79" w:themeColor="accent2" w:themeTint="BF"/>
        </w:tcBorders>
      </w:tcPr>
    </w:tblStylePr>
    <w:tblStylePr w:type="firstCol">
      <w:rPr>
        <w:b/>
        <w:bCs/>
      </w:rPr>
    </w:tblStylePr>
    <w:tblStylePr w:type="lastCol">
      <w:rPr>
        <w:b/>
        <w:bCs/>
      </w:rPr>
    </w:tblStylePr>
    <w:tblStylePr w:type="band1Vert">
      <w:tblPr/>
      <w:tcPr>
        <w:shd w:val="clear" w:color="auto" w:fill="DFA7A6" w:themeFill="accent2" w:themeFillTint="7F"/>
      </w:tcPr>
    </w:tblStylePr>
    <w:tblStylePr w:type="band1Horz">
      <w:tblPr/>
      <w:tcPr>
        <w:shd w:val="clear" w:color="auto" w:fill="DFA7A6" w:themeFill="accent2" w:themeFillTint="7F"/>
      </w:tcPr>
    </w:tblStylePr>
  </w:style>
  <w:style w:type="table" w:styleId="MediumGrid1-accent3PHPDOCX">
    <w:name w:val="Medium Grid 1 Accent 3 PHPDOCX"/>
    <w:uiPriority w:val="67"/>
    <w:rsid w:val="00361FF4"/>
    <w:pPr>
      <w:spacing w:after="0" w:line="240" w:lineRule="auto"/>
    </w:pPr>
    <w:tblPr>
      <w:tblStyleRowBandSize w:val="1"/>
      <w:tblStyleColBandSize w:val="1"/>
      <w:tblInd w:w="0" w:type="dxa"/>
      <w:tblBorders>
        <w:top w:val="single" w:sz="8"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single" w:sz="8" w:space="0" w:color="B3CC82" w:themeColor="accent3" w:themeTint="BF"/>
        <w:insideV w:val="single" w:sz="8" w:space="0" w:color="B3CC82" w:themeColor="accent3" w:themeTint="BF"/>
      </w:tblBorders>
      <w:tblCellMar>
        <w:top w:w="0" w:type="dxa"/>
        <w:left w:w="108" w:type="dxa"/>
        <w:bottom w:w="0" w:type="dxa"/>
        <w:right w:w="108" w:type="dxa"/>
      </w:tblCellMar>
    </w:tblPr>
    <w:tcPr>
      <w:shd w:val="clear" w:color="auto" w:fill="E6EED5" w:themeFill="accent3" w:themeFillTint="3F"/>
    </w:tcPr>
    <w:tblStylePr w:type="firstRow">
      <w:rPr>
        <w:b/>
        <w:bCs/>
      </w:rPr>
    </w:tblStylePr>
    <w:tblStylePr w:type="lastRow">
      <w:rPr>
        <w:b/>
        <w:bCs/>
      </w:rPr>
      <w:tblPr/>
      <w:tcPr>
        <w:tcBorders>
          <w:top w:val="single" w:sz="18" w:space="0" w:color="B3CC82" w:themeColor="accent3" w:themeTint="BF"/>
        </w:tcBorders>
      </w:tcPr>
    </w:tblStylePr>
    <w:tblStylePr w:type="firstCol">
      <w:rPr>
        <w:b/>
        <w:bCs/>
      </w:rPr>
    </w:tblStylePr>
    <w:tblStylePr w:type="lastCol">
      <w:rPr>
        <w:b/>
        <w:bCs/>
      </w:rPr>
    </w:tblStylePr>
    <w:tblStylePr w:type="band1Vert">
      <w:tblPr/>
      <w:tcPr>
        <w:shd w:val="clear" w:color="auto" w:fill="CDDDAC" w:themeFill="accent3" w:themeFillTint="7F"/>
      </w:tcPr>
    </w:tblStylePr>
    <w:tblStylePr w:type="band1Horz">
      <w:tblPr/>
      <w:tcPr>
        <w:shd w:val="clear" w:color="auto" w:fill="CDDDAC" w:themeFill="accent3" w:themeFillTint="7F"/>
      </w:tcPr>
    </w:tblStylePr>
  </w:style>
  <w:style w:type="table" w:styleId="MediumGrid1-accent4PHPDOCX">
    <w:name w:val="Medium Grid 1 Accent 4 PHPDOCX"/>
    <w:uiPriority w:val="67"/>
    <w:rsid w:val="00361FF4"/>
    <w:pPr>
      <w:spacing w:after="0" w:line="240" w:lineRule="auto"/>
    </w:pPr>
    <w:tblPr>
      <w:tblStyleRowBandSize w:val="1"/>
      <w:tblStyleColBandSize w:val="1"/>
      <w:tblInd w:w="0" w:type="dxa"/>
      <w:tblBorders>
        <w:top w:val="single" w:sz="8" w:space="0" w:color="9F8AB9" w:themeColor="accent4" w:themeTint="BF"/>
        <w:left w:val="single" w:sz="8" w:space="0" w:color="9F8AB9" w:themeColor="accent4" w:themeTint="BF"/>
        <w:bottom w:val="single" w:sz="8" w:space="0" w:color="9F8AB9" w:themeColor="accent4" w:themeTint="BF"/>
        <w:right w:val="single" w:sz="8" w:space="0" w:color="9F8AB9" w:themeColor="accent4" w:themeTint="BF"/>
        <w:insideH w:val="single" w:sz="8" w:space="0" w:color="9F8AB9" w:themeColor="accent4" w:themeTint="BF"/>
        <w:insideV w:val="single" w:sz="8" w:space="0" w:color="9F8AB9" w:themeColor="accent4" w:themeTint="BF"/>
      </w:tblBorders>
      <w:tblCellMar>
        <w:top w:w="0" w:type="dxa"/>
        <w:left w:w="108" w:type="dxa"/>
        <w:bottom w:w="0" w:type="dxa"/>
        <w:right w:w="108" w:type="dxa"/>
      </w:tblCellMar>
    </w:tblPr>
    <w:tcPr>
      <w:shd w:val="clear" w:color="auto" w:fill="DFD8E8" w:themeFill="accent4" w:themeFillTint="3F"/>
    </w:tcPr>
    <w:tblStylePr w:type="firstRow">
      <w:rPr>
        <w:b/>
        <w:bCs/>
      </w:rPr>
    </w:tblStylePr>
    <w:tblStylePr w:type="lastRow">
      <w:rPr>
        <w:b/>
        <w:bCs/>
      </w:rPr>
      <w:tblPr/>
      <w:tcPr>
        <w:tcBorders>
          <w:top w:val="single" w:sz="18" w:space="0" w:color="9F8AB9" w:themeColor="accent4" w:themeTint="BF"/>
        </w:tcBorders>
      </w:tcPr>
    </w:tblStylePr>
    <w:tblStylePr w:type="firstCol">
      <w:rPr>
        <w:b/>
        <w:bCs/>
      </w:rPr>
    </w:tblStylePr>
    <w:tblStylePr w:type="lastCol">
      <w:rPr>
        <w:b/>
        <w:bCs/>
      </w:rPr>
    </w:tblStylePr>
    <w:tblStylePr w:type="band1Vert">
      <w:tblPr/>
      <w:tcPr>
        <w:shd w:val="clear" w:color="auto" w:fill="BFB1D0" w:themeFill="accent4" w:themeFillTint="7F"/>
      </w:tcPr>
    </w:tblStylePr>
    <w:tblStylePr w:type="band1Horz">
      <w:tblPr/>
      <w:tcPr>
        <w:shd w:val="clear" w:color="auto" w:fill="BFB1D0" w:themeFill="accent4" w:themeFillTint="7F"/>
      </w:tcPr>
    </w:tblStylePr>
  </w:style>
  <w:style w:type="table" w:styleId="MediumGrid1-accent5PHPDOCX">
    <w:name w:val="Medium Grid 1 Accent 5 PHPDOCX"/>
    <w:uiPriority w:val="67"/>
    <w:rsid w:val="00361FF4"/>
    <w:pPr>
      <w:spacing w:after="0" w:line="240" w:lineRule="auto"/>
    </w:pPr>
    <w:tblPr>
      <w:tblStyleRowBandSize w:val="1"/>
      <w:tblStyleColBandSize w:val="1"/>
      <w:tblInd w:w="0" w:type="dxa"/>
      <w:tblBorders>
        <w:top w:val="single" w:sz="8"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single" w:sz="8" w:space="0" w:color="78C0D4" w:themeColor="accent5" w:themeTint="BF"/>
        <w:insideV w:val="single" w:sz="8" w:space="0" w:color="78C0D4" w:themeColor="accent5" w:themeTint="BF"/>
      </w:tblBorders>
      <w:tblCellMar>
        <w:top w:w="0" w:type="dxa"/>
        <w:left w:w="108" w:type="dxa"/>
        <w:bottom w:w="0" w:type="dxa"/>
        <w:right w:w="108" w:type="dxa"/>
      </w:tblCellMar>
    </w:tblPr>
    <w:tcPr>
      <w:shd w:val="clear" w:color="auto" w:fill="D2EAF1" w:themeFill="accent5" w:themeFillTint="3F"/>
    </w:tcPr>
    <w:tblStylePr w:type="firstRow">
      <w:rPr>
        <w:b/>
        <w:bCs/>
      </w:rPr>
    </w:tblStylePr>
    <w:tblStylePr w:type="lastRow">
      <w:rPr>
        <w:b/>
        <w:bCs/>
      </w:rPr>
      <w:tblPr/>
      <w:tcPr>
        <w:tcBorders>
          <w:top w:val="single" w:sz="18" w:space="0" w:color="78C0D4" w:themeColor="accent5" w:themeTint="BF"/>
        </w:tcBorders>
      </w:tcPr>
    </w:tblStylePr>
    <w:tblStylePr w:type="firstCol">
      <w:rPr>
        <w:b/>
        <w:bCs/>
      </w:rPr>
    </w:tblStylePr>
    <w:tblStylePr w:type="lastCol">
      <w:rPr>
        <w:b/>
        <w:bCs/>
      </w:rPr>
    </w:tblStylePr>
    <w:tblStylePr w:type="band1Vert">
      <w:tblPr/>
      <w:tcPr>
        <w:shd w:val="clear" w:color="auto" w:fill="A5D5E2" w:themeFill="accent5" w:themeFillTint="7F"/>
      </w:tcPr>
    </w:tblStylePr>
    <w:tblStylePr w:type="band1Horz">
      <w:tblPr/>
      <w:tcPr>
        <w:shd w:val="clear" w:color="auto" w:fill="A5D5E2" w:themeFill="accent5" w:themeFillTint="7F"/>
      </w:tcPr>
    </w:tblStylePr>
  </w:style>
  <w:style w:type="table" w:styleId="MediumGrid1-accent6PHPDOCX">
    <w:name w:val="Medium Grid 1 Accent 6 PHPDOCX"/>
    <w:uiPriority w:val="67"/>
    <w:rsid w:val="00361FF4"/>
    <w:pPr>
      <w:spacing w:after="0" w:line="240" w:lineRule="auto"/>
    </w:pPr>
    <w:tblPr>
      <w:tblStyleRowBandSize w:val="1"/>
      <w:tblStyleColBandSize w:val="1"/>
      <w:tblInd w:w="0" w:type="dxa"/>
      <w:tblBorders>
        <w:top w:val="single" w:sz="8"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single" w:sz="8" w:space="0" w:color="F9B074" w:themeColor="accent6" w:themeTint="BF"/>
        <w:insideV w:val="single" w:sz="8" w:space="0" w:color="F9B074" w:themeColor="accent6" w:themeTint="BF"/>
      </w:tblBorders>
      <w:tblCellMar>
        <w:top w:w="0" w:type="dxa"/>
        <w:left w:w="108" w:type="dxa"/>
        <w:bottom w:w="0" w:type="dxa"/>
        <w:right w:w="108" w:type="dxa"/>
      </w:tblCellMar>
    </w:tblPr>
    <w:tcPr>
      <w:shd w:val="clear" w:color="auto" w:fill="FDE4D0" w:themeFill="accent6" w:themeFillTint="3F"/>
    </w:tcPr>
    <w:tblStylePr w:type="firstRow">
      <w:rPr>
        <w:b/>
        <w:bCs/>
      </w:rPr>
    </w:tblStylePr>
    <w:tblStylePr w:type="lastRow">
      <w:rPr>
        <w:b/>
        <w:bCs/>
      </w:rPr>
      <w:tblPr/>
      <w:tcPr>
        <w:tcBorders>
          <w:top w:val="single" w:sz="18" w:space="0" w:color="F9B074" w:themeColor="accent6" w:themeTint="BF"/>
        </w:tcBorders>
      </w:tcPr>
    </w:tblStylePr>
    <w:tblStylePr w:type="firstCol">
      <w:rPr>
        <w:b/>
        <w:bCs/>
      </w:rPr>
    </w:tblStylePr>
    <w:tblStylePr w:type="lastCol">
      <w:rPr>
        <w:b/>
        <w:bCs/>
      </w:rPr>
    </w:tblStylePr>
    <w:tblStylePr w:type="band1Vert">
      <w:tblPr/>
      <w:tcPr>
        <w:shd w:val="clear" w:color="auto" w:fill="FBCAA2" w:themeFill="accent6" w:themeFillTint="7F"/>
      </w:tcPr>
    </w:tblStylePr>
    <w:tblStylePr w:type="band1Horz">
      <w:tblPr/>
      <w:tcPr>
        <w:shd w:val="clear" w:color="auto" w:fill="FBCAA2" w:themeFill="accent6" w:themeFillTint="7F"/>
      </w:tcPr>
    </w:tblStylePr>
  </w:style>
  <w:style w:type="table" w:styleId="MediumGrid2PHPDOCX">
    <w:name w:val="Medium Grid 2 PHPDOCX"/>
    <w:uiPriority w:val="68"/>
    <w:rsid w:val="00361FF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000000" w:themeColor="text1"/>
        <w:left w:val="single" w:sz="8" w:space="0" w:color="000000" w:themeColor="text1"/>
        <w:bottom w:val="single" w:sz="8" w:space="0" w:color="000000" w:themeColor="text1"/>
        <w:right w:val="single" w:sz="8" w:space="0" w:color="000000" w:themeColor="text1"/>
        <w:insideH w:val="single" w:sz="8" w:space="0" w:color="000000" w:themeColor="text1"/>
        <w:insideV w:val="single" w:sz="8" w:space="0" w:color="000000" w:themeColor="text1"/>
      </w:tblBorders>
      <w:tblCellMar>
        <w:top w:w="0" w:type="dxa"/>
        <w:left w:w="108" w:type="dxa"/>
        <w:bottom w:w="0" w:type="dxa"/>
        <w:right w:w="108" w:type="dxa"/>
      </w:tblCellMar>
    </w:tblPr>
    <w:tcPr>
      <w:shd w:val="clear" w:color="auto" w:fill="C0C0C0" w:themeFill="text1" w:themeFillTint="3F"/>
    </w:tcPr>
    <w:tblStylePr w:type="firstRow">
      <w:rPr>
        <w:b/>
        <w:bCs/>
        <w:color w:val="000000" w:themeColor="text1"/>
      </w:rPr>
      <w:tblPr/>
      <w:tcPr>
        <w:shd w:val="clear" w:color="auto" w:fill="E6E6E6" w:themeFill="text1"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CCCCCC" w:themeFill="text1" w:themeFillTint="33"/>
      </w:tcPr>
    </w:tblStylePr>
    <w:tblStylePr w:type="band1Vert">
      <w:tblPr/>
      <w:tcPr>
        <w:shd w:val="clear" w:color="auto" w:fill="808080" w:themeFill="text1" w:themeFillTint="7F"/>
      </w:tcPr>
    </w:tblStylePr>
    <w:tblStylePr w:type="band1Horz">
      <w:tblPr/>
      <w:tcPr>
        <w:tcBorders>
          <w:insideH w:val="single" w:sz="6" w:space="0" w:color="000000" w:themeColor="text1"/>
          <w:insideV w:val="single" w:sz="6" w:space="0" w:color="000000" w:themeColor="text1"/>
        </w:tcBorders>
        <w:shd w:val="clear" w:color="auto" w:fill="808080" w:themeFill="text1" w:themeFillTint="7F"/>
      </w:tcPr>
    </w:tblStylePr>
    <w:tblStylePr w:type="nwCell">
      <w:tblPr/>
      <w:tcPr>
        <w:shd w:val="clear" w:color="auto" w:fill="FFFFFF" w:themeFill="background1"/>
      </w:tcPr>
    </w:tblStylePr>
  </w:style>
  <w:style w:type="table" w:styleId="MediumGrid2-accent1PHPDOCX">
    <w:name w:val="Medium Grid 2 Accent 1 PHPDOCX"/>
    <w:uiPriority w:val="68"/>
    <w:rsid w:val="00361FF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4F81BD" w:themeColor="accent1"/>
        <w:left w:val="single" w:sz="8" w:space="0" w:color="4F81BD" w:themeColor="accent1"/>
        <w:bottom w:val="single" w:sz="8" w:space="0" w:color="4F81BD" w:themeColor="accent1"/>
        <w:right w:val="single" w:sz="8" w:space="0" w:color="4F81BD" w:themeColor="accent1"/>
        <w:insideH w:val="single" w:sz="8" w:space="0" w:color="4F81BD" w:themeColor="accent1"/>
        <w:insideV w:val="single" w:sz="8" w:space="0" w:color="4F81BD" w:themeColor="accent1"/>
      </w:tblBorders>
      <w:tblCellMar>
        <w:top w:w="0" w:type="dxa"/>
        <w:left w:w="108" w:type="dxa"/>
        <w:bottom w:w="0" w:type="dxa"/>
        <w:right w:w="108" w:type="dxa"/>
      </w:tblCellMar>
    </w:tblPr>
    <w:tcPr>
      <w:shd w:val="clear" w:color="auto" w:fill="D3DFEE" w:themeFill="accent1" w:themeFillTint="3F"/>
    </w:tcPr>
    <w:tblStylePr w:type="firstRow">
      <w:rPr>
        <w:b/>
        <w:bCs/>
        <w:color w:val="000000" w:themeColor="text1"/>
      </w:rPr>
      <w:tblPr/>
      <w:tcPr>
        <w:shd w:val="clear" w:color="auto" w:fill="EDF2F8" w:themeFill="accent1"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DBE5F1" w:themeFill="accent1" w:themeFillTint="33"/>
      </w:tcPr>
    </w:tblStylePr>
    <w:tblStylePr w:type="band1Vert">
      <w:tblPr/>
      <w:tcPr>
        <w:shd w:val="clear" w:color="auto" w:fill="A7BFDE" w:themeFill="accent1" w:themeFillTint="7F"/>
      </w:tcPr>
    </w:tblStylePr>
    <w:tblStylePr w:type="band1Horz">
      <w:tblPr/>
      <w:tcPr>
        <w:tcBorders>
          <w:insideH w:val="single" w:sz="6" w:space="0" w:color="4F81BD" w:themeColor="accent1"/>
          <w:insideV w:val="single" w:sz="6" w:space="0" w:color="4F81BD" w:themeColor="accent1"/>
        </w:tcBorders>
        <w:shd w:val="clear" w:color="auto" w:fill="A7BFDE" w:themeFill="accent1" w:themeFillTint="7F"/>
      </w:tcPr>
    </w:tblStylePr>
    <w:tblStylePr w:type="nwCell">
      <w:tblPr/>
      <w:tcPr>
        <w:shd w:val="clear" w:color="auto" w:fill="FFFFFF" w:themeFill="background1"/>
      </w:tcPr>
    </w:tblStylePr>
  </w:style>
  <w:style w:type="table" w:styleId="MediumGrid2-accent2PHPDOCX">
    <w:name w:val="Medium Grid 2 Accent 2 PHPDOCX"/>
    <w:uiPriority w:val="68"/>
    <w:rsid w:val="00361FF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C0504D" w:themeColor="accent2"/>
        <w:left w:val="single" w:sz="8" w:space="0" w:color="C0504D" w:themeColor="accent2"/>
        <w:bottom w:val="single" w:sz="8" w:space="0" w:color="C0504D" w:themeColor="accent2"/>
        <w:right w:val="single" w:sz="8" w:space="0" w:color="C0504D" w:themeColor="accent2"/>
        <w:insideH w:val="single" w:sz="8" w:space="0" w:color="C0504D" w:themeColor="accent2"/>
        <w:insideV w:val="single" w:sz="8" w:space="0" w:color="C0504D" w:themeColor="accent2"/>
      </w:tblBorders>
      <w:tblCellMar>
        <w:top w:w="0" w:type="dxa"/>
        <w:left w:w="108" w:type="dxa"/>
        <w:bottom w:w="0" w:type="dxa"/>
        <w:right w:w="108" w:type="dxa"/>
      </w:tblCellMar>
    </w:tblPr>
    <w:tcPr>
      <w:shd w:val="clear" w:color="auto" w:fill="EFD3D2" w:themeFill="accent2" w:themeFillTint="3F"/>
    </w:tcPr>
    <w:tblStylePr w:type="firstRow">
      <w:rPr>
        <w:b/>
        <w:bCs/>
        <w:color w:val="000000" w:themeColor="text1"/>
      </w:rPr>
      <w:tblPr/>
      <w:tcPr>
        <w:shd w:val="clear" w:color="auto" w:fill="F8EDED" w:themeFill="accent2"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F2DBDB" w:themeFill="accent2" w:themeFillTint="33"/>
      </w:tcPr>
    </w:tblStylePr>
    <w:tblStylePr w:type="band1Vert">
      <w:tblPr/>
      <w:tcPr>
        <w:shd w:val="clear" w:color="auto" w:fill="DFA7A6" w:themeFill="accent2" w:themeFillTint="7F"/>
      </w:tcPr>
    </w:tblStylePr>
    <w:tblStylePr w:type="band1Horz">
      <w:tblPr/>
      <w:tcPr>
        <w:tcBorders>
          <w:insideH w:val="single" w:sz="6" w:space="0" w:color="C0504D" w:themeColor="accent2"/>
          <w:insideV w:val="single" w:sz="6" w:space="0" w:color="C0504D" w:themeColor="accent2"/>
        </w:tcBorders>
        <w:shd w:val="clear" w:color="auto" w:fill="DFA7A6" w:themeFill="accent2" w:themeFillTint="7F"/>
      </w:tcPr>
    </w:tblStylePr>
    <w:tblStylePr w:type="nwCell">
      <w:tblPr/>
      <w:tcPr>
        <w:shd w:val="clear" w:color="auto" w:fill="FFFFFF" w:themeFill="background1"/>
      </w:tcPr>
    </w:tblStylePr>
  </w:style>
  <w:style w:type="table" w:styleId="MediumGrid2-accent3PHPDOCX">
    <w:name w:val="Medium Grid 2 Accent 3 PHPDOCX"/>
    <w:uiPriority w:val="68"/>
    <w:rsid w:val="00361FF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9BBB59" w:themeColor="accent3"/>
        <w:left w:val="single" w:sz="8" w:space="0" w:color="9BBB59" w:themeColor="accent3"/>
        <w:bottom w:val="single" w:sz="8" w:space="0" w:color="9BBB59" w:themeColor="accent3"/>
        <w:right w:val="single" w:sz="8" w:space="0" w:color="9BBB59" w:themeColor="accent3"/>
        <w:insideH w:val="single" w:sz="8" w:space="0" w:color="9BBB59" w:themeColor="accent3"/>
        <w:insideV w:val="single" w:sz="8" w:space="0" w:color="9BBB59" w:themeColor="accent3"/>
      </w:tblBorders>
      <w:tblCellMar>
        <w:top w:w="0" w:type="dxa"/>
        <w:left w:w="108" w:type="dxa"/>
        <w:bottom w:w="0" w:type="dxa"/>
        <w:right w:w="108" w:type="dxa"/>
      </w:tblCellMar>
    </w:tblPr>
    <w:tcPr>
      <w:shd w:val="clear" w:color="auto" w:fill="E6EED5" w:themeFill="accent3" w:themeFillTint="3F"/>
    </w:tcPr>
    <w:tblStylePr w:type="firstRow">
      <w:rPr>
        <w:b/>
        <w:bCs/>
        <w:color w:val="000000" w:themeColor="text1"/>
      </w:rPr>
      <w:tblPr/>
      <w:tcPr>
        <w:shd w:val="clear" w:color="auto" w:fill="F5F8EE" w:themeFill="accent3"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EAF1DD" w:themeFill="accent3" w:themeFillTint="33"/>
      </w:tcPr>
    </w:tblStylePr>
    <w:tblStylePr w:type="band1Vert">
      <w:tblPr/>
      <w:tcPr>
        <w:shd w:val="clear" w:color="auto" w:fill="CDDDAC" w:themeFill="accent3" w:themeFillTint="7F"/>
      </w:tcPr>
    </w:tblStylePr>
    <w:tblStylePr w:type="band1Horz">
      <w:tblPr/>
      <w:tcPr>
        <w:tcBorders>
          <w:insideH w:val="single" w:sz="6" w:space="0" w:color="9BBB59" w:themeColor="accent3"/>
          <w:insideV w:val="single" w:sz="6" w:space="0" w:color="9BBB59" w:themeColor="accent3"/>
        </w:tcBorders>
        <w:shd w:val="clear" w:color="auto" w:fill="CDDDAC" w:themeFill="accent3" w:themeFillTint="7F"/>
      </w:tcPr>
    </w:tblStylePr>
    <w:tblStylePr w:type="nwCell">
      <w:tblPr/>
      <w:tcPr>
        <w:shd w:val="clear" w:color="auto" w:fill="FFFFFF" w:themeFill="background1"/>
      </w:tcPr>
    </w:tblStylePr>
  </w:style>
  <w:style w:type="table" w:styleId="MediumGrid2-accent4PHPDOCX">
    <w:name w:val="Medium Grid 2 Accent 4 PHPDOCX"/>
    <w:uiPriority w:val="68"/>
    <w:rsid w:val="00361FF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8064A2" w:themeColor="accent4"/>
        <w:left w:val="single" w:sz="8" w:space="0" w:color="8064A2" w:themeColor="accent4"/>
        <w:bottom w:val="single" w:sz="8" w:space="0" w:color="8064A2" w:themeColor="accent4"/>
        <w:right w:val="single" w:sz="8" w:space="0" w:color="8064A2" w:themeColor="accent4"/>
        <w:insideH w:val="single" w:sz="8" w:space="0" w:color="8064A2" w:themeColor="accent4"/>
        <w:insideV w:val="single" w:sz="8" w:space="0" w:color="8064A2" w:themeColor="accent4"/>
      </w:tblBorders>
      <w:tblCellMar>
        <w:top w:w="0" w:type="dxa"/>
        <w:left w:w="108" w:type="dxa"/>
        <w:bottom w:w="0" w:type="dxa"/>
        <w:right w:w="108" w:type="dxa"/>
      </w:tblCellMar>
    </w:tblPr>
    <w:tcPr>
      <w:shd w:val="clear" w:color="auto" w:fill="DFD8E8" w:themeFill="accent4" w:themeFillTint="3F"/>
    </w:tcPr>
    <w:tblStylePr w:type="firstRow">
      <w:rPr>
        <w:b/>
        <w:bCs/>
        <w:color w:val="000000" w:themeColor="text1"/>
      </w:rPr>
      <w:tblPr/>
      <w:tcPr>
        <w:shd w:val="clear" w:color="auto" w:fill="F2EFF6" w:themeFill="accent4"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E5DFEC" w:themeFill="accent4" w:themeFillTint="33"/>
      </w:tcPr>
    </w:tblStylePr>
    <w:tblStylePr w:type="band1Vert">
      <w:tblPr/>
      <w:tcPr>
        <w:shd w:val="clear" w:color="auto" w:fill="BFB1D0" w:themeFill="accent4" w:themeFillTint="7F"/>
      </w:tcPr>
    </w:tblStylePr>
    <w:tblStylePr w:type="band1Horz">
      <w:tblPr/>
      <w:tcPr>
        <w:tcBorders>
          <w:insideH w:val="single" w:sz="6" w:space="0" w:color="8064A2" w:themeColor="accent4"/>
          <w:insideV w:val="single" w:sz="6" w:space="0" w:color="8064A2" w:themeColor="accent4"/>
        </w:tcBorders>
        <w:shd w:val="clear" w:color="auto" w:fill="BFB1D0" w:themeFill="accent4" w:themeFillTint="7F"/>
      </w:tcPr>
    </w:tblStylePr>
    <w:tblStylePr w:type="nwCell">
      <w:tblPr/>
      <w:tcPr>
        <w:shd w:val="clear" w:color="auto" w:fill="FFFFFF" w:themeFill="background1"/>
      </w:tcPr>
    </w:tblStylePr>
  </w:style>
  <w:style w:type="table" w:styleId="MediumGrid2-accent5PHPDOCX">
    <w:name w:val="Medium Grid 2 Accent 5 PHPDOCX"/>
    <w:uiPriority w:val="68"/>
    <w:rsid w:val="00361FF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4BACC6" w:themeColor="accent5"/>
        <w:left w:val="single" w:sz="8" w:space="0" w:color="4BACC6" w:themeColor="accent5"/>
        <w:bottom w:val="single" w:sz="8" w:space="0" w:color="4BACC6" w:themeColor="accent5"/>
        <w:right w:val="single" w:sz="8" w:space="0" w:color="4BACC6" w:themeColor="accent5"/>
        <w:insideH w:val="single" w:sz="8" w:space="0" w:color="4BACC6" w:themeColor="accent5"/>
        <w:insideV w:val="single" w:sz="8" w:space="0" w:color="4BACC6" w:themeColor="accent5"/>
      </w:tblBorders>
      <w:tblCellMar>
        <w:top w:w="0" w:type="dxa"/>
        <w:left w:w="108" w:type="dxa"/>
        <w:bottom w:w="0" w:type="dxa"/>
        <w:right w:w="108" w:type="dxa"/>
      </w:tblCellMar>
    </w:tblPr>
    <w:tcPr>
      <w:shd w:val="clear" w:color="auto" w:fill="D2EAF1" w:themeFill="accent5" w:themeFillTint="3F"/>
    </w:tcPr>
    <w:tblStylePr w:type="firstRow">
      <w:rPr>
        <w:b/>
        <w:bCs/>
        <w:color w:val="000000" w:themeColor="text1"/>
      </w:rPr>
      <w:tblPr/>
      <w:tcPr>
        <w:shd w:val="clear" w:color="auto" w:fill="EDF6F9" w:themeFill="accent5"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DAEEF3" w:themeFill="accent5" w:themeFillTint="33"/>
      </w:tcPr>
    </w:tblStylePr>
    <w:tblStylePr w:type="band1Vert">
      <w:tblPr/>
      <w:tcPr>
        <w:shd w:val="clear" w:color="auto" w:fill="A5D5E2" w:themeFill="accent5" w:themeFillTint="7F"/>
      </w:tcPr>
    </w:tblStylePr>
    <w:tblStylePr w:type="band1Horz">
      <w:tblPr/>
      <w:tcPr>
        <w:tcBorders>
          <w:insideH w:val="single" w:sz="6" w:space="0" w:color="4BACC6" w:themeColor="accent5"/>
          <w:insideV w:val="single" w:sz="6" w:space="0" w:color="4BACC6" w:themeColor="accent5"/>
        </w:tcBorders>
        <w:shd w:val="clear" w:color="auto" w:fill="A5D5E2" w:themeFill="accent5" w:themeFillTint="7F"/>
      </w:tcPr>
    </w:tblStylePr>
    <w:tblStylePr w:type="nwCell">
      <w:tblPr/>
      <w:tcPr>
        <w:shd w:val="clear" w:color="auto" w:fill="FFFFFF" w:themeFill="background1"/>
      </w:tcPr>
    </w:tblStylePr>
  </w:style>
  <w:style w:type="table" w:styleId="MediumGrid2-accent6PHPDOCX">
    <w:name w:val="Medium Grid 2 Accent 6 PHPDOCX"/>
    <w:uiPriority w:val="68"/>
    <w:rsid w:val="00361FF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F79646" w:themeColor="accent6"/>
        <w:left w:val="single" w:sz="8" w:space="0" w:color="F79646" w:themeColor="accent6"/>
        <w:bottom w:val="single" w:sz="8" w:space="0" w:color="F79646" w:themeColor="accent6"/>
        <w:right w:val="single" w:sz="8" w:space="0" w:color="F79646" w:themeColor="accent6"/>
        <w:insideH w:val="single" w:sz="8" w:space="0" w:color="F79646" w:themeColor="accent6"/>
        <w:insideV w:val="single" w:sz="8" w:space="0" w:color="F79646" w:themeColor="accent6"/>
      </w:tblBorders>
      <w:tblCellMar>
        <w:top w:w="0" w:type="dxa"/>
        <w:left w:w="108" w:type="dxa"/>
        <w:bottom w:w="0" w:type="dxa"/>
        <w:right w:w="108" w:type="dxa"/>
      </w:tblCellMar>
    </w:tblPr>
    <w:tcPr>
      <w:shd w:val="clear" w:color="auto" w:fill="FDE4D0" w:themeFill="accent6" w:themeFillTint="3F"/>
    </w:tcPr>
    <w:tblStylePr w:type="firstRow">
      <w:rPr>
        <w:b/>
        <w:bCs/>
        <w:color w:val="000000" w:themeColor="text1"/>
      </w:rPr>
      <w:tblPr/>
      <w:tcPr>
        <w:shd w:val="clear" w:color="auto" w:fill="FEF4EC" w:themeFill="accent6"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FDE9D9" w:themeFill="accent6" w:themeFillTint="33"/>
      </w:tcPr>
    </w:tblStylePr>
    <w:tblStylePr w:type="band1Vert">
      <w:tblPr/>
      <w:tcPr>
        <w:shd w:val="clear" w:color="auto" w:fill="FBCAA2" w:themeFill="accent6" w:themeFillTint="7F"/>
      </w:tcPr>
    </w:tblStylePr>
    <w:tblStylePr w:type="band1Horz">
      <w:tblPr/>
      <w:tcPr>
        <w:tcBorders>
          <w:insideH w:val="single" w:sz="6" w:space="0" w:color="F79646" w:themeColor="accent6"/>
          <w:insideV w:val="single" w:sz="6" w:space="0" w:color="F79646" w:themeColor="accent6"/>
        </w:tcBorders>
        <w:shd w:val="clear" w:color="auto" w:fill="FBCAA2" w:themeFill="accent6" w:themeFillTint="7F"/>
      </w:tcPr>
    </w:tblStylePr>
    <w:tblStylePr w:type="nwCell">
      <w:tblPr/>
      <w:tcPr>
        <w:shd w:val="clear" w:color="auto" w:fill="FFFFFF" w:themeFill="background1"/>
      </w:tcPr>
    </w:tblStylePr>
  </w:style>
  <w:style w:type="table" w:styleId="MediumGrid3PHPDOCX">
    <w:name w:val="Medium Grid 3 PHPDOCX"/>
    <w:uiPriority w:val="69"/>
    <w:rsid w:val="00361FF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C0C0C0" w:themeFill="text1"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000000" w:themeFill="text1"/>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000000" w:themeFill="text1"/>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000000" w:themeFill="text1"/>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000000" w:themeFill="text1"/>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808080" w:themeFill="text1"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808080" w:themeFill="text1" w:themeFillTint="7F"/>
      </w:tcPr>
    </w:tblStylePr>
  </w:style>
  <w:style w:type="table" w:styleId="MediumGrid3-accent1PHPDOCX">
    <w:name w:val="Medium Grid 3 Accent 1 PHPDOCX"/>
    <w:uiPriority w:val="69"/>
    <w:rsid w:val="00361FF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D3DFEE" w:themeFill="accent1"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4F81BD" w:themeFill="accent1"/>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4F81BD" w:themeFill="accent1"/>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4F81BD" w:themeFill="accent1"/>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4F81BD" w:themeFill="accent1"/>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A7BFDE" w:themeFill="accent1"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A7BFDE" w:themeFill="accent1" w:themeFillTint="7F"/>
      </w:tcPr>
    </w:tblStylePr>
  </w:style>
  <w:style w:type="table" w:styleId="MediumGrid3-accent2PHPDOCX">
    <w:name w:val="Medium Grid 3 Accent 2 PHPDOCX"/>
    <w:uiPriority w:val="69"/>
    <w:rsid w:val="00361FF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EFD3D2" w:themeFill="accent2"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C0504D" w:themeFill="accent2"/>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C0504D" w:themeFill="accent2"/>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C0504D" w:themeFill="accent2"/>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C0504D" w:themeFill="accent2"/>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DFA7A6" w:themeFill="accent2"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DFA7A6" w:themeFill="accent2" w:themeFillTint="7F"/>
      </w:tcPr>
    </w:tblStylePr>
  </w:style>
  <w:style w:type="table" w:styleId="MediumGrid3-accent3PHPDOCX">
    <w:name w:val="Medium Grid 3 Accent 3 PHPDOCX"/>
    <w:uiPriority w:val="69"/>
    <w:rsid w:val="00361FF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E6EED5" w:themeFill="accent3"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9BBB59" w:themeFill="accent3"/>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9BBB59" w:themeFill="accent3"/>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9BBB59" w:themeFill="accent3"/>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9BBB59" w:themeFill="accent3"/>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CDDDAC" w:themeFill="accent3"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CDDDAC" w:themeFill="accent3" w:themeFillTint="7F"/>
      </w:tcPr>
    </w:tblStylePr>
  </w:style>
  <w:style w:type="table" w:styleId="MediumGrid3-accent5PHPDOCX">
    <w:name w:val="Medium Grid 3 Accent 5 PHPDOCX"/>
    <w:uiPriority w:val="69"/>
    <w:rsid w:val="00361FF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D2EAF1" w:themeFill="accent5"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4BACC6" w:themeFill="accent5"/>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4BACC6" w:themeFill="accent5"/>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4BACC6" w:themeFill="accent5"/>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4BACC6" w:themeFill="accent5"/>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A5D5E2" w:themeFill="accent5"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A5D5E2" w:themeFill="accent5" w:themeFillTint="7F"/>
      </w:tcPr>
    </w:tblStylePr>
  </w:style>
  <w:style w:type="table" w:styleId="MediumGrid3-accent4PHPDOCX">
    <w:name w:val="Medium Grid 3 Accent 4 PHPDOCX"/>
    <w:uiPriority w:val="69"/>
    <w:rsid w:val="00361FF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DFD8E8" w:themeFill="accent4"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8064A2" w:themeFill="accent4"/>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8064A2" w:themeFill="accent4"/>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8064A2" w:themeFill="accent4"/>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8064A2" w:themeFill="accent4"/>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BFB1D0" w:themeFill="accent4"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BFB1D0" w:themeFill="accent4" w:themeFillTint="7F"/>
      </w:tcPr>
    </w:tblStylePr>
  </w:style>
  <w:style w:type="table" w:styleId="MediumGrid3-accent6PHPDOCX">
    <w:name w:val="Medium Grid 3 Accent 6 PHPDOCX"/>
    <w:uiPriority w:val="69"/>
    <w:rsid w:val="00361FF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FDE4D0" w:themeFill="accent6"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F79646" w:themeFill="accent6"/>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F79646" w:themeFill="accent6"/>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F79646" w:themeFill="accent6"/>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F79646" w:themeFill="accent6"/>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FBCAA2" w:themeFill="accent6"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FBCAA2" w:themeFill="accent6" w:themeFillTint="7F"/>
      </w:tcPr>
    </w:tblStylePr>
  </w:style>
  <w:style w:type="table" w:styleId="DarkListPHPDOCX">
    <w:name w:val="Dark List PHPDOCX"/>
    <w:uiPriority w:val="70"/>
    <w:rsid w:val="00361FF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000000" w:themeFill="text1"/>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000000" w:themeFill="text1" w:themeFillShade="7F"/>
      </w:tcPr>
    </w:tblStylePr>
    <w:tblStylePr w:type="firstCol">
      <w:tblPr/>
      <w:tcPr>
        <w:tcBorders>
          <w:top w:val="nil"/>
          <w:left w:val="nil"/>
          <w:bottom w:val="nil"/>
          <w:right w:val="single" w:sz="18" w:space="0" w:color="FFFFFF" w:themeColor="background1"/>
          <w:insideH w:val="nil"/>
          <w:insideV w:val="nil"/>
        </w:tcBorders>
        <w:shd w:val="clear" w:color="auto" w:fill="000000" w:themeFill="text1" w:themeFillShade="BF"/>
      </w:tcPr>
    </w:tblStylePr>
    <w:tblStylePr w:type="lastCol">
      <w:tblPr/>
      <w:tcPr>
        <w:tcBorders>
          <w:top w:val="nil"/>
          <w:left w:val="single" w:sz="18" w:space="0" w:color="FFFFFF" w:themeColor="background1"/>
          <w:bottom w:val="nil"/>
          <w:right w:val="nil"/>
          <w:insideH w:val="nil"/>
          <w:insideV w:val="nil"/>
        </w:tcBorders>
        <w:shd w:val="clear" w:color="auto" w:fill="000000" w:themeFill="text1" w:themeFillShade="BF"/>
      </w:tcPr>
    </w:tblStylePr>
    <w:tblStylePr w:type="band1Vert">
      <w:tblPr/>
      <w:tcPr>
        <w:tcBorders>
          <w:top w:val="nil"/>
          <w:left w:val="nil"/>
          <w:bottom w:val="nil"/>
          <w:right w:val="nil"/>
          <w:insideH w:val="nil"/>
          <w:insideV w:val="nil"/>
        </w:tcBorders>
        <w:shd w:val="clear" w:color="auto" w:fill="000000" w:themeFill="text1" w:themeFillShade="BF"/>
      </w:tcPr>
    </w:tblStylePr>
    <w:tblStylePr w:type="band1Horz">
      <w:tblPr/>
      <w:tcPr>
        <w:tcBorders>
          <w:top w:val="nil"/>
          <w:left w:val="nil"/>
          <w:bottom w:val="nil"/>
          <w:right w:val="nil"/>
          <w:insideH w:val="nil"/>
          <w:insideV w:val="nil"/>
        </w:tcBorders>
        <w:shd w:val="clear" w:color="auto" w:fill="000000" w:themeFill="text1" w:themeFillShade="BF"/>
      </w:tcPr>
    </w:tblStylePr>
  </w:style>
  <w:style w:type="table" w:styleId="DarkList-accent1PHPDOCX">
    <w:name w:val="Dark List Accent 1 PHPDOCX"/>
    <w:uiPriority w:val="70"/>
    <w:rsid w:val="00361FF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4F81BD" w:themeFill="accent1"/>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243F60" w:themeFill="accent1" w:themeFillShade="7F"/>
      </w:tcPr>
    </w:tblStylePr>
    <w:tblStylePr w:type="firstCol">
      <w:tblPr/>
      <w:tcPr>
        <w:tcBorders>
          <w:top w:val="nil"/>
          <w:left w:val="nil"/>
          <w:bottom w:val="nil"/>
          <w:right w:val="single" w:sz="18" w:space="0" w:color="FFFFFF" w:themeColor="background1"/>
          <w:insideH w:val="nil"/>
          <w:insideV w:val="nil"/>
        </w:tcBorders>
        <w:shd w:val="clear" w:color="auto" w:fill="365F91" w:themeFill="accent1" w:themeFillShade="BF"/>
      </w:tcPr>
    </w:tblStylePr>
    <w:tblStylePr w:type="lastCol">
      <w:tblPr/>
      <w:tcPr>
        <w:tcBorders>
          <w:top w:val="nil"/>
          <w:left w:val="single" w:sz="18" w:space="0" w:color="FFFFFF" w:themeColor="background1"/>
          <w:bottom w:val="nil"/>
          <w:right w:val="nil"/>
          <w:insideH w:val="nil"/>
          <w:insideV w:val="nil"/>
        </w:tcBorders>
        <w:shd w:val="clear" w:color="auto" w:fill="365F91" w:themeFill="accent1" w:themeFillShade="BF"/>
      </w:tcPr>
    </w:tblStylePr>
    <w:tblStylePr w:type="band1Vert">
      <w:tblPr/>
      <w:tcPr>
        <w:tcBorders>
          <w:top w:val="nil"/>
          <w:left w:val="nil"/>
          <w:bottom w:val="nil"/>
          <w:right w:val="nil"/>
          <w:insideH w:val="nil"/>
          <w:insideV w:val="nil"/>
        </w:tcBorders>
        <w:shd w:val="clear" w:color="auto" w:fill="365F91" w:themeFill="accent1" w:themeFillShade="BF"/>
      </w:tcPr>
    </w:tblStylePr>
    <w:tblStylePr w:type="band1Horz">
      <w:tblPr/>
      <w:tcPr>
        <w:tcBorders>
          <w:top w:val="nil"/>
          <w:left w:val="nil"/>
          <w:bottom w:val="nil"/>
          <w:right w:val="nil"/>
          <w:insideH w:val="nil"/>
          <w:insideV w:val="nil"/>
        </w:tcBorders>
        <w:shd w:val="clear" w:color="auto" w:fill="365F91" w:themeFill="accent1" w:themeFillShade="BF"/>
      </w:tcPr>
    </w:tblStylePr>
  </w:style>
  <w:style w:type="table" w:styleId="DarkList-accent2PHPDOCX">
    <w:name w:val="Dark List Accent 2 PHPDOCX"/>
    <w:uiPriority w:val="70"/>
    <w:rsid w:val="00361FF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C0504D" w:themeFill="accent2"/>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622423" w:themeFill="accent2" w:themeFillShade="7F"/>
      </w:tcPr>
    </w:tblStylePr>
    <w:tblStylePr w:type="firstCol">
      <w:tblPr/>
      <w:tcPr>
        <w:tcBorders>
          <w:top w:val="nil"/>
          <w:left w:val="nil"/>
          <w:bottom w:val="nil"/>
          <w:right w:val="single" w:sz="18" w:space="0" w:color="FFFFFF" w:themeColor="background1"/>
          <w:insideH w:val="nil"/>
          <w:insideV w:val="nil"/>
        </w:tcBorders>
        <w:shd w:val="clear" w:color="auto" w:fill="943634" w:themeFill="accent2" w:themeFillShade="BF"/>
      </w:tcPr>
    </w:tblStylePr>
    <w:tblStylePr w:type="lastCol">
      <w:tblPr/>
      <w:tcPr>
        <w:tcBorders>
          <w:top w:val="nil"/>
          <w:left w:val="single" w:sz="18" w:space="0" w:color="FFFFFF" w:themeColor="background1"/>
          <w:bottom w:val="nil"/>
          <w:right w:val="nil"/>
          <w:insideH w:val="nil"/>
          <w:insideV w:val="nil"/>
        </w:tcBorders>
        <w:shd w:val="clear" w:color="auto" w:fill="943634" w:themeFill="accent2" w:themeFillShade="BF"/>
      </w:tcPr>
    </w:tblStylePr>
    <w:tblStylePr w:type="band1Vert">
      <w:tblPr/>
      <w:tcPr>
        <w:tcBorders>
          <w:top w:val="nil"/>
          <w:left w:val="nil"/>
          <w:bottom w:val="nil"/>
          <w:right w:val="nil"/>
          <w:insideH w:val="nil"/>
          <w:insideV w:val="nil"/>
        </w:tcBorders>
        <w:shd w:val="clear" w:color="auto" w:fill="943634" w:themeFill="accent2" w:themeFillShade="BF"/>
      </w:tcPr>
    </w:tblStylePr>
    <w:tblStylePr w:type="band1Horz">
      <w:tblPr/>
      <w:tcPr>
        <w:tcBorders>
          <w:top w:val="nil"/>
          <w:left w:val="nil"/>
          <w:bottom w:val="nil"/>
          <w:right w:val="nil"/>
          <w:insideH w:val="nil"/>
          <w:insideV w:val="nil"/>
        </w:tcBorders>
        <w:shd w:val="clear" w:color="auto" w:fill="943634" w:themeFill="accent2" w:themeFillShade="BF"/>
      </w:tcPr>
    </w:tblStylePr>
  </w:style>
  <w:style w:type="table" w:styleId="DarkList-accent3PHPDOCX">
    <w:name w:val="Dark List Accent 3 PHPDOCX"/>
    <w:uiPriority w:val="70"/>
    <w:rsid w:val="00361FF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9BBB59" w:themeFill="accent3"/>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4E6128" w:themeFill="accent3" w:themeFillShade="7F"/>
      </w:tcPr>
    </w:tblStylePr>
    <w:tblStylePr w:type="firstCol">
      <w:tblPr/>
      <w:tcPr>
        <w:tcBorders>
          <w:top w:val="nil"/>
          <w:left w:val="nil"/>
          <w:bottom w:val="nil"/>
          <w:right w:val="single" w:sz="18" w:space="0" w:color="FFFFFF" w:themeColor="background1"/>
          <w:insideH w:val="nil"/>
          <w:insideV w:val="nil"/>
        </w:tcBorders>
        <w:shd w:val="clear" w:color="auto" w:fill="76923C" w:themeFill="accent3" w:themeFillShade="BF"/>
      </w:tcPr>
    </w:tblStylePr>
    <w:tblStylePr w:type="lastCol">
      <w:tblPr/>
      <w:tcPr>
        <w:tcBorders>
          <w:top w:val="nil"/>
          <w:left w:val="single" w:sz="18" w:space="0" w:color="FFFFFF" w:themeColor="background1"/>
          <w:bottom w:val="nil"/>
          <w:right w:val="nil"/>
          <w:insideH w:val="nil"/>
          <w:insideV w:val="nil"/>
        </w:tcBorders>
        <w:shd w:val="clear" w:color="auto" w:fill="76923C" w:themeFill="accent3" w:themeFillShade="BF"/>
      </w:tcPr>
    </w:tblStylePr>
    <w:tblStylePr w:type="band1Vert">
      <w:tblPr/>
      <w:tcPr>
        <w:tcBorders>
          <w:top w:val="nil"/>
          <w:left w:val="nil"/>
          <w:bottom w:val="nil"/>
          <w:right w:val="nil"/>
          <w:insideH w:val="nil"/>
          <w:insideV w:val="nil"/>
        </w:tcBorders>
        <w:shd w:val="clear" w:color="auto" w:fill="76923C" w:themeFill="accent3" w:themeFillShade="BF"/>
      </w:tcPr>
    </w:tblStylePr>
    <w:tblStylePr w:type="band1Horz">
      <w:tblPr/>
      <w:tcPr>
        <w:tcBorders>
          <w:top w:val="nil"/>
          <w:left w:val="nil"/>
          <w:bottom w:val="nil"/>
          <w:right w:val="nil"/>
          <w:insideH w:val="nil"/>
          <w:insideV w:val="nil"/>
        </w:tcBorders>
        <w:shd w:val="clear" w:color="auto" w:fill="76923C" w:themeFill="accent3" w:themeFillShade="BF"/>
      </w:tcPr>
    </w:tblStylePr>
  </w:style>
  <w:style w:type="table" w:styleId="DarkList-accent4PHPDOCX">
    <w:name w:val="Dark List Accent 4 PHPDOCX"/>
    <w:uiPriority w:val="70"/>
    <w:rsid w:val="00361FF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8064A2" w:themeFill="accent4"/>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3F3151" w:themeFill="accent4" w:themeFillShade="7F"/>
      </w:tcPr>
    </w:tblStylePr>
    <w:tblStylePr w:type="firstCol">
      <w:tblPr/>
      <w:tcPr>
        <w:tcBorders>
          <w:top w:val="nil"/>
          <w:left w:val="nil"/>
          <w:bottom w:val="nil"/>
          <w:right w:val="single" w:sz="18" w:space="0" w:color="FFFFFF" w:themeColor="background1"/>
          <w:insideH w:val="nil"/>
          <w:insideV w:val="nil"/>
        </w:tcBorders>
        <w:shd w:val="clear" w:color="auto" w:fill="5F497A" w:themeFill="accent4" w:themeFillShade="BF"/>
      </w:tcPr>
    </w:tblStylePr>
    <w:tblStylePr w:type="lastCol">
      <w:tblPr/>
      <w:tcPr>
        <w:tcBorders>
          <w:top w:val="nil"/>
          <w:left w:val="single" w:sz="18" w:space="0" w:color="FFFFFF" w:themeColor="background1"/>
          <w:bottom w:val="nil"/>
          <w:right w:val="nil"/>
          <w:insideH w:val="nil"/>
          <w:insideV w:val="nil"/>
        </w:tcBorders>
        <w:shd w:val="clear" w:color="auto" w:fill="5F497A" w:themeFill="accent4" w:themeFillShade="BF"/>
      </w:tcPr>
    </w:tblStylePr>
    <w:tblStylePr w:type="band1Vert">
      <w:tblPr/>
      <w:tcPr>
        <w:tcBorders>
          <w:top w:val="nil"/>
          <w:left w:val="nil"/>
          <w:bottom w:val="nil"/>
          <w:right w:val="nil"/>
          <w:insideH w:val="nil"/>
          <w:insideV w:val="nil"/>
        </w:tcBorders>
        <w:shd w:val="clear" w:color="auto" w:fill="5F497A" w:themeFill="accent4" w:themeFillShade="BF"/>
      </w:tcPr>
    </w:tblStylePr>
    <w:tblStylePr w:type="band1Horz">
      <w:tblPr/>
      <w:tcPr>
        <w:tcBorders>
          <w:top w:val="nil"/>
          <w:left w:val="nil"/>
          <w:bottom w:val="nil"/>
          <w:right w:val="nil"/>
          <w:insideH w:val="nil"/>
          <w:insideV w:val="nil"/>
        </w:tcBorders>
        <w:shd w:val="clear" w:color="auto" w:fill="5F497A" w:themeFill="accent4" w:themeFillShade="BF"/>
      </w:tcPr>
    </w:tblStylePr>
  </w:style>
  <w:style w:type="table" w:styleId="DarkList-accent5PHPDOCX">
    <w:name w:val="Dark List Accent 5 PHPDOCX"/>
    <w:uiPriority w:val="70"/>
    <w:rsid w:val="00361FF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4BACC6" w:themeFill="accent5"/>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205867" w:themeFill="accent5" w:themeFillShade="7F"/>
      </w:tcPr>
    </w:tblStylePr>
    <w:tblStylePr w:type="firstCol">
      <w:tblPr/>
      <w:tcPr>
        <w:tcBorders>
          <w:top w:val="nil"/>
          <w:left w:val="nil"/>
          <w:bottom w:val="nil"/>
          <w:right w:val="single" w:sz="18" w:space="0" w:color="FFFFFF" w:themeColor="background1"/>
          <w:insideH w:val="nil"/>
          <w:insideV w:val="nil"/>
        </w:tcBorders>
        <w:shd w:val="clear" w:color="auto" w:fill="31849B" w:themeFill="accent5" w:themeFillShade="BF"/>
      </w:tcPr>
    </w:tblStylePr>
    <w:tblStylePr w:type="lastCol">
      <w:tblPr/>
      <w:tcPr>
        <w:tcBorders>
          <w:top w:val="nil"/>
          <w:left w:val="single" w:sz="18" w:space="0" w:color="FFFFFF" w:themeColor="background1"/>
          <w:bottom w:val="nil"/>
          <w:right w:val="nil"/>
          <w:insideH w:val="nil"/>
          <w:insideV w:val="nil"/>
        </w:tcBorders>
        <w:shd w:val="clear" w:color="auto" w:fill="31849B" w:themeFill="accent5" w:themeFillShade="BF"/>
      </w:tcPr>
    </w:tblStylePr>
    <w:tblStylePr w:type="band1Vert">
      <w:tblPr/>
      <w:tcPr>
        <w:tcBorders>
          <w:top w:val="nil"/>
          <w:left w:val="nil"/>
          <w:bottom w:val="nil"/>
          <w:right w:val="nil"/>
          <w:insideH w:val="nil"/>
          <w:insideV w:val="nil"/>
        </w:tcBorders>
        <w:shd w:val="clear" w:color="auto" w:fill="31849B" w:themeFill="accent5" w:themeFillShade="BF"/>
      </w:tcPr>
    </w:tblStylePr>
    <w:tblStylePr w:type="band1Horz">
      <w:tblPr/>
      <w:tcPr>
        <w:tcBorders>
          <w:top w:val="nil"/>
          <w:left w:val="nil"/>
          <w:bottom w:val="nil"/>
          <w:right w:val="nil"/>
          <w:insideH w:val="nil"/>
          <w:insideV w:val="nil"/>
        </w:tcBorders>
        <w:shd w:val="clear" w:color="auto" w:fill="31849B" w:themeFill="accent5" w:themeFillShade="BF"/>
      </w:tcPr>
    </w:tblStylePr>
  </w:style>
  <w:style w:type="table" w:styleId="DarkList-accent6PHPDOCX">
    <w:name w:val="Dark List Accent 6 PHPDOCX"/>
    <w:uiPriority w:val="70"/>
    <w:rsid w:val="00AC197E"/>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F79646" w:themeFill="accent6"/>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974706" w:themeFill="accent6" w:themeFillShade="7F"/>
      </w:tcPr>
    </w:tblStylePr>
    <w:tblStylePr w:type="firstCol">
      <w:tblPr/>
      <w:tcPr>
        <w:tcBorders>
          <w:top w:val="nil"/>
          <w:left w:val="nil"/>
          <w:bottom w:val="nil"/>
          <w:right w:val="single" w:sz="18" w:space="0" w:color="FFFFFF" w:themeColor="background1"/>
          <w:insideH w:val="nil"/>
          <w:insideV w:val="nil"/>
        </w:tcBorders>
        <w:shd w:val="clear" w:color="auto" w:fill="E36C0A" w:themeFill="accent6" w:themeFillShade="BF"/>
      </w:tcPr>
    </w:tblStylePr>
    <w:tblStylePr w:type="lastCol">
      <w:tblPr/>
      <w:tcPr>
        <w:tcBorders>
          <w:top w:val="nil"/>
          <w:left w:val="single" w:sz="18" w:space="0" w:color="FFFFFF" w:themeColor="background1"/>
          <w:bottom w:val="nil"/>
          <w:right w:val="nil"/>
          <w:insideH w:val="nil"/>
          <w:insideV w:val="nil"/>
        </w:tcBorders>
        <w:shd w:val="clear" w:color="auto" w:fill="E36C0A" w:themeFill="accent6" w:themeFillShade="BF"/>
      </w:tcPr>
    </w:tblStylePr>
    <w:tblStylePr w:type="band1Vert">
      <w:tblPr/>
      <w:tcPr>
        <w:tcBorders>
          <w:top w:val="nil"/>
          <w:left w:val="nil"/>
          <w:bottom w:val="nil"/>
          <w:right w:val="nil"/>
          <w:insideH w:val="nil"/>
          <w:insideV w:val="nil"/>
        </w:tcBorders>
        <w:shd w:val="clear" w:color="auto" w:fill="E36C0A" w:themeFill="accent6" w:themeFillShade="BF"/>
      </w:tcPr>
    </w:tblStylePr>
    <w:tblStylePr w:type="band1Horz">
      <w:tblPr/>
      <w:tcPr>
        <w:tcBorders>
          <w:top w:val="nil"/>
          <w:left w:val="nil"/>
          <w:bottom w:val="nil"/>
          <w:right w:val="nil"/>
          <w:insideH w:val="nil"/>
          <w:insideV w:val="nil"/>
        </w:tcBorders>
        <w:shd w:val="clear" w:color="auto" w:fill="E36C0A" w:themeFill="accent6" w:themeFillShade="BF"/>
      </w:tcPr>
    </w:tblStylePr>
  </w:style>
  <w:style w:type="table" w:styleId="ColorfulShadingPHPDOCX">
    <w:name w:val="Colorful Shading PHPDOCX"/>
    <w:uiPriority w:val="71"/>
    <w:rsid w:val="00AC197E"/>
    <w:pPr>
      <w:spacing w:after="0" w:line="240" w:lineRule="auto"/>
    </w:pPr>
    <w:rPr>
      <w:color w:val="000000" w:themeColor="text1"/>
    </w:rPr>
    <w:tblPr>
      <w:tblStyleRowBandSize w:val="1"/>
      <w:tblStyleColBandSize w:val="1"/>
      <w:tblInd w:w="0" w:type="dxa"/>
      <w:tblBorders>
        <w:top w:val="single" w:sz="24" w:space="0" w:color="C0504D" w:themeColor="accent2"/>
        <w:left w:val="single" w:sz="4" w:space="0" w:color="000000" w:themeColor="text1"/>
        <w:bottom w:val="single" w:sz="4" w:space="0" w:color="000000" w:themeColor="text1"/>
        <w:right w:val="single" w:sz="4" w:space="0" w:color="000000" w:themeColor="text1"/>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E6E6E6" w:themeFill="text1" w:themeFillTint="19"/>
    </w:tcPr>
    <w:tblStylePr w:type="firstRow">
      <w:rPr>
        <w:b/>
        <w:bCs/>
      </w:rPr>
      <w:tblPr/>
      <w:tcPr>
        <w:tcBorders>
          <w:top w:val="nil"/>
          <w:left w:val="nil"/>
          <w:bottom w:val="single" w:sz="24" w:space="0" w:color="C0504D" w:themeColor="accent2"/>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000000" w:themeFill="text1" w:themeFillShade="99"/>
      </w:tcPr>
    </w:tblStylePr>
    <w:tblStylePr w:type="firstCol">
      <w:rPr>
        <w:color w:val="FFFFFF" w:themeColor="background1"/>
      </w:rPr>
      <w:tblPr/>
      <w:tcPr>
        <w:tcBorders>
          <w:top w:val="nil"/>
          <w:left w:val="nil"/>
          <w:bottom w:val="nil"/>
          <w:right w:val="nil"/>
          <w:insideH w:val="single" w:sz="4" w:space="0" w:color="000000" w:themeColor="text1" w:themeShade="99"/>
          <w:insideV w:val="nil"/>
        </w:tcBorders>
        <w:shd w:val="clear" w:color="auto" w:fill="000000" w:themeFill="text1" w:themeFillShade="99"/>
      </w:tcPr>
    </w:tblStylePr>
    <w:tblStylePr w:type="lastCol">
      <w:rPr>
        <w:color w:val="FFFFFF" w:themeColor="background1"/>
      </w:rPr>
      <w:tblPr/>
      <w:tcPr>
        <w:tcBorders>
          <w:top w:val="nil"/>
          <w:left w:val="nil"/>
          <w:bottom w:val="nil"/>
          <w:right w:val="nil"/>
          <w:insideH w:val="nil"/>
          <w:insideV w:val="nil"/>
        </w:tcBorders>
        <w:shd w:val="clear" w:color="auto" w:fill="000000" w:themeFill="text1" w:themeFillShade="BF"/>
      </w:tcPr>
    </w:tblStylePr>
    <w:tblStylePr w:type="band1Vert">
      <w:tblPr/>
      <w:tcPr>
        <w:shd w:val="clear" w:color="auto" w:fill="999999" w:themeFill="text1" w:themeFillTint="66"/>
      </w:tcPr>
    </w:tblStylePr>
    <w:tblStylePr w:type="band1Horz">
      <w:tblPr/>
      <w:tcPr>
        <w:shd w:val="clear" w:color="auto" w:fill="808080" w:themeFill="text1" w:themeFillTint="7F"/>
      </w:tcPr>
    </w:tblStylePr>
    <w:tblStylePr w:type="neCell">
      <w:rPr>
        <w:color w:val="000000" w:themeColor="text1"/>
      </w:rPr>
    </w:tblStylePr>
    <w:tblStylePr w:type="nwCell">
      <w:rPr>
        <w:color w:val="000000" w:themeColor="text1"/>
      </w:rPr>
    </w:tblStylePr>
  </w:style>
  <w:style w:type="table" w:styleId="ColorfulShading-accent1PHPDOCX">
    <w:name w:val="Colorful Shading Accent 1 PHPDOCX"/>
    <w:uiPriority w:val="71"/>
    <w:rsid w:val="00AC197E"/>
    <w:pPr>
      <w:spacing w:after="0" w:line="240" w:lineRule="auto"/>
    </w:pPr>
    <w:rPr>
      <w:color w:val="000000" w:themeColor="text1"/>
    </w:rPr>
    <w:tblPr>
      <w:tblStyleRowBandSize w:val="1"/>
      <w:tblStyleColBandSize w:val="1"/>
      <w:tblInd w:w="0" w:type="dxa"/>
      <w:tblBorders>
        <w:top w:val="single" w:sz="24" w:space="0" w:color="C0504D" w:themeColor="accent2"/>
        <w:left w:val="single" w:sz="4" w:space="0" w:color="4F81BD" w:themeColor="accent1"/>
        <w:bottom w:val="single" w:sz="4" w:space="0" w:color="4F81BD" w:themeColor="accent1"/>
        <w:right w:val="single" w:sz="4" w:space="0" w:color="4F81BD" w:themeColor="accent1"/>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EDF2F8" w:themeFill="accent1" w:themeFillTint="19"/>
    </w:tcPr>
    <w:tblStylePr w:type="firstRow">
      <w:rPr>
        <w:b/>
        <w:bCs/>
      </w:rPr>
      <w:tblPr/>
      <w:tcPr>
        <w:tcBorders>
          <w:top w:val="nil"/>
          <w:left w:val="nil"/>
          <w:bottom w:val="single" w:sz="24" w:space="0" w:color="C0504D" w:themeColor="accent2"/>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2C4C74" w:themeFill="accent1" w:themeFillShade="99"/>
      </w:tcPr>
    </w:tblStylePr>
    <w:tblStylePr w:type="firstCol">
      <w:rPr>
        <w:color w:val="FFFFFF" w:themeColor="background1"/>
      </w:rPr>
      <w:tblPr/>
      <w:tcPr>
        <w:tcBorders>
          <w:top w:val="nil"/>
          <w:left w:val="nil"/>
          <w:bottom w:val="nil"/>
          <w:right w:val="nil"/>
          <w:insideH w:val="single" w:sz="4" w:space="0" w:color="2C4C74" w:themeColor="accent1" w:themeShade="99"/>
          <w:insideV w:val="nil"/>
        </w:tcBorders>
        <w:shd w:val="clear" w:color="auto" w:fill="2C4C74" w:themeFill="accent1" w:themeFillShade="99"/>
      </w:tcPr>
    </w:tblStylePr>
    <w:tblStylePr w:type="lastCol">
      <w:rPr>
        <w:color w:val="FFFFFF" w:themeColor="background1"/>
      </w:rPr>
      <w:tblPr/>
      <w:tcPr>
        <w:tcBorders>
          <w:top w:val="nil"/>
          <w:left w:val="nil"/>
          <w:bottom w:val="nil"/>
          <w:right w:val="nil"/>
          <w:insideH w:val="nil"/>
          <w:insideV w:val="nil"/>
        </w:tcBorders>
        <w:shd w:val="clear" w:color="auto" w:fill="2C4C74" w:themeFill="accent1" w:themeFillShade="99"/>
      </w:tcPr>
    </w:tblStylePr>
    <w:tblStylePr w:type="band1Vert">
      <w:tblPr/>
      <w:tcPr>
        <w:shd w:val="clear" w:color="auto" w:fill="B8CCE4" w:themeFill="accent1" w:themeFillTint="66"/>
      </w:tcPr>
    </w:tblStylePr>
    <w:tblStylePr w:type="band1Horz">
      <w:tblPr/>
      <w:tcPr>
        <w:shd w:val="clear" w:color="auto" w:fill="A7BFDE" w:themeFill="accent1" w:themeFillTint="7F"/>
      </w:tcPr>
    </w:tblStylePr>
    <w:tblStylePr w:type="neCell">
      <w:rPr>
        <w:color w:val="000000" w:themeColor="text1"/>
      </w:rPr>
    </w:tblStylePr>
    <w:tblStylePr w:type="nwCell">
      <w:rPr>
        <w:color w:val="000000" w:themeColor="text1"/>
      </w:rPr>
    </w:tblStylePr>
  </w:style>
  <w:style w:type="table" w:styleId="ColorfulShading-accent2PHPDOCX">
    <w:name w:val="Colorful Shading Accent 2 PHPDOCX"/>
    <w:uiPriority w:val="71"/>
    <w:rsid w:val="00AC197E"/>
    <w:pPr>
      <w:spacing w:after="0" w:line="240" w:lineRule="auto"/>
    </w:pPr>
    <w:rPr>
      <w:color w:val="000000" w:themeColor="text1"/>
    </w:rPr>
    <w:tblPr>
      <w:tblStyleRowBandSize w:val="1"/>
      <w:tblStyleColBandSize w:val="1"/>
      <w:tblInd w:w="0" w:type="dxa"/>
      <w:tblBorders>
        <w:top w:val="single" w:sz="24" w:space="0" w:color="C0504D" w:themeColor="accent2"/>
        <w:left w:val="single" w:sz="4" w:space="0" w:color="C0504D" w:themeColor="accent2"/>
        <w:bottom w:val="single" w:sz="4" w:space="0" w:color="C0504D" w:themeColor="accent2"/>
        <w:right w:val="single" w:sz="4" w:space="0" w:color="C0504D" w:themeColor="accent2"/>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F8EDED" w:themeFill="accent2" w:themeFillTint="19"/>
    </w:tcPr>
    <w:tblStylePr w:type="firstRow">
      <w:rPr>
        <w:b/>
        <w:bCs/>
      </w:rPr>
      <w:tblPr/>
      <w:tcPr>
        <w:tcBorders>
          <w:top w:val="nil"/>
          <w:left w:val="nil"/>
          <w:bottom w:val="single" w:sz="24" w:space="0" w:color="C0504D" w:themeColor="accent2"/>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772C2A" w:themeFill="accent2" w:themeFillShade="99"/>
      </w:tcPr>
    </w:tblStylePr>
    <w:tblStylePr w:type="firstCol">
      <w:rPr>
        <w:color w:val="FFFFFF" w:themeColor="background1"/>
      </w:rPr>
      <w:tblPr/>
      <w:tcPr>
        <w:tcBorders>
          <w:top w:val="nil"/>
          <w:left w:val="nil"/>
          <w:bottom w:val="nil"/>
          <w:right w:val="nil"/>
          <w:insideH w:val="single" w:sz="4" w:space="0" w:color="772C2A" w:themeColor="accent2" w:themeShade="99"/>
          <w:insideV w:val="nil"/>
        </w:tcBorders>
        <w:shd w:val="clear" w:color="auto" w:fill="772C2A" w:themeFill="accent2" w:themeFillShade="99"/>
      </w:tcPr>
    </w:tblStylePr>
    <w:tblStylePr w:type="lastCol">
      <w:rPr>
        <w:color w:val="FFFFFF" w:themeColor="background1"/>
      </w:rPr>
      <w:tblPr/>
      <w:tcPr>
        <w:tcBorders>
          <w:top w:val="nil"/>
          <w:left w:val="nil"/>
          <w:bottom w:val="nil"/>
          <w:right w:val="nil"/>
          <w:insideH w:val="nil"/>
          <w:insideV w:val="nil"/>
        </w:tcBorders>
        <w:shd w:val="clear" w:color="auto" w:fill="772C2A" w:themeFill="accent2" w:themeFillShade="99"/>
      </w:tcPr>
    </w:tblStylePr>
    <w:tblStylePr w:type="band1Vert">
      <w:tblPr/>
      <w:tcPr>
        <w:shd w:val="clear" w:color="auto" w:fill="E5B8B7" w:themeFill="accent2" w:themeFillTint="66"/>
      </w:tcPr>
    </w:tblStylePr>
    <w:tblStylePr w:type="band1Horz">
      <w:tblPr/>
      <w:tcPr>
        <w:shd w:val="clear" w:color="auto" w:fill="DFA7A6" w:themeFill="accent2" w:themeFillTint="7F"/>
      </w:tcPr>
    </w:tblStylePr>
    <w:tblStylePr w:type="neCell">
      <w:rPr>
        <w:color w:val="000000" w:themeColor="text1"/>
      </w:rPr>
    </w:tblStylePr>
    <w:tblStylePr w:type="nwCell">
      <w:rPr>
        <w:color w:val="000000" w:themeColor="text1"/>
      </w:rPr>
    </w:tblStylePr>
  </w:style>
  <w:style w:type="table" w:styleId="ColorfulShading-accent3PHPDOCX">
    <w:name w:val="Colorful Shading Accent 3 PHPDOCX"/>
    <w:uiPriority w:val="71"/>
    <w:rsid w:val="00AC197E"/>
    <w:pPr>
      <w:spacing w:after="0" w:line="240" w:lineRule="auto"/>
    </w:pPr>
    <w:rPr>
      <w:color w:val="000000" w:themeColor="text1"/>
    </w:rPr>
    <w:tblPr>
      <w:tblStyleRowBandSize w:val="1"/>
      <w:tblStyleColBandSize w:val="1"/>
      <w:tblInd w:w="0" w:type="dxa"/>
      <w:tblBorders>
        <w:top w:val="single" w:sz="24" w:space="0" w:color="8064A2" w:themeColor="accent4"/>
        <w:left w:val="single" w:sz="4" w:space="0" w:color="9BBB59" w:themeColor="accent3"/>
        <w:bottom w:val="single" w:sz="4" w:space="0" w:color="9BBB59" w:themeColor="accent3"/>
        <w:right w:val="single" w:sz="4" w:space="0" w:color="9BBB59" w:themeColor="accent3"/>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F5F8EE" w:themeFill="accent3" w:themeFillTint="19"/>
    </w:tcPr>
    <w:tblStylePr w:type="firstRow">
      <w:rPr>
        <w:b/>
        <w:bCs/>
      </w:rPr>
      <w:tblPr/>
      <w:tcPr>
        <w:tcBorders>
          <w:top w:val="nil"/>
          <w:left w:val="nil"/>
          <w:bottom w:val="single" w:sz="24" w:space="0" w:color="8064A2" w:themeColor="accent4"/>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5E7530" w:themeFill="accent3" w:themeFillShade="99"/>
      </w:tcPr>
    </w:tblStylePr>
    <w:tblStylePr w:type="firstCol">
      <w:rPr>
        <w:color w:val="FFFFFF" w:themeColor="background1"/>
      </w:rPr>
      <w:tblPr/>
      <w:tcPr>
        <w:tcBorders>
          <w:top w:val="nil"/>
          <w:left w:val="nil"/>
          <w:bottom w:val="nil"/>
          <w:right w:val="nil"/>
          <w:insideH w:val="single" w:sz="4" w:space="0" w:color="5E7530" w:themeColor="accent3" w:themeShade="99"/>
          <w:insideV w:val="nil"/>
        </w:tcBorders>
        <w:shd w:val="clear" w:color="auto" w:fill="5E7530" w:themeFill="accent3" w:themeFillShade="99"/>
      </w:tcPr>
    </w:tblStylePr>
    <w:tblStylePr w:type="lastCol">
      <w:rPr>
        <w:color w:val="FFFFFF" w:themeColor="background1"/>
      </w:rPr>
      <w:tblPr/>
      <w:tcPr>
        <w:tcBorders>
          <w:top w:val="nil"/>
          <w:left w:val="nil"/>
          <w:bottom w:val="nil"/>
          <w:right w:val="nil"/>
          <w:insideH w:val="nil"/>
          <w:insideV w:val="nil"/>
        </w:tcBorders>
        <w:shd w:val="clear" w:color="auto" w:fill="5E7530" w:themeFill="accent3" w:themeFillShade="99"/>
      </w:tcPr>
    </w:tblStylePr>
    <w:tblStylePr w:type="band1Vert">
      <w:tblPr/>
      <w:tcPr>
        <w:shd w:val="clear" w:color="auto" w:fill="D6E3BC" w:themeFill="accent3" w:themeFillTint="66"/>
      </w:tcPr>
    </w:tblStylePr>
    <w:tblStylePr w:type="band1Horz">
      <w:tblPr/>
      <w:tcPr>
        <w:shd w:val="clear" w:color="auto" w:fill="CDDDAC" w:themeFill="accent3" w:themeFillTint="7F"/>
      </w:tcPr>
    </w:tblStylePr>
  </w:style>
  <w:style w:type="table" w:styleId="ColorfulShading-accent4PHPDOCX">
    <w:name w:val="Colorful Shading Accent 4 PHPDOCX"/>
    <w:uiPriority w:val="71"/>
    <w:rsid w:val="00AC197E"/>
    <w:pPr>
      <w:spacing w:after="0" w:line="240" w:lineRule="auto"/>
    </w:pPr>
    <w:rPr>
      <w:color w:val="000000" w:themeColor="text1"/>
    </w:rPr>
    <w:tblPr>
      <w:tblStyleRowBandSize w:val="1"/>
      <w:tblStyleColBandSize w:val="1"/>
      <w:tblInd w:w="0" w:type="dxa"/>
      <w:tblBorders>
        <w:top w:val="single" w:sz="24" w:space="0" w:color="9BBB59" w:themeColor="accent3"/>
        <w:left w:val="single" w:sz="4" w:space="0" w:color="8064A2" w:themeColor="accent4"/>
        <w:bottom w:val="single" w:sz="4" w:space="0" w:color="8064A2" w:themeColor="accent4"/>
        <w:right w:val="single" w:sz="4" w:space="0" w:color="8064A2" w:themeColor="accent4"/>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F2EFF6" w:themeFill="accent4" w:themeFillTint="19"/>
    </w:tcPr>
    <w:tblStylePr w:type="firstRow">
      <w:rPr>
        <w:b/>
        <w:bCs/>
      </w:rPr>
      <w:tblPr/>
      <w:tcPr>
        <w:tcBorders>
          <w:top w:val="nil"/>
          <w:left w:val="nil"/>
          <w:bottom w:val="single" w:sz="24" w:space="0" w:color="9BBB59" w:themeColor="accent3"/>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4C3B62" w:themeFill="accent4" w:themeFillShade="99"/>
      </w:tcPr>
    </w:tblStylePr>
    <w:tblStylePr w:type="firstCol">
      <w:rPr>
        <w:color w:val="FFFFFF" w:themeColor="background1"/>
      </w:rPr>
      <w:tblPr/>
      <w:tcPr>
        <w:tcBorders>
          <w:top w:val="nil"/>
          <w:left w:val="nil"/>
          <w:bottom w:val="nil"/>
          <w:right w:val="nil"/>
          <w:insideH w:val="single" w:sz="4" w:space="0" w:color="4C3B62" w:themeColor="accent4" w:themeShade="99"/>
          <w:insideV w:val="nil"/>
        </w:tcBorders>
        <w:shd w:val="clear" w:color="auto" w:fill="4C3B62" w:themeFill="accent4" w:themeFillShade="99"/>
      </w:tcPr>
    </w:tblStylePr>
    <w:tblStylePr w:type="lastCol">
      <w:rPr>
        <w:color w:val="FFFFFF" w:themeColor="background1"/>
      </w:rPr>
      <w:tblPr/>
      <w:tcPr>
        <w:tcBorders>
          <w:top w:val="nil"/>
          <w:left w:val="nil"/>
          <w:bottom w:val="nil"/>
          <w:right w:val="nil"/>
          <w:insideH w:val="nil"/>
          <w:insideV w:val="nil"/>
        </w:tcBorders>
        <w:shd w:val="clear" w:color="auto" w:fill="4C3B62" w:themeFill="accent4" w:themeFillShade="99"/>
      </w:tcPr>
    </w:tblStylePr>
    <w:tblStylePr w:type="band1Vert">
      <w:tblPr/>
      <w:tcPr>
        <w:shd w:val="clear" w:color="auto" w:fill="CCC0D9" w:themeFill="accent4" w:themeFillTint="66"/>
      </w:tcPr>
    </w:tblStylePr>
    <w:tblStylePr w:type="band1Horz">
      <w:tblPr/>
      <w:tcPr>
        <w:shd w:val="clear" w:color="auto" w:fill="BFB1D0" w:themeFill="accent4" w:themeFillTint="7F"/>
      </w:tcPr>
    </w:tblStylePr>
    <w:tblStylePr w:type="neCell">
      <w:rPr>
        <w:color w:val="000000" w:themeColor="text1"/>
      </w:rPr>
    </w:tblStylePr>
    <w:tblStylePr w:type="nwCell">
      <w:rPr>
        <w:color w:val="000000" w:themeColor="text1"/>
      </w:rPr>
    </w:tblStylePr>
  </w:style>
  <w:style w:type="table" w:styleId="ColorfulShading-accent5PHPDOCX">
    <w:name w:val="Colorful Shading Accent 5 PHPDOCX"/>
    <w:uiPriority w:val="71"/>
    <w:rsid w:val="00AC197E"/>
    <w:pPr>
      <w:spacing w:after="0" w:line="240" w:lineRule="auto"/>
    </w:pPr>
    <w:rPr>
      <w:color w:val="000000" w:themeColor="text1"/>
    </w:rPr>
    <w:tblPr>
      <w:tblStyleRowBandSize w:val="1"/>
      <w:tblStyleColBandSize w:val="1"/>
      <w:tblInd w:w="0" w:type="dxa"/>
      <w:tblBorders>
        <w:top w:val="single" w:sz="24" w:space="0" w:color="F79646" w:themeColor="accent6"/>
        <w:left w:val="single" w:sz="4" w:space="0" w:color="4BACC6" w:themeColor="accent5"/>
        <w:bottom w:val="single" w:sz="4" w:space="0" w:color="4BACC6" w:themeColor="accent5"/>
        <w:right w:val="single" w:sz="4" w:space="0" w:color="4BACC6" w:themeColor="accent5"/>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EDF6F9" w:themeFill="accent5" w:themeFillTint="19"/>
    </w:tcPr>
    <w:tblStylePr w:type="firstRow">
      <w:rPr>
        <w:b/>
        <w:bCs/>
      </w:rPr>
      <w:tblPr/>
      <w:tcPr>
        <w:tcBorders>
          <w:top w:val="nil"/>
          <w:left w:val="nil"/>
          <w:bottom w:val="single" w:sz="24" w:space="0" w:color="F79646" w:themeColor="accent6"/>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276A7C" w:themeFill="accent5" w:themeFillShade="99"/>
      </w:tcPr>
    </w:tblStylePr>
    <w:tblStylePr w:type="firstCol">
      <w:rPr>
        <w:color w:val="FFFFFF" w:themeColor="background1"/>
      </w:rPr>
      <w:tblPr/>
      <w:tcPr>
        <w:tcBorders>
          <w:top w:val="nil"/>
          <w:left w:val="nil"/>
          <w:bottom w:val="nil"/>
          <w:right w:val="nil"/>
          <w:insideH w:val="single" w:sz="4" w:space="0" w:color="276A7C" w:themeColor="accent5" w:themeShade="99"/>
          <w:insideV w:val="nil"/>
        </w:tcBorders>
        <w:shd w:val="clear" w:color="auto" w:fill="276A7C" w:themeFill="accent5" w:themeFillShade="99"/>
      </w:tcPr>
    </w:tblStylePr>
    <w:tblStylePr w:type="lastCol">
      <w:rPr>
        <w:color w:val="FFFFFF" w:themeColor="background1"/>
      </w:rPr>
      <w:tblPr/>
      <w:tcPr>
        <w:tcBorders>
          <w:top w:val="nil"/>
          <w:left w:val="nil"/>
          <w:bottom w:val="nil"/>
          <w:right w:val="nil"/>
          <w:insideH w:val="nil"/>
          <w:insideV w:val="nil"/>
        </w:tcBorders>
        <w:shd w:val="clear" w:color="auto" w:fill="276A7C" w:themeFill="accent5" w:themeFillShade="99"/>
      </w:tcPr>
    </w:tblStylePr>
    <w:tblStylePr w:type="band1Vert">
      <w:tblPr/>
      <w:tcPr>
        <w:shd w:val="clear" w:color="auto" w:fill="B6DDE8" w:themeFill="accent5" w:themeFillTint="66"/>
      </w:tcPr>
    </w:tblStylePr>
    <w:tblStylePr w:type="band1Horz">
      <w:tblPr/>
      <w:tcPr>
        <w:shd w:val="clear" w:color="auto" w:fill="A5D5E2" w:themeFill="accent5" w:themeFillTint="7F"/>
      </w:tcPr>
    </w:tblStylePr>
    <w:tblStylePr w:type="neCell">
      <w:rPr>
        <w:color w:val="000000" w:themeColor="text1"/>
      </w:rPr>
    </w:tblStylePr>
    <w:tblStylePr w:type="nwCell">
      <w:rPr>
        <w:color w:val="000000" w:themeColor="text1"/>
      </w:rPr>
    </w:tblStylePr>
  </w:style>
  <w:style w:type="table" w:styleId="ColorfulShading-accent6PHPDOCX">
    <w:name w:val="Colorful Shading Accent 6 PHPDOCX"/>
    <w:uiPriority w:val="71"/>
    <w:rsid w:val="00AC197E"/>
    <w:pPr>
      <w:spacing w:after="0" w:line="240" w:lineRule="auto"/>
    </w:pPr>
    <w:rPr>
      <w:color w:val="000000" w:themeColor="text1"/>
    </w:rPr>
    <w:tblPr>
      <w:tblStyleRowBandSize w:val="1"/>
      <w:tblStyleColBandSize w:val="1"/>
      <w:tblInd w:w="0" w:type="dxa"/>
      <w:tblBorders>
        <w:top w:val="single" w:sz="24" w:space="0" w:color="4BACC6" w:themeColor="accent5"/>
        <w:left w:val="single" w:sz="4" w:space="0" w:color="F79646" w:themeColor="accent6"/>
        <w:bottom w:val="single" w:sz="4" w:space="0" w:color="F79646" w:themeColor="accent6"/>
        <w:right w:val="single" w:sz="4" w:space="0" w:color="F79646" w:themeColor="accent6"/>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FEF4EC" w:themeFill="accent6" w:themeFillTint="19"/>
    </w:tcPr>
    <w:tblStylePr w:type="firstRow">
      <w:rPr>
        <w:b/>
        <w:bCs/>
      </w:rPr>
      <w:tblPr/>
      <w:tcPr>
        <w:tcBorders>
          <w:top w:val="nil"/>
          <w:left w:val="nil"/>
          <w:bottom w:val="single" w:sz="24" w:space="0" w:color="4BACC6" w:themeColor="accent5"/>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B65608" w:themeFill="accent6" w:themeFillShade="99"/>
      </w:tcPr>
    </w:tblStylePr>
    <w:tblStylePr w:type="firstCol">
      <w:rPr>
        <w:color w:val="FFFFFF" w:themeColor="background1"/>
      </w:rPr>
      <w:tblPr/>
      <w:tcPr>
        <w:tcBorders>
          <w:top w:val="nil"/>
          <w:left w:val="nil"/>
          <w:bottom w:val="nil"/>
          <w:right w:val="nil"/>
          <w:insideH w:val="single" w:sz="4" w:space="0" w:color="B65608" w:themeColor="accent6" w:themeShade="99"/>
          <w:insideV w:val="nil"/>
        </w:tcBorders>
        <w:shd w:val="clear" w:color="auto" w:fill="B65608" w:themeFill="accent6" w:themeFillShade="99"/>
      </w:tcPr>
    </w:tblStylePr>
    <w:tblStylePr w:type="lastCol">
      <w:rPr>
        <w:color w:val="FFFFFF" w:themeColor="background1"/>
      </w:rPr>
      <w:tblPr/>
      <w:tcPr>
        <w:tcBorders>
          <w:top w:val="nil"/>
          <w:left w:val="nil"/>
          <w:bottom w:val="nil"/>
          <w:right w:val="nil"/>
          <w:insideH w:val="nil"/>
          <w:insideV w:val="nil"/>
        </w:tcBorders>
        <w:shd w:val="clear" w:color="auto" w:fill="B65608" w:themeFill="accent6" w:themeFillShade="99"/>
      </w:tcPr>
    </w:tblStylePr>
    <w:tblStylePr w:type="band1Vert">
      <w:tblPr/>
      <w:tcPr>
        <w:shd w:val="clear" w:color="auto" w:fill="FBD4B4" w:themeFill="accent6" w:themeFillTint="66"/>
      </w:tcPr>
    </w:tblStylePr>
    <w:tblStylePr w:type="band1Horz">
      <w:tblPr/>
      <w:tcPr>
        <w:shd w:val="clear" w:color="auto" w:fill="FBCAA2" w:themeFill="accent6" w:themeFillTint="7F"/>
      </w:tcPr>
    </w:tblStylePr>
    <w:tblStylePr w:type="neCell">
      <w:rPr>
        <w:color w:val="000000" w:themeColor="text1"/>
      </w:rPr>
    </w:tblStylePr>
    <w:tblStylePr w:type="nwCell">
      <w:rPr>
        <w:color w:val="000000" w:themeColor="text1"/>
      </w:rPr>
    </w:tblStylePr>
  </w:style>
  <w:style w:type="table" w:styleId="ColorfulListPHPDOCX">
    <w:name w:val="Colorful List PHPDOCX"/>
    <w:uiPriority w:val="72"/>
    <w:rsid w:val="00AC197E"/>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E6E6E6" w:themeFill="text1" w:themeFillTint="19"/>
    </w:tcPr>
    <w:tblStylePr w:type="firstRow">
      <w:rPr>
        <w:b/>
        <w:bCs/>
        <w:color w:val="FFFFFF" w:themeColor="background1"/>
      </w:rPr>
      <w:tblPr/>
      <w:tcPr>
        <w:tcBorders>
          <w:bottom w:val="single" w:sz="12" w:space="0" w:color="FFFFFF" w:themeColor="background1"/>
        </w:tcBorders>
        <w:shd w:val="clear" w:color="auto" w:fill="9E3A38" w:themeFill="accent2" w:themeFillShade="CC"/>
      </w:tcPr>
    </w:tblStylePr>
    <w:tblStylePr w:type="lastRow">
      <w:rPr>
        <w:b/>
        <w:bCs/>
        <w:color w:val="9E3A38" w:themeColor="accent2"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C0C0C0" w:themeFill="text1" w:themeFillTint="3F"/>
      </w:tcPr>
    </w:tblStylePr>
    <w:tblStylePr w:type="band1Horz">
      <w:tblPr/>
      <w:tcPr>
        <w:shd w:val="clear" w:color="auto" w:fill="CCCCCC" w:themeFill="text1" w:themeFillTint="33"/>
      </w:tcPr>
    </w:tblStylePr>
  </w:style>
  <w:style w:type="table" w:styleId="ColorfulList-accent1PHPDOCX">
    <w:name w:val="Colorful List Accent 1 PHPDOCX"/>
    <w:uiPriority w:val="72"/>
    <w:rsid w:val="00AC197E"/>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EDF2F8" w:themeFill="accent1" w:themeFillTint="19"/>
    </w:tcPr>
    <w:tblStylePr w:type="firstRow">
      <w:rPr>
        <w:b/>
        <w:bCs/>
        <w:color w:val="FFFFFF" w:themeColor="background1"/>
      </w:rPr>
      <w:tblPr/>
      <w:tcPr>
        <w:tcBorders>
          <w:bottom w:val="single" w:sz="12" w:space="0" w:color="FFFFFF" w:themeColor="background1"/>
        </w:tcBorders>
        <w:shd w:val="clear" w:color="auto" w:fill="9E3A38" w:themeFill="accent2" w:themeFillShade="CC"/>
      </w:tcPr>
    </w:tblStylePr>
    <w:tblStylePr w:type="lastRow">
      <w:rPr>
        <w:b/>
        <w:bCs/>
        <w:color w:val="9E3A38" w:themeColor="accent2"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D3DFEE" w:themeFill="accent1" w:themeFillTint="3F"/>
      </w:tcPr>
    </w:tblStylePr>
    <w:tblStylePr w:type="band1Horz">
      <w:tblPr/>
      <w:tcPr>
        <w:shd w:val="clear" w:color="auto" w:fill="DBE5F1" w:themeFill="accent1" w:themeFillTint="33"/>
      </w:tcPr>
    </w:tblStylePr>
  </w:style>
  <w:style w:type="table" w:styleId="ColorfulList-accent2PHPDOCX">
    <w:name w:val="Colorful List Accent 2 PHPDOCX"/>
    <w:uiPriority w:val="72"/>
    <w:rsid w:val="00AC197E"/>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F8EDED" w:themeFill="accent2" w:themeFillTint="19"/>
    </w:tcPr>
    <w:tblStylePr w:type="firstRow">
      <w:rPr>
        <w:b/>
        <w:bCs/>
        <w:color w:val="FFFFFF" w:themeColor="background1"/>
      </w:rPr>
      <w:tblPr/>
      <w:tcPr>
        <w:tcBorders>
          <w:bottom w:val="single" w:sz="12" w:space="0" w:color="FFFFFF" w:themeColor="background1"/>
        </w:tcBorders>
        <w:shd w:val="clear" w:color="auto" w:fill="9E3A38" w:themeFill="accent2" w:themeFillShade="CC"/>
      </w:tcPr>
    </w:tblStylePr>
    <w:tblStylePr w:type="lastRow">
      <w:rPr>
        <w:b/>
        <w:bCs/>
        <w:color w:val="9E3A38" w:themeColor="accent2"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EFD3D2" w:themeFill="accent2" w:themeFillTint="3F"/>
      </w:tcPr>
    </w:tblStylePr>
    <w:tblStylePr w:type="band1Horz">
      <w:tblPr/>
      <w:tcPr>
        <w:shd w:val="clear" w:color="auto" w:fill="F2DBDB" w:themeFill="accent2" w:themeFillTint="33"/>
      </w:tcPr>
    </w:tblStylePr>
  </w:style>
  <w:style w:type="table" w:styleId="ColorfulList-accent3PHPDOCX">
    <w:name w:val="Colorful List Accent 3 PHPDOCX"/>
    <w:uiPriority w:val="72"/>
    <w:rsid w:val="00AC197E"/>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F5F8EE" w:themeFill="accent3" w:themeFillTint="19"/>
    </w:tcPr>
    <w:tblStylePr w:type="firstRow">
      <w:rPr>
        <w:b/>
        <w:bCs/>
        <w:color w:val="FFFFFF" w:themeColor="background1"/>
      </w:rPr>
      <w:tblPr/>
      <w:tcPr>
        <w:tcBorders>
          <w:bottom w:val="single" w:sz="12" w:space="0" w:color="FFFFFF" w:themeColor="background1"/>
        </w:tcBorders>
        <w:shd w:val="clear" w:color="auto" w:fill="664E82" w:themeFill="accent4" w:themeFillShade="CC"/>
      </w:tcPr>
    </w:tblStylePr>
    <w:tblStylePr w:type="lastRow">
      <w:rPr>
        <w:b/>
        <w:bCs/>
        <w:color w:val="664E82" w:themeColor="accent4"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E6EED5" w:themeFill="accent3" w:themeFillTint="3F"/>
      </w:tcPr>
    </w:tblStylePr>
    <w:tblStylePr w:type="band1Horz">
      <w:tblPr/>
      <w:tcPr>
        <w:shd w:val="clear" w:color="auto" w:fill="EAF1DD" w:themeFill="accent3" w:themeFillTint="33"/>
      </w:tcPr>
    </w:tblStylePr>
  </w:style>
  <w:style w:type="table" w:styleId="ColorfulList-accent4PHPDOCX">
    <w:name w:val="Colorful List Accent 4 PHPDOCX"/>
    <w:uiPriority w:val="72"/>
    <w:rsid w:val="00AC197E"/>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F2EFF6" w:themeFill="accent4" w:themeFillTint="19"/>
    </w:tcPr>
    <w:tblStylePr w:type="firstRow">
      <w:rPr>
        <w:b/>
        <w:bCs/>
        <w:color w:val="FFFFFF" w:themeColor="background1"/>
      </w:rPr>
      <w:tblPr/>
      <w:tcPr>
        <w:tcBorders>
          <w:bottom w:val="single" w:sz="12" w:space="0" w:color="FFFFFF" w:themeColor="background1"/>
        </w:tcBorders>
        <w:shd w:val="clear" w:color="auto" w:fill="7E9C40" w:themeFill="accent3" w:themeFillShade="CC"/>
      </w:tcPr>
    </w:tblStylePr>
    <w:tblStylePr w:type="lastRow">
      <w:rPr>
        <w:b/>
        <w:bCs/>
        <w:color w:val="7E9C40" w:themeColor="accent3"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DFD8E8" w:themeFill="accent4" w:themeFillTint="3F"/>
      </w:tcPr>
    </w:tblStylePr>
    <w:tblStylePr w:type="band1Horz">
      <w:tblPr/>
      <w:tcPr>
        <w:shd w:val="clear" w:color="auto" w:fill="E5DFEC" w:themeFill="accent4" w:themeFillTint="33"/>
      </w:tcPr>
    </w:tblStylePr>
  </w:style>
  <w:style w:type="table" w:styleId="ColorfulList-accent5PHPDOCX">
    <w:name w:val="Colorful List Accent 5 PHPDOCX"/>
    <w:uiPriority w:val="72"/>
    <w:rsid w:val="00AC197E"/>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EDF6F9" w:themeFill="accent5" w:themeFillTint="19"/>
    </w:tcPr>
    <w:tblStylePr w:type="firstRow">
      <w:rPr>
        <w:b/>
        <w:bCs/>
        <w:color w:val="FFFFFF" w:themeColor="background1"/>
      </w:rPr>
      <w:tblPr/>
      <w:tcPr>
        <w:tcBorders>
          <w:bottom w:val="single" w:sz="12" w:space="0" w:color="FFFFFF" w:themeColor="background1"/>
        </w:tcBorders>
        <w:shd w:val="clear" w:color="auto" w:fill="F2730A" w:themeFill="accent6" w:themeFillShade="CC"/>
      </w:tcPr>
    </w:tblStylePr>
    <w:tblStylePr w:type="lastRow">
      <w:rPr>
        <w:b/>
        <w:bCs/>
        <w:color w:val="F2730A" w:themeColor="accent6"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D2EAF1" w:themeFill="accent5" w:themeFillTint="3F"/>
      </w:tcPr>
    </w:tblStylePr>
    <w:tblStylePr w:type="band1Horz">
      <w:tblPr/>
      <w:tcPr>
        <w:shd w:val="clear" w:color="auto" w:fill="DAEEF3" w:themeFill="accent5" w:themeFillTint="33"/>
      </w:tcPr>
    </w:tblStylePr>
  </w:style>
  <w:style w:type="table" w:styleId="ColorfulList-accent6PHPDOCX">
    <w:name w:val="Colorful List Accent 6 PHPDOCX"/>
    <w:uiPriority w:val="72"/>
    <w:rsid w:val="00AC197E"/>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FEF4EC" w:themeFill="accent6" w:themeFillTint="19"/>
    </w:tcPr>
    <w:tblStylePr w:type="firstRow">
      <w:rPr>
        <w:b/>
        <w:bCs/>
        <w:color w:val="FFFFFF" w:themeColor="background1"/>
      </w:rPr>
      <w:tblPr/>
      <w:tcPr>
        <w:tcBorders>
          <w:bottom w:val="single" w:sz="12" w:space="0" w:color="FFFFFF" w:themeColor="background1"/>
        </w:tcBorders>
        <w:shd w:val="clear" w:color="auto" w:fill="348DA5" w:themeFill="accent5" w:themeFillShade="CC"/>
      </w:tcPr>
    </w:tblStylePr>
    <w:tblStylePr w:type="lastRow">
      <w:rPr>
        <w:b/>
        <w:bCs/>
        <w:color w:val="348DA5" w:themeColor="accent5"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FDE4D0" w:themeFill="accent6" w:themeFillTint="3F"/>
      </w:tcPr>
    </w:tblStylePr>
    <w:tblStylePr w:type="band1Horz">
      <w:tblPr/>
      <w:tcPr>
        <w:shd w:val="clear" w:color="auto" w:fill="FDE9D9" w:themeFill="accent6" w:themeFillTint="33"/>
      </w:tcPr>
    </w:tblStylePr>
  </w:style>
  <w:style w:type="table" w:styleId="ColorfulGridPHPDOCX">
    <w:name w:val="Colorful Grid PHPDOCX"/>
    <w:uiPriority w:val="73"/>
    <w:rsid w:val="00AC197E"/>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CCCCCC" w:themeFill="text1" w:themeFillTint="33"/>
    </w:tcPr>
    <w:tblStylePr w:type="firstRow">
      <w:rPr>
        <w:b/>
        <w:bCs/>
      </w:rPr>
      <w:tblPr/>
      <w:tcPr>
        <w:shd w:val="clear" w:color="auto" w:fill="999999" w:themeFill="text1" w:themeFillTint="66"/>
      </w:tcPr>
    </w:tblStylePr>
    <w:tblStylePr w:type="lastRow">
      <w:rPr>
        <w:b/>
        <w:bCs/>
        <w:color w:val="000000" w:themeColor="text1"/>
      </w:rPr>
      <w:tblPr/>
      <w:tcPr>
        <w:shd w:val="clear" w:color="auto" w:fill="999999" w:themeFill="text1" w:themeFillTint="66"/>
      </w:tcPr>
    </w:tblStylePr>
    <w:tblStylePr w:type="firstCol">
      <w:rPr>
        <w:color w:val="FFFFFF" w:themeColor="background1"/>
      </w:rPr>
      <w:tblPr/>
      <w:tcPr>
        <w:shd w:val="clear" w:color="auto" w:fill="000000" w:themeFill="text1" w:themeFillShade="BF"/>
      </w:tcPr>
    </w:tblStylePr>
    <w:tblStylePr w:type="lastCol">
      <w:rPr>
        <w:color w:val="FFFFFF" w:themeColor="background1"/>
      </w:rPr>
      <w:tblPr/>
      <w:tcPr>
        <w:shd w:val="clear" w:color="auto" w:fill="000000" w:themeFill="text1" w:themeFillShade="BF"/>
      </w:tcPr>
    </w:tblStylePr>
    <w:tblStylePr w:type="band1Vert">
      <w:tblPr/>
      <w:tcPr>
        <w:shd w:val="clear" w:color="auto" w:fill="808080" w:themeFill="text1" w:themeFillTint="7F"/>
      </w:tcPr>
    </w:tblStylePr>
    <w:tblStylePr w:type="band1Horz">
      <w:tblPr/>
      <w:tcPr>
        <w:shd w:val="clear" w:color="auto" w:fill="808080" w:themeFill="text1" w:themeFillTint="7F"/>
      </w:tcPr>
    </w:tblStylePr>
  </w:style>
  <w:style w:type="table" w:styleId="ColorfulGrid-accent1PHPDOCX">
    <w:name w:val="Colorful Grid Accent 1 PHPDOCX"/>
    <w:uiPriority w:val="73"/>
    <w:rsid w:val="00AC197E"/>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DBE5F1" w:themeFill="accent1" w:themeFillTint="33"/>
    </w:tcPr>
    <w:tblStylePr w:type="firstRow">
      <w:rPr>
        <w:b/>
        <w:bCs/>
      </w:rPr>
      <w:tblPr/>
      <w:tcPr>
        <w:shd w:val="clear" w:color="auto" w:fill="B8CCE4" w:themeFill="accent1" w:themeFillTint="66"/>
      </w:tcPr>
    </w:tblStylePr>
    <w:tblStylePr w:type="lastRow">
      <w:rPr>
        <w:b/>
        <w:bCs/>
        <w:color w:val="000000" w:themeColor="text1"/>
      </w:rPr>
      <w:tblPr/>
      <w:tcPr>
        <w:shd w:val="clear" w:color="auto" w:fill="B8CCE4" w:themeFill="accent1" w:themeFillTint="66"/>
      </w:tcPr>
    </w:tblStylePr>
    <w:tblStylePr w:type="firstCol">
      <w:rPr>
        <w:color w:val="FFFFFF" w:themeColor="background1"/>
      </w:rPr>
      <w:tblPr/>
      <w:tcPr>
        <w:shd w:val="clear" w:color="auto" w:fill="365F91" w:themeFill="accent1" w:themeFillShade="BF"/>
      </w:tcPr>
    </w:tblStylePr>
    <w:tblStylePr w:type="lastCol">
      <w:rPr>
        <w:color w:val="FFFFFF" w:themeColor="background1"/>
      </w:rPr>
      <w:tblPr/>
      <w:tcPr>
        <w:shd w:val="clear" w:color="auto" w:fill="365F91" w:themeFill="accent1" w:themeFillShade="BF"/>
      </w:tcPr>
    </w:tblStylePr>
    <w:tblStylePr w:type="band1Vert">
      <w:tblPr/>
      <w:tcPr>
        <w:shd w:val="clear" w:color="auto" w:fill="A7BFDE" w:themeFill="accent1" w:themeFillTint="7F"/>
      </w:tcPr>
    </w:tblStylePr>
    <w:tblStylePr w:type="band1Horz">
      <w:tblPr/>
      <w:tcPr>
        <w:shd w:val="clear" w:color="auto" w:fill="A7BFDE" w:themeFill="accent1" w:themeFillTint="7F"/>
      </w:tcPr>
    </w:tblStylePr>
  </w:style>
  <w:style w:type="table" w:styleId="ColorfulGrid-accent2PHPDOCX">
    <w:name w:val="Colorful Grid Accent 2 PHPDOCX"/>
    <w:uiPriority w:val="73"/>
    <w:rsid w:val="00AC197E"/>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F2DBDB" w:themeFill="accent2" w:themeFillTint="33"/>
    </w:tcPr>
    <w:tblStylePr w:type="firstRow">
      <w:rPr>
        <w:b/>
        <w:bCs/>
      </w:rPr>
      <w:tblPr/>
      <w:tcPr>
        <w:shd w:val="clear" w:color="auto" w:fill="E5B8B7" w:themeFill="accent2" w:themeFillTint="66"/>
      </w:tcPr>
    </w:tblStylePr>
    <w:tblStylePr w:type="lastRow">
      <w:rPr>
        <w:b/>
        <w:bCs/>
        <w:color w:val="000000" w:themeColor="text1"/>
      </w:rPr>
      <w:tblPr/>
      <w:tcPr>
        <w:shd w:val="clear" w:color="auto" w:fill="E5B8B7" w:themeFill="accent2" w:themeFillTint="66"/>
      </w:tcPr>
    </w:tblStylePr>
    <w:tblStylePr w:type="firstCol">
      <w:rPr>
        <w:color w:val="FFFFFF" w:themeColor="background1"/>
      </w:rPr>
      <w:tblPr/>
      <w:tcPr>
        <w:shd w:val="clear" w:color="auto" w:fill="943634" w:themeFill="accent2" w:themeFillShade="BF"/>
      </w:tcPr>
    </w:tblStylePr>
    <w:tblStylePr w:type="lastCol">
      <w:rPr>
        <w:color w:val="FFFFFF" w:themeColor="background1"/>
      </w:rPr>
      <w:tblPr/>
      <w:tcPr>
        <w:shd w:val="clear" w:color="auto" w:fill="943634" w:themeFill="accent2" w:themeFillShade="BF"/>
      </w:tcPr>
    </w:tblStylePr>
    <w:tblStylePr w:type="band1Vert">
      <w:tblPr/>
      <w:tcPr>
        <w:shd w:val="clear" w:color="auto" w:fill="DFA7A6" w:themeFill="accent2" w:themeFillTint="7F"/>
      </w:tcPr>
    </w:tblStylePr>
    <w:tblStylePr w:type="band1Horz">
      <w:tblPr/>
      <w:tcPr>
        <w:shd w:val="clear" w:color="auto" w:fill="DFA7A6" w:themeFill="accent2" w:themeFillTint="7F"/>
      </w:tcPr>
    </w:tblStylePr>
  </w:style>
  <w:style w:type="table" w:styleId="ColorfulGrid-accent3PHPDOCX">
    <w:name w:val="Colorful Grid Accent 3 PHPDOCX"/>
    <w:uiPriority w:val="73"/>
    <w:rsid w:val="00AC197E"/>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EAF1DD" w:themeFill="accent3" w:themeFillTint="33"/>
    </w:tcPr>
    <w:tblStylePr w:type="firstRow">
      <w:rPr>
        <w:b/>
        <w:bCs/>
      </w:rPr>
      <w:tblPr/>
      <w:tcPr>
        <w:shd w:val="clear" w:color="auto" w:fill="D6E3BC" w:themeFill="accent3" w:themeFillTint="66"/>
      </w:tcPr>
    </w:tblStylePr>
    <w:tblStylePr w:type="lastRow">
      <w:rPr>
        <w:b/>
        <w:bCs/>
        <w:color w:val="000000" w:themeColor="text1"/>
      </w:rPr>
      <w:tblPr/>
      <w:tcPr>
        <w:shd w:val="clear" w:color="auto" w:fill="D6E3BC" w:themeFill="accent3" w:themeFillTint="66"/>
      </w:tcPr>
    </w:tblStylePr>
    <w:tblStylePr w:type="firstCol">
      <w:rPr>
        <w:color w:val="FFFFFF" w:themeColor="background1"/>
      </w:rPr>
      <w:tblPr/>
      <w:tcPr>
        <w:shd w:val="clear" w:color="auto" w:fill="76923C" w:themeFill="accent3" w:themeFillShade="BF"/>
      </w:tcPr>
    </w:tblStylePr>
    <w:tblStylePr w:type="lastCol">
      <w:rPr>
        <w:color w:val="FFFFFF" w:themeColor="background1"/>
      </w:rPr>
      <w:tblPr/>
      <w:tcPr>
        <w:shd w:val="clear" w:color="auto" w:fill="76923C" w:themeFill="accent3" w:themeFillShade="BF"/>
      </w:tcPr>
    </w:tblStylePr>
    <w:tblStylePr w:type="band1Vert">
      <w:tblPr/>
      <w:tcPr>
        <w:shd w:val="clear" w:color="auto" w:fill="CDDDAC" w:themeFill="accent3" w:themeFillTint="7F"/>
      </w:tcPr>
    </w:tblStylePr>
    <w:tblStylePr w:type="band1Horz">
      <w:tblPr/>
      <w:tcPr>
        <w:shd w:val="clear" w:color="auto" w:fill="CDDDAC" w:themeFill="accent3" w:themeFillTint="7F"/>
      </w:tcPr>
    </w:tblStylePr>
  </w:style>
  <w:style w:type="table" w:styleId="ColorfulGrid-accent4PHPDOCX">
    <w:name w:val="Colorful Grid Accent 4 PHPDOCX"/>
    <w:uiPriority w:val="73"/>
    <w:rsid w:val="00AC197E"/>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E5DFEC" w:themeFill="accent4" w:themeFillTint="33"/>
    </w:tcPr>
    <w:tblStylePr w:type="firstRow">
      <w:rPr>
        <w:b/>
        <w:bCs/>
      </w:rPr>
      <w:tblPr/>
      <w:tcPr>
        <w:shd w:val="clear" w:color="auto" w:fill="CCC0D9" w:themeFill="accent4" w:themeFillTint="66"/>
      </w:tcPr>
    </w:tblStylePr>
    <w:tblStylePr w:type="lastRow">
      <w:rPr>
        <w:b/>
        <w:bCs/>
        <w:color w:val="000000" w:themeColor="text1"/>
      </w:rPr>
      <w:tblPr/>
      <w:tcPr>
        <w:shd w:val="clear" w:color="auto" w:fill="CCC0D9" w:themeFill="accent4" w:themeFillTint="66"/>
      </w:tcPr>
    </w:tblStylePr>
    <w:tblStylePr w:type="firstCol">
      <w:rPr>
        <w:color w:val="FFFFFF" w:themeColor="background1"/>
      </w:rPr>
      <w:tblPr/>
      <w:tcPr>
        <w:shd w:val="clear" w:color="auto" w:fill="5F497A" w:themeFill="accent4" w:themeFillShade="BF"/>
      </w:tcPr>
    </w:tblStylePr>
    <w:tblStylePr w:type="lastCol">
      <w:rPr>
        <w:color w:val="FFFFFF" w:themeColor="background1"/>
      </w:rPr>
      <w:tblPr/>
      <w:tcPr>
        <w:shd w:val="clear" w:color="auto" w:fill="5F497A" w:themeFill="accent4" w:themeFillShade="BF"/>
      </w:tcPr>
    </w:tblStylePr>
    <w:tblStylePr w:type="band1Vert">
      <w:tblPr/>
      <w:tcPr>
        <w:shd w:val="clear" w:color="auto" w:fill="BFB1D0" w:themeFill="accent4" w:themeFillTint="7F"/>
      </w:tcPr>
    </w:tblStylePr>
    <w:tblStylePr w:type="band1Horz">
      <w:tblPr/>
      <w:tcPr>
        <w:shd w:val="clear" w:color="auto" w:fill="BFB1D0" w:themeFill="accent4" w:themeFillTint="7F"/>
      </w:tcPr>
    </w:tblStylePr>
  </w:style>
  <w:style w:type="table" w:styleId="ColorfulGrid-accent5PHPDOCX">
    <w:name w:val="Colorful Grid Accent 5 PHPDOCX"/>
    <w:uiPriority w:val="73"/>
    <w:rsid w:val="00AC197E"/>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DAEEF3" w:themeFill="accent5" w:themeFillTint="33"/>
    </w:tcPr>
    <w:tblStylePr w:type="firstRow">
      <w:rPr>
        <w:b/>
        <w:bCs/>
      </w:rPr>
      <w:tblPr/>
      <w:tcPr>
        <w:shd w:val="clear" w:color="auto" w:fill="B6DDE8" w:themeFill="accent5" w:themeFillTint="66"/>
      </w:tcPr>
    </w:tblStylePr>
    <w:tblStylePr w:type="lastRow">
      <w:rPr>
        <w:b/>
        <w:bCs/>
        <w:color w:val="000000" w:themeColor="text1"/>
      </w:rPr>
      <w:tblPr/>
      <w:tcPr>
        <w:shd w:val="clear" w:color="auto" w:fill="B6DDE8" w:themeFill="accent5" w:themeFillTint="66"/>
      </w:tcPr>
    </w:tblStylePr>
    <w:tblStylePr w:type="firstCol">
      <w:rPr>
        <w:color w:val="FFFFFF" w:themeColor="background1"/>
      </w:rPr>
      <w:tblPr/>
      <w:tcPr>
        <w:shd w:val="clear" w:color="auto" w:fill="31849B" w:themeFill="accent5" w:themeFillShade="BF"/>
      </w:tcPr>
    </w:tblStylePr>
    <w:tblStylePr w:type="lastCol">
      <w:rPr>
        <w:color w:val="FFFFFF" w:themeColor="background1"/>
      </w:rPr>
      <w:tblPr/>
      <w:tcPr>
        <w:shd w:val="clear" w:color="auto" w:fill="31849B" w:themeFill="accent5" w:themeFillShade="BF"/>
      </w:tcPr>
    </w:tblStylePr>
    <w:tblStylePr w:type="band1Vert">
      <w:tblPr/>
      <w:tcPr>
        <w:shd w:val="clear" w:color="auto" w:fill="A5D5E2" w:themeFill="accent5" w:themeFillTint="7F"/>
      </w:tcPr>
    </w:tblStylePr>
    <w:tblStylePr w:type="band1Horz">
      <w:tblPr/>
      <w:tcPr>
        <w:shd w:val="clear" w:color="auto" w:fill="A5D5E2" w:themeFill="accent5" w:themeFillTint="7F"/>
      </w:tcPr>
    </w:tblStylePr>
  </w:style>
  <w:style w:type="table" w:styleId="ColorfulGrid-accent6PHPDOCX">
    <w:name w:val="Colorful Grid Accent 6 PHPDOCX"/>
    <w:uiPriority w:val="73"/>
    <w:rsid w:val="00AC197E"/>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FDE9D9" w:themeFill="accent6" w:themeFillTint="33"/>
    </w:tcPr>
    <w:tblStylePr w:type="firstRow">
      <w:rPr>
        <w:b/>
        <w:bCs/>
      </w:rPr>
      <w:tblPr/>
      <w:tcPr>
        <w:shd w:val="clear" w:color="auto" w:fill="FBD4B4" w:themeFill="accent6" w:themeFillTint="66"/>
      </w:tcPr>
    </w:tblStylePr>
    <w:tblStylePr w:type="lastRow">
      <w:rPr>
        <w:b/>
        <w:bCs/>
        <w:color w:val="000000" w:themeColor="text1"/>
      </w:rPr>
      <w:tblPr/>
      <w:tcPr>
        <w:shd w:val="clear" w:color="auto" w:fill="FBD4B4" w:themeFill="accent6" w:themeFillTint="66"/>
      </w:tcPr>
    </w:tblStylePr>
    <w:tblStylePr w:type="firstCol">
      <w:rPr>
        <w:color w:val="FFFFFF" w:themeColor="background1"/>
      </w:rPr>
      <w:tblPr/>
      <w:tcPr>
        <w:shd w:val="clear" w:color="auto" w:fill="E36C0A" w:themeFill="accent6" w:themeFillShade="BF"/>
      </w:tcPr>
    </w:tblStylePr>
    <w:tblStylePr w:type="lastCol">
      <w:rPr>
        <w:color w:val="FFFFFF" w:themeColor="background1"/>
      </w:rPr>
      <w:tblPr/>
      <w:tcPr>
        <w:shd w:val="clear" w:color="auto" w:fill="E36C0A" w:themeFill="accent6" w:themeFillShade="BF"/>
      </w:tcPr>
    </w:tblStylePr>
    <w:tblStylePr w:type="band1Vert">
      <w:tblPr/>
      <w:tcPr>
        <w:shd w:val="clear" w:color="auto" w:fill="FBCAA2" w:themeFill="accent6" w:themeFillTint="7F"/>
      </w:tcPr>
    </w:tblStylePr>
    <w:tblStylePr w:type="band1Horz">
      <w:tblPr/>
      <w:tcPr>
        <w:shd w:val="clear" w:color="auto" w:fill="FBCAA2" w:themeFill="accent6" w:themeFillTint="7F"/>
      </w:tcPr>
    </w:tblStylePr>
  </w:style>
</w:styles>
</file>

<file path=word/webSettings.xml><?xml version="1.0" encoding="utf-8"?>
<w:webSettings xmlns:r="http://schemas.openxmlformats.org/officeDocument/2006/relationships" xmlns:w="http://schemas.openxmlformats.org/wordprocessingml/2006/main">
  <w:optimizeForBrowser/>
</w:webSettings>
</file>

<file path=word/_rels/comments.xml.rels><?xml version="1.0" encoding="UTF-8" standalone="yes"?><Relationships xmlns="http://schemas.openxmlformats.org/package/2006/relationships"></Relationship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4" Type="http://schemas.openxmlformats.org/officeDocument/2006/relationships/settings" Target="settings.xml"/><Relationship Id="rId9" Type="http://schemas.openxmlformats.org/officeDocument/2006/relationships/theme" Target="theme/theme1.xml"/><Relationship Id="rId10" Type="http://schemas.openxmlformats.org/officeDocument/2006/relationships/comments" Target="comments.xml"/><Relationship Id="rId369897329" Type="http://schemas.microsoft.com/office/2011/relationships/commentsExtended" Target="commentsExtended.xml"/><Relationship Id="rId882111594" Type="http://schemas.microsoft.com/office/2011/relationships/people" Target="people.xml"/><Relationship Id="rId918367eea4de14903" Type="http://schemas.openxmlformats.org/officeDocument/2006/relationships/hyperlink" Target="https://gd.eppo.int/taxon/DACUDO/" TargetMode="External"/><Relationship Id="rId345067eea4de1496e" Type="http://schemas.openxmlformats.org/officeDocument/2006/relationships/hyperlink" Target="https://gd.eppo.int/taxon/DACUDO/categorization" TargetMode="External"/><Relationship Id="rId830367eea4de14f8b" Type="http://schemas.openxmlformats.org/officeDocument/2006/relationships/hyperlink" Target="https://gd.eppo.int/taxon/DACUDO/photos" TargetMode="External"/><Relationship Id="rId951967eea4de1a90a" Type="http://schemas.openxmlformats.org/officeDocument/2006/relationships/hyperlink" Target="http://www.boldsystems.org/index.php/Taxbrowser_Taxonpage?taxon=Bactrocera+dorsalis&amp;searchTax=" TargetMode="External"/><Relationship Id="rId945467eea4de1a951" Type="http://schemas.openxmlformats.org/officeDocument/2006/relationships/hyperlink" Target="http://www.boldsystems.org/index.php/Taxbrowser_Taxonpage?taxon=Bactrocera+invadens&amp;searchTax=" TargetMode="External"/><Relationship Id="rId683267eea4de1a9bc" Type="http://schemas.openxmlformats.org/officeDocument/2006/relationships/hyperlink" Target="https://qbank.eppo.int/arthropods/taxon/DACUDO/" TargetMode="External"/><Relationship Id="rId430367eea4de1af2d" Type="http://schemas.openxmlformats.org/officeDocument/2006/relationships/hyperlink" Target="https://doi.org/10.2903/j.efsa.2020.5931" TargetMode="External"/><Relationship Id="rId697367eea4de1b384" Type="http://schemas.openxmlformats.org/officeDocument/2006/relationships/hyperlink" Target="https://assets.ippc.int/static/media/files/publication/en/2019/02/PT_32_2018_En_VHT_Bactr_papaya_2018-04-21_WithCover.pdf" TargetMode="External"/><Relationship Id="rId822967eea4de1b571" Type="http://schemas.openxmlformats.org/officeDocument/2006/relationships/hyperlink" Target="https://coffhi.cphst.org/" TargetMode="External"/><Relationship Id="rId878267eea4de1b85e" Type="http://schemas.openxmlformats.org/officeDocument/2006/relationships/hyperlink" Target="https://doi.org/10.1111/syen.12113" TargetMode="External"/><Relationship Id="rId674767eea4de1b9dc" Type="http://schemas.openxmlformats.org/officeDocument/2006/relationships/hyperlink" Target="https://www.aphis.usda.gov/import_export/plants/manuals/ports/downloads/treatment.pdf" TargetMode="External"/><Relationship Id="rId397667eea4de1bcf1" Type="http://schemas.openxmlformats.org/officeDocument/2006/relationships/hyperlink" Target="http://www.cabi.org/isc/datasheet/17685" TargetMode="External"/><Relationship Id="rId931567eea4de1bdaa" Type="http://schemas.openxmlformats.org/officeDocument/2006/relationships/hyperlink" Target="https://gd.eppo.int" TargetMode="External"/><Relationship Id="rId702567eea4de1bf26" Type="http://schemas.openxmlformats.org/officeDocument/2006/relationships/hyperlink" Target="https://doi.org/10.1111/j.1365-2338.1983.tb01715.x" TargetMode="External"/><Relationship Id="rId172367eea4de14a43" Type="http://schemas.openxmlformats.org/officeDocument/2006/relationships/image" Target="media/imgrId172367eea4de14a43.jpg"/><Relationship Id="rId636167eea4de1a121" Type="http://schemas.openxmlformats.org/officeDocument/2006/relationships/image" Target="media/imgrId636167eea4de1a121.jpg"/><Relationship Id="rId143167eea4de1bfc7" Type="http://schemas.openxmlformats.org/officeDocument/2006/relationships/image" Target="media/imgrId143167eea4de1bfc7.png"/></Relationships>

</file>

<file path=word/_rels/endnotes.xml.rels><?xml version="1.0" encoding="UTF-8" standalone="yes"?><Relationships xmlns="http://schemas.openxmlformats.org/package/2006/relationships"></Relationships>
</file>

<file path=word/_rels/footnotes.xml.rels><?xml version="1.0" encoding="UTF-8" standalone="yes"?><Relationships xmlns="http://schemas.openxmlformats.org/package/2006/relationships"></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BB324958-CBFB-4DB0-B37D-BF649D31B7BE}">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43</TotalTime>
  <Pages>12</Pages>
  <Words>307</Words>
  <Characters>1690</Characters>
  <Application>Microsoft Office Word</Application>
  <DocSecurity>0</DocSecurity>
  <Lines>14</Lines>
  <Paragraphs>3</Paragraphs>
  <ScaleCrop>false</ScaleCrop>
  <HeadingPairs>
    <vt:vector size="2" baseType="variant">
      <vt:variant>
        <vt:lpstr>Título</vt:lpstr>
      </vt:variant>
      <vt:variant>
        <vt:i4>1</vt:i4>
      </vt:variant>
    </vt:vector>
  </HeadingPairs>
  <TitlesOfParts>
    <vt:vector size="1" baseType="lpstr">
      <vt:lpstr/>
    </vt:vector>
  </TitlesOfParts>
  <Company/>
  <LinksUpToDate>false</LinksUpToDate>
  <CharactersWithSpaces>1994</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PHPDocX</dc:creator>
  <cp:keywords/>
  <dc:description/>
  <cp:lastModifiedBy>PHPDocX</cp:lastModifiedBy>
  <cp:revision>6</cp:revision>
  <dcterms:created xsi:type="dcterms:W3CDTF">2012-01-10T09:29:00Z</dcterms:created>
  <dcterms:modified xsi:type="dcterms:W3CDTF">2012-02-06T10:43:00Z</dcterms:modified>
</cp:coreProperties>
</file>