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Bactrocera minax</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minax</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(Enderlein)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citri</w:t>
            </w:r>
            <w:r>
              <w:rPr>
                <w:rFonts w:ascii="Calibri" w:hAnsi="Calibri" w:eastAsia="Calibri" w:cs="Calibri"/>
                <w:color w:val="000000"/>
                <w:position w:val="-3"/>
                <w:sz w:val="22"/>
                <w:szCs w:val="22"/>
              </w:rPr>
              <w:t xml:space="preserve"> (Chen), </w:t>
            </w:r>
            <w:r>
              <w:rPr>
                <w:rFonts w:ascii="Calibri" w:hAnsi="Calibri" w:eastAsia="Calibri" w:cs="Calibri"/>
                <w:i/>
                <w:iCs/>
                <w:color w:val="000000"/>
                <w:position w:val="-3"/>
                <w:sz w:val="22"/>
                <w:szCs w:val="22"/>
              </w:rPr>
              <w:t xml:space="preserve">Callantra minax</w:t>
            </w:r>
            <w:r>
              <w:rPr>
                <w:rFonts w:ascii="Calibri" w:hAnsi="Calibri" w:eastAsia="Calibri" w:cs="Calibri"/>
                <w:color w:val="000000"/>
                <w:position w:val="-3"/>
                <w:sz w:val="22"/>
                <w:szCs w:val="22"/>
              </w:rPr>
              <w:t xml:space="preserve"> (Enderlein), </w:t>
            </w:r>
            <w:r>
              <w:rPr>
                <w:rFonts w:ascii="Calibri" w:hAnsi="Calibri" w:eastAsia="Calibri" w:cs="Calibri"/>
                <w:i/>
                <w:iCs/>
                <w:color w:val="000000"/>
                <w:position w:val="-3"/>
                <w:sz w:val="22"/>
                <w:szCs w:val="22"/>
              </w:rPr>
              <w:t xml:space="preserve">Dacus citri</w:t>
            </w:r>
            <w:r>
              <w:rPr>
                <w:rFonts w:ascii="Calibri" w:hAnsi="Calibri" w:eastAsia="Calibri" w:cs="Calibri"/>
                <w:color w:val="000000"/>
                <w:position w:val="-3"/>
                <w:sz w:val="22"/>
                <w:szCs w:val="22"/>
              </w:rPr>
              <w:t xml:space="preserve"> (Chen), </w:t>
            </w:r>
            <w:r>
              <w:rPr>
                <w:rFonts w:ascii="Calibri" w:hAnsi="Calibri" w:eastAsia="Calibri" w:cs="Calibri"/>
                <w:i/>
                <w:iCs/>
                <w:color w:val="000000"/>
                <w:position w:val="-3"/>
                <w:sz w:val="22"/>
                <w:szCs w:val="22"/>
              </w:rPr>
              <w:t xml:space="preserve">Mellesis citri</w:t>
            </w:r>
            <w:r>
              <w:rPr>
                <w:rFonts w:ascii="Calibri" w:hAnsi="Calibri" w:eastAsia="Calibri" w:cs="Calibri"/>
                <w:color w:val="000000"/>
                <w:position w:val="-3"/>
                <w:sz w:val="22"/>
                <w:szCs w:val="22"/>
              </w:rPr>
              <w:t xml:space="preserve"> Chen, </w:t>
            </w:r>
            <w:r>
              <w:rPr>
                <w:rFonts w:ascii="Calibri" w:hAnsi="Calibri" w:eastAsia="Calibri" w:cs="Calibri"/>
                <w:i/>
                <w:iCs/>
                <w:color w:val="000000"/>
                <w:position w:val="-3"/>
                <w:sz w:val="22"/>
                <w:szCs w:val="22"/>
              </w:rPr>
              <w:t xml:space="preserve">Polistomimetes minax</w:t>
            </w:r>
            <w:r>
              <w:rPr>
                <w:rFonts w:ascii="Calibri" w:hAnsi="Calibri" w:eastAsia="Calibri" w:cs="Calibri"/>
                <w:color w:val="000000"/>
                <w:position w:val="-3"/>
                <w:sz w:val="22"/>
                <w:szCs w:val="22"/>
              </w:rPr>
              <w:t xml:space="preserve"> Enderlein, </w:t>
            </w:r>
            <w:r>
              <w:rPr>
                <w:rFonts w:ascii="Calibri" w:hAnsi="Calibri" w:eastAsia="Calibri" w:cs="Calibri"/>
                <w:i/>
                <w:iCs/>
                <w:color w:val="000000"/>
                <w:position w:val="-3"/>
                <w:sz w:val="22"/>
                <w:szCs w:val="22"/>
              </w:rPr>
              <w:t xml:space="preserve">Tetradacus citri</w:t>
            </w:r>
            <w:r>
              <w:rPr>
                <w:rFonts w:ascii="Calibri" w:hAnsi="Calibri" w:eastAsia="Calibri" w:cs="Calibri"/>
                <w:color w:val="000000"/>
                <w:position w:val="-3"/>
                <w:sz w:val="22"/>
                <w:szCs w:val="22"/>
              </w:rPr>
              <w:t xml:space="preserve"> (Chen)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Chinese citrus fly</w:t>
            </w:r>
            <w:hyperlink r:id="rId53676697c49c13e5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52326697c49c13ea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DACUCT</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minax</w:t>
      </w:r>
      <w:r>
        <w:rPr>
          <w:rFonts w:ascii="Calibri" w:hAnsi="Calibri" w:eastAsia="Calibri" w:cs="Calibri"/>
          <w:color w:val="000000"/>
          <w:sz w:val="22"/>
          <w:szCs w:val="22"/>
        </w:rPr>
        <w:t xml:space="preserve"> belongs to the subgenus </w:t>
      </w:r>
      <w:r>
        <w:rPr>
          <w:rFonts w:ascii="Calibri" w:hAnsi="Calibri" w:eastAsia="Calibri" w:cs="Calibri"/>
          <w:i/>
          <w:iCs/>
          <w:color w:val="000000"/>
          <w:sz w:val="22"/>
          <w:szCs w:val="22"/>
        </w:rPr>
        <w:t xml:space="preserve">Tetradacus</w:t>
      </w:r>
      <w:r>
        <w:rPr>
          <w:rFonts w:ascii="Calibri" w:hAnsi="Calibri" w:eastAsia="Calibri" w:cs="Calibri"/>
          <w:color w:val="000000"/>
          <w:sz w:val="22"/>
          <w:szCs w:val="22"/>
        </w:rPr>
        <w:t xml:space="preserve">, within the genus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As such it can be referred to in the literature as </w:t>
      </w:r>
      <w:r>
        <w:rPr>
          <w:rFonts w:ascii="Calibri" w:hAnsi="Calibri" w:eastAsia="Calibri" w:cs="Calibri"/>
          <w:i/>
          <w:iCs/>
          <w:color w:val="000000"/>
          <w:sz w:val="22"/>
          <w:szCs w:val="22"/>
        </w:rPr>
        <w:t xml:space="preserve">Bactrocera (Tetradacus) minax.</w:t>
      </w:r>
      <w:r>
        <w:rPr>
          <w:rFonts w:ascii="Calibri" w:hAnsi="Calibri" w:eastAsia="Calibri" w:cs="Calibri"/>
          <w:color w:val="000000"/>
          <w:sz w:val="22"/>
          <w:szCs w:val="22"/>
        </w:rPr>
        <w:t xml:space="preserve"> A recent review of, and identification key to all species of the subgenus </w:t>
      </w:r>
      <w:r>
        <w:rPr>
          <w:rFonts w:ascii="Calibri" w:hAnsi="Calibri" w:eastAsia="Calibri" w:cs="Calibri"/>
          <w:i/>
          <w:iCs/>
          <w:color w:val="000000"/>
          <w:sz w:val="22"/>
          <w:szCs w:val="22"/>
        </w:rPr>
        <w:t xml:space="preserve">Tetradacus </w:t>
      </w:r>
      <w:r>
        <w:rPr>
          <w:rFonts w:ascii="Calibri" w:hAnsi="Calibri" w:eastAsia="Calibri" w:cs="Calibri"/>
          <w:color w:val="000000"/>
          <w:sz w:val="22"/>
          <w:szCs w:val="22"/>
        </w:rPr>
        <w:t xml:space="preserve">is given by Hancock &amp; Drew (2019).</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B. minax</w:t>
      </w:r>
      <w:r>
        <w:rPr>
          <w:rFonts w:ascii="Calibri" w:hAnsi="Calibri" w:eastAsia="Calibri" w:cs="Calibri"/>
          <w:color w:val="000000"/>
          <w:sz w:val="22"/>
          <w:szCs w:val="22"/>
        </w:rPr>
        <w:t xml:space="preserve"> has erroneously been considered synonymous with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(EPPO/CABI, 1996).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minax</w:t>
      </w:r>
      <w:r>
        <w:rPr>
          <w:rFonts w:ascii="Calibri" w:hAnsi="Calibri" w:eastAsia="Calibri" w:cs="Calibri"/>
          <w:color w:val="000000"/>
          <w:sz w:val="22"/>
          <w:szCs w:val="22"/>
        </w:rPr>
        <w:t xml:space="preserve"> is found exclusively on Rutaceae, such as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Xia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reports that in China most surveys indicate that mainly sweet oranges are heavily infested, although some surveys have shown high infestation occasionally in pomelo and sour oranges. In Bhutan mandarins are heavily infested (Dorji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The USDA Compendium of Fruit Fly Host Information (CoFFHI) (Chang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provides an extensive host list with detailed references.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tangerina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junos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margarita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known distribution of </w:t>
      </w:r>
      <w:r>
        <w:rPr>
          <w:rFonts w:ascii="Calibri" w:hAnsi="Calibri" w:eastAsia="Calibri" w:cs="Calibri"/>
          <w:i/>
          <w:iCs/>
          <w:color w:val="000000"/>
          <w:sz w:val="22"/>
          <w:szCs w:val="22"/>
        </w:rPr>
        <w:t xml:space="preserve">B. minax </w:t>
      </w:r>
      <w:r>
        <w:rPr>
          <w:rFonts w:ascii="Calibri" w:hAnsi="Calibri" w:eastAsia="Calibri" w:cs="Calibri"/>
          <w:color w:val="000000"/>
          <w:sz w:val="22"/>
          <w:szCs w:val="22"/>
        </w:rPr>
        <w:t xml:space="preserve">is restricted to northeastern India, Bhutan, Nepal, and southern China. The record from Donghai County in Jiangsu, China is uncertain according to Hancock &amp; Drew (2018).</w:t>
      </w:r>
    </w:p>
    <w:p>
      <w:r>
        <w:drawing>
          <wp:inline distT="0" distB="0" distL="0" distR="0">
            <wp:extent cx="6120000" cy="3067200"/>
            <wp:docPr id="48175277" name="name66086697c49c157e2" descr="DACUCT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UCT_distribution_map.jpg"/>
                    <pic:cNvPicPr/>
                  </pic:nvPicPr>
                  <pic:blipFill>
                    <a:blip r:embed="rId35626697c49c157d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Bhutan, China (Chongqing, Guangdong, Guangxi, Guizhou, Hubei, Hunan, Jiangxi, Shaanxi, Sichuan, Yunnan), India (Sikkim, West Bengal), Nepal, Taiwan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minax</w:t>
      </w:r>
      <w:r>
        <w:rPr>
          <w:rFonts w:ascii="Calibri" w:hAnsi="Calibri" w:eastAsia="Calibri" w:cs="Calibri"/>
          <w:color w:val="000000"/>
          <w:sz w:val="22"/>
          <w:szCs w:val="22"/>
        </w:rPr>
        <w:t xml:space="preserve"> is an univoltine species (only one generation each year) and goes into diapause in the soil as a pupa during winter (Dong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overwintering stage lasts about 160-170 days (Fan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and a period of at least three months of winter conditions is required for successful diapause development and termination (Dong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Diapause termination is synchronized with fruit development, with adult emergence between April and May and adult life span between one and three months (Xia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Oviposition takes place in June-July (Dorji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and eggs are laid below the skin of young host fruits. Three larval stages develop inside the fruit, feeding on the plant tissue. A review on this species in China is given by Xia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while details of development in mandarin in Bhutan is given by Dorji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Additional information is given in Zhang (1989), Fan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and Dong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general, </w:t>
      </w:r>
      <w:r>
        <w:rPr>
          <w:rFonts w:ascii="Calibri" w:hAnsi="Calibri" w:eastAsia="Calibri" w:cs="Calibri"/>
          <w:i/>
          <w:iCs/>
          <w:color w:val="000000"/>
          <w:sz w:val="22"/>
          <w:szCs w:val="22"/>
        </w:rPr>
        <w:t xml:space="preserve">B. minax </w:t>
      </w:r>
      <w:r>
        <w:rPr>
          <w:rFonts w:ascii="Calibri" w:hAnsi="Calibri" w:eastAsia="Calibri" w:cs="Calibri"/>
          <w:color w:val="000000"/>
          <w:sz w:val="22"/>
          <w:szCs w:val="22"/>
        </w:rPr>
        <w:t xml:space="preserve">has a similar biology to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but adults of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can be found over a longer time in the field</w:t>
      </w:r>
      <w:r>
        <w:rPr>
          <w:rFonts w:ascii="Calibri" w:hAnsi="Calibri" w:eastAsia="Calibri" w:cs="Calibri"/>
          <w:i/>
          <w:iCs/>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fly larvae in general have a typical shape, i.e., cylindrical maggot-shape, elongate, anterior end narrowed and somewhat recurved ventrally, with anterior mouth hooks, and flattened caudal end. Their length varies from 5 to 15 mm. Identification to species level is not possible based on larvae. A key for the 3rd-instar larvae is available in White &amp; Elson- Harris (1992) and is useful for an identification to the genus level. The larva of </w:t>
      </w:r>
      <w:r>
        <w:rPr>
          <w:rFonts w:ascii="Calibri" w:hAnsi="Calibri" w:eastAsia="Calibri" w:cs="Calibri"/>
          <w:i/>
          <w:iCs/>
          <w:color w:val="000000"/>
          <w:sz w:val="22"/>
          <w:szCs w:val="22"/>
        </w:rPr>
        <w:t xml:space="preserve">B. minax </w:t>
      </w:r>
      <w:r>
        <w:rPr>
          <w:rFonts w:ascii="Calibri" w:hAnsi="Calibri" w:eastAsia="Calibri" w:cs="Calibri"/>
          <w:color w:val="000000"/>
          <w:sz w:val="22"/>
          <w:szCs w:val="22"/>
        </w:rPr>
        <w:t xml:space="preserve">is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also described in some detail by White &amp; Elson-Harris (1992).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Redescription, as given by Drew &amp; Romig (2013). </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Male</w:t>
      </w:r>
      <w:r>
        <w:rPr>
          <w:rFonts w:ascii="Calibri" w:hAnsi="Calibri" w:eastAsia="Calibri" w:cs="Calibri"/>
          <w:color w:val="000000"/>
          <w:sz w:val="22"/>
          <w:szCs w:val="22"/>
        </w:rPr>
        <w:br/>
        <w:t xml:space="preserve">Head. Red-brown, fulvous along eye margins and with small dark fuscous areas around bases of orbital setae and on anteromedial hump; orbital setae black: 1 superior, 2 inferior; lunule dark fuscous. Ocellar triangle black. Vertex red-brown. Face fulvous with a pair of large elongate black spots filling most of antennal furrow. Occiput red-brown, fulvous along eye margins; occipital row with 1-4 weak black setae. Antennae with all segments red-brown. </w:t>
      </w:r>
    </w:p>
    <w:p>
      <w:pPr>
        <w:widowControl w:val="on"/>
        <w:pBdr/>
        <w:spacing w:before="220" w:after="220" w:line="240" w:lineRule="auto"/>
        <w:ind w:left="0" w:right="0"/>
        <w:jc w:val="both"/>
      </w:pPr>
      <w:r>
        <w:rPr>
          <w:rFonts w:ascii="Calibri" w:hAnsi="Calibri" w:eastAsia="Calibri" w:cs="Calibri"/>
          <w:color w:val="000000"/>
          <w:sz w:val="22"/>
          <w:szCs w:val="22"/>
        </w:rPr>
        <w:t xml:space="preserve">Thorax. Scutum red-brown with a mottled appearance from dorsoventral flight muscles and irregular dark fuscous patterns and particularly with a narrow medial longitudinal dark fuscous line running from anterior point of medial postsutural yellow vitta to anterior margin of scutum. Pleural areas red-brown with fuscous along anterior and posterior margins of mesopleural stripe. Yellow markings as follows: postpronotal lobes; notopleura; a lateral yellow band running from posterior margin of postpronotal lobes towards notopleuron but finishing before the notopleuron; a broad mesopleural stripe reaching the anterior notopleural seta dorsally, extending to the katepisternum as a large transverse spot, anterior margin slightly convex; anatergite (posterior apex red-brown); anterior two-thirds katatergite (remainder red-brown); two medium-width parallel-sided lateral postsutural vittae ending at intra-alar seta and turned slightly inwards along notopleural suture; a broad medial postsutural vitta broadly rounded posteriorly at level of posterior supraalar. seta and narrowing to a point to end anteriorly before level of notopleural suture. Postnotum red-brown. Scutellum yellow except for narrow red-brown basal band. Setae: 2 scutellar, 1 intra-alar, 1 posterior supra-alar, 1 mesopleural, 1 notopleural, 2 scapular; prescutellar and anterior supra-alar absent.</w:t>
      </w:r>
    </w:p>
    <w:p>
      <w:pPr>
        <w:widowControl w:val="on"/>
        <w:pBdr/>
        <w:spacing w:before="220" w:after="220" w:line="240" w:lineRule="auto"/>
        <w:ind w:left="0" w:right="0"/>
        <w:jc w:val="both"/>
      </w:pPr>
      <w:r>
        <w:rPr>
          <w:rFonts w:ascii="Calibri" w:hAnsi="Calibri" w:eastAsia="Calibri" w:cs="Calibri"/>
          <w:color w:val="000000"/>
          <w:sz w:val="22"/>
          <w:szCs w:val="22"/>
        </w:rPr>
        <w:t xml:space="preserve">Legs. Femora fulvous except for small areas of fuscous around bases of all femora and larger areas of fuscous to dark fuscous around apices of mid and hind femora ; fore tibiae fuscous to dark fuscous basally to fulvous apically, hind tibiae fuscous to dark fuscous; all tarsal segments fulvous; mid tibiae each with an apical black spur.</w:t>
      </w:r>
    </w:p>
    <w:p>
      <w:pPr>
        <w:widowControl w:val="on"/>
        <w:pBdr/>
        <w:spacing w:before="220" w:after="220" w:line="240" w:lineRule="auto"/>
        <w:ind w:left="0" w:right="0"/>
        <w:jc w:val="both"/>
      </w:pPr>
      <w:r>
        <w:rPr>
          <w:rFonts w:ascii="Calibri" w:hAnsi="Calibri" w:eastAsia="Calibri" w:cs="Calibri"/>
          <w:color w:val="000000"/>
          <w:sz w:val="22"/>
          <w:szCs w:val="22"/>
        </w:rPr>
        <w:t xml:space="preserve">Wings. Length 10.8 mm; cells bc and c fuscous; microtrichia in outer half of cell c only; remainder of wings colourless except fuscous cell sc, broad fuscous costal band overlapping R4+5 and having a distinct dark fuscous spot within apex, a distinct anal streak absent but with pale fuscous within cell cup; no dense aggregation of microtrichia around A1+CuA2; supernumerary lobe weak.</w:t>
      </w:r>
    </w:p>
    <w:p>
      <w:pPr>
        <w:widowControl w:val="on"/>
        <w:pBdr/>
        <w:spacing w:before="220" w:after="220" w:line="240" w:lineRule="auto"/>
        <w:ind w:left="0" w:right="0"/>
        <w:jc w:val="both"/>
      </w:pPr>
      <w:r>
        <w:rPr>
          <w:rFonts w:ascii="Calibri" w:hAnsi="Calibri" w:eastAsia="Calibri" w:cs="Calibri"/>
          <w:color w:val="000000"/>
          <w:sz w:val="22"/>
          <w:szCs w:val="22"/>
        </w:rPr>
        <w:t xml:space="preserve">Abdomen. Elongate oval and petiolate; terga free; pecten present on tergum III. Tergum I and sterna I and II longer than wide. Terga I and II fulvous with narrow fuscous to dark fuscous lateral margins and a broad medial longitudinal dark fuscous band that is diffuse on the lateral margins; terga III-V variable from fulvous to red-brown and with a dark fuscous to black ‘T’ pattern consisting of a broad transverse band across anterior margin of tergum III which widens to cover lateral margins and a narrow medial longitudinal band over all three terga but ending before posterior margin of tergum III, fuscous to dark fuscous anterolateral corners on terga IV and V (in some specimens the dark patterns on terga III-V are paler and reduced to a fuscous medial longitudinal band over all three terga and pale fuscous anterolateral corners on terga IV and V). A pair of oval fulvous to red-brown shining spots on tergum V. Posterior lobe of surstylus short, sternum V with a slight concavity on posterior margin. Abdominal sterna variable from red-brown to fuscous.  </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Female</w:t>
      </w:r>
      <w:r>
        <w:rPr>
          <w:rFonts w:ascii="Calibri" w:hAnsi="Calibri" w:eastAsia="Calibri" w:cs="Calibri"/>
          <w:color w:val="000000"/>
          <w:sz w:val="22"/>
          <w:szCs w:val="22"/>
        </w:rPr>
        <w:br/>
        <w:t xml:space="preserve">As for male except pecten of cilia on abdominal tergum III absent, ovipositor basal segment red-brown, broadly conical in transverse cross section at base and narrowing and circular in transverse cross section towards apex, and extremely long; ratio of length of oviscape to length of tergum V, 2.7:1; apex of piercer needle-shaped.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minax</w:t>
      </w:r>
      <w:r>
        <w:rPr>
          <w:rFonts w:ascii="Calibri" w:hAnsi="Calibri" w:eastAsia="Calibri" w:cs="Calibri"/>
          <w:color w:val="000000"/>
          <w:sz w:val="22"/>
          <w:szCs w:val="22"/>
        </w:rPr>
        <w:t xml:space="preserve"> is morphologically similar to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(Drew &amp; Romig, 2013), but lacking anterior supra-alar setae. It has an incomplete lateral yellow band between the postpronotal lobe and the notopleuron and the female has a longer ovipositor (aculeus 3.7-5.0 mm long), with a needle-shaped apex.  Full details of the separation of these species were given by White &amp; Wang (1992) and Drew &amp; Romig (2013). Hancock &amp; Drew (2019) provide an identification key for all representatives of the subgenus </w:t>
      </w:r>
      <w:r>
        <w:rPr>
          <w:rFonts w:ascii="Calibri" w:hAnsi="Calibri" w:eastAsia="Calibri" w:cs="Calibri"/>
          <w:i/>
          <w:iCs/>
          <w:color w:val="000000"/>
          <w:sz w:val="22"/>
          <w:szCs w:val="22"/>
        </w:rPr>
        <w:t xml:space="preserve">Tetradacus</w:t>
      </w:r>
      <w:r>
        <w:rPr>
          <w:rFonts w:ascii="Calibri" w:hAnsi="Calibri" w:eastAsia="Calibri" w:cs="Calibri"/>
          <w:color w:val="000000"/>
          <w:sz w:val="22"/>
          <w:szCs w:val="22"/>
        </w:rPr>
        <w:t xml:space="preserv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 barcoding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Barcode of Life Data Systems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(BOLD), </w:t>
      </w:r>
      <w:r>
        <w:rPr>
          <w:rFonts w:ascii="Calibri" w:hAnsi="Calibri" w:eastAsia="Calibri" w:cs="Calibri"/>
          <w:i/>
          <w:iCs/>
          <w:color w:val="000000"/>
          <w:sz w:val="22"/>
          <w:szCs w:val="22"/>
        </w:rPr>
        <w:t xml:space="preserve">B. minax</w:t>
      </w:r>
      <w:r>
        <w:rPr>
          <w:rFonts w:ascii="Calibri" w:hAnsi="Calibri" w:eastAsia="Calibri" w:cs="Calibri"/>
          <w:color w:val="000000"/>
          <w:sz w:val="22"/>
          <w:szCs w:val="22"/>
        </w:rPr>
        <w:t xml:space="preserve"> only forms monospecific Barcoding Index Number Systems (BINs) including representatives from the geographical distribution of this species. For this reason, DNA barcoding might be considered as a suitable tool for the molecular identification of this species. Sequences are available in the Barcode of Life Data Systems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t>
      </w:r>
      <w:hyperlink r:id="rId17406697c49c1600b" w:history="1">
        <w:r>
          <w:rPr>
            <w:rFonts w:ascii="Calibri" w:hAnsi="Calibri" w:eastAsia="Calibri" w:cs="Calibri"/>
            <w:b/>
            <w:bCs/>
            <w:color w:val="0000CC"/>
            <w:sz w:val="22"/>
            <w:szCs w:val="22"/>
            <w:u w:val="single"/>
          </w:rPr>
          <w:t xml:space="preserve">BOLD</w:t>
        </w:r>
      </w:hyperlink>
      <w:r>
        <w:rPr>
          <w:rFonts w:ascii="Calibri" w:hAnsi="Calibri" w:eastAsia="Calibri" w:cs="Calibri"/>
          <w:color w:val="000000"/>
          <w:sz w:val="22"/>
          <w:szCs w:val="22"/>
        </w:rPr>
        <w:t xml:space="preserve">) and in </w:t>
      </w:r>
      <w:hyperlink r:id="rId73326697c49c16038" w:history="1">
        <w:r>
          <w:rPr>
            <w:rFonts w:ascii="Calibri" w:hAnsi="Calibri" w:eastAsia="Calibri" w:cs="Calibri"/>
            <w:b/>
            <w:bCs/>
            <w:color w:val="0000CC"/>
            <w:sz w:val="22"/>
            <w:szCs w:val="22"/>
            <w:u w:val="single"/>
          </w:rPr>
          <w:t xml:space="preserve">EPPO-Q-Bank</w:t>
        </w:r>
      </w:hyperlink>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most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can be monitored by traps baited with male lures, </w:t>
      </w:r>
      <w:r>
        <w:rPr>
          <w:rFonts w:ascii="Calibri" w:hAnsi="Calibri" w:eastAsia="Calibri" w:cs="Calibri"/>
          <w:i/>
          <w:iCs/>
          <w:color w:val="000000"/>
          <w:sz w:val="22"/>
          <w:szCs w:val="22"/>
        </w:rPr>
        <w:t xml:space="preserve">B. minax</w:t>
      </w:r>
      <w:r>
        <w:rPr>
          <w:rFonts w:ascii="Calibri" w:hAnsi="Calibri" w:eastAsia="Calibri" w:cs="Calibri"/>
          <w:color w:val="000000"/>
          <w:sz w:val="22"/>
          <w:szCs w:val="22"/>
        </w:rPr>
        <w:t xml:space="preserve"> is not known to be attracted to any male lure. A weak attraction of both sexes to methyl eugenol was reported by Drew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However, this appears to be a seasonal effect, related to the fly’s sexual maturation and mating (Royer, 2015) and considered incidental by Hancock &amp; Drew (2018). Both sexes can be monitored by traps baited with protein-based attractants (Xia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report the use of fruit mimic traps as effective in monitoring of </w:t>
      </w:r>
      <w:r>
        <w:rPr>
          <w:rFonts w:ascii="Calibri" w:hAnsi="Calibri" w:eastAsia="Calibri" w:cs="Calibri"/>
          <w:i/>
          <w:iCs/>
          <w:color w:val="000000"/>
          <w:sz w:val="22"/>
          <w:szCs w:val="22"/>
        </w:rPr>
        <w:t xml:space="preserve">B. minax.</w:t>
      </w:r>
      <w:r>
        <w:rPr>
          <w:rFonts w:ascii="Calibri" w:hAnsi="Calibri" w:eastAsia="Calibri" w:cs="Calibri"/>
          <w:color w:val="000000"/>
          <w:sz w:val="22"/>
          <w:szCs w:val="22"/>
        </w:rPr>
        <w:t xml:space="preserve"> Detection is also possible by examination of fruit for oviposition punctures and then rearing the larvae through to the adult stage.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Transport of infested fruits is the main mean of movement and dispersal to previously uninfested areas. Adult flight can also result in dispersal but previous citations of long (50-100 km) dispersal movements for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spp. are unsubstantiated according to a recent review by Hicks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Dispersal up to 2 km is considered more typical.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minax</w:t>
      </w:r>
      <w:r>
        <w:rPr>
          <w:rFonts w:ascii="Calibri" w:hAnsi="Calibri" w:eastAsia="Calibri" w:cs="Calibri"/>
          <w:color w:val="000000"/>
          <w:sz w:val="22"/>
          <w:szCs w:val="22"/>
        </w:rPr>
        <w:t xml:space="preserve"> is stenophagous, only attacking citrus fruits. It is a serious pest of citrus in parts of China (Zhang, 1989) but the severity and economic impact can differ among the different regions (Xia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for this species includes the general control measures for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an overview of management options). Specific Integrated Pest Management (IPM) and other management options applied in Bhutan and China are reviewed respectively in Dorji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and Xia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These include sanitation (to gather all fallen and infested host fruits, and destroy them), and raking or shallow plowing of the soil during winter (to expose the pupae). Insecticidal protection is possible by using a cover spray or a bait spray. Bait sprays work on the principle that both male and female tephritids are strongly attracted to a protein source from which ammonia emanates. Bait sprays have the advantage over cover sprays in that they can be applied as a spot treatment so that the flies are attracted to the insecticide and there is minimal impact on natural enemies and beneficials. Xia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give a review of comparative testing of different food-based lures against </w:t>
      </w:r>
      <w:r>
        <w:rPr>
          <w:rFonts w:ascii="Calibri" w:hAnsi="Calibri" w:eastAsia="Calibri" w:cs="Calibri"/>
          <w:i/>
          <w:iCs/>
          <w:color w:val="000000"/>
          <w:sz w:val="22"/>
          <w:szCs w:val="22"/>
        </w:rPr>
        <w:t xml:space="preserve">B. minax</w:t>
      </w:r>
      <w:r>
        <w:rPr>
          <w:rFonts w:ascii="Calibri" w:hAnsi="Calibri" w:eastAsia="Calibri" w:cs="Calibri"/>
          <w:color w:val="000000"/>
          <w:sz w:val="22"/>
          <w:szCs w:val="22"/>
        </w:rPr>
        <w:t xml:space="preserve">. Area-wide control, using protein bait spraying, was recently conducted in Nepal (Adhikari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Wang &amp; Luo (1995) report the use of Sterile Insect Technique (SIT ) on orange crops in Guizhou Province, China in 1993 and 1994 resulting in a reduction from over 5% infestation to about 0.1% by releasing 1 million sterile males (obtained from natural populations). For more details on this and other SIT applications in China, see Xia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main current drawback for mass rearing of </w:t>
      </w:r>
      <w:r>
        <w:rPr>
          <w:rFonts w:ascii="Calibri" w:hAnsi="Calibri" w:eastAsia="Calibri" w:cs="Calibri"/>
          <w:i/>
          <w:iCs/>
          <w:color w:val="000000"/>
          <w:sz w:val="22"/>
          <w:szCs w:val="22"/>
        </w:rPr>
        <w:t xml:space="preserve">B. minax</w:t>
      </w:r>
      <w:r>
        <w:rPr>
          <w:rFonts w:ascii="Calibri" w:hAnsi="Calibri" w:eastAsia="Calibri" w:cs="Calibri"/>
          <w:color w:val="000000"/>
          <w:sz w:val="22"/>
          <w:szCs w:val="22"/>
        </w:rPr>
        <w:t xml:space="preserve"> for SIT is the obligatory diapause.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are important crops in the EPPO region. </w:t>
      </w:r>
      <w:r>
        <w:rPr>
          <w:rFonts w:ascii="Calibri" w:hAnsi="Calibri" w:eastAsia="Calibri" w:cs="Calibri"/>
          <w:i/>
          <w:iCs/>
          <w:color w:val="000000"/>
          <w:sz w:val="22"/>
          <w:szCs w:val="22"/>
        </w:rPr>
        <w:t xml:space="preserve">B. minax </w:t>
      </w:r>
      <w:r>
        <w:rPr>
          <w:rFonts w:ascii="Calibri" w:hAnsi="Calibri" w:eastAsia="Calibri" w:cs="Calibri"/>
          <w:color w:val="000000"/>
          <w:sz w:val="22"/>
          <w:szCs w:val="22"/>
        </w:rPr>
        <w:t xml:space="preserve">is a known pest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in the area where it is present. It can be moved in trade with infested fruit. Although no detailed study was made on climatic suitability of the EPPO region for this species, </w:t>
      </w:r>
      <w:r>
        <w:rPr>
          <w:rFonts w:ascii="Calibri" w:hAnsi="Calibri" w:eastAsia="Calibri" w:cs="Calibri"/>
          <w:i/>
          <w:iCs/>
          <w:color w:val="000000"/>
          <w:sz w:val="22"/>
          <w:szCs w:val="22"/>
        </w:rPr>
        <w:t xml:space="preserve">B. minax</w:t>
      </w:r>
      <w:r>
        <w:rPr>
          <w:rFonts w:ascii="Calibri" w:hAnsi="Calibri" w:eastAsia="Calibri" w:cs="Calibri"/>
          <w:color w:val="000000"/>
          <w:sz w:val="22"/>
          <w:szCs w:val="22"/>
        </w:rPr>
        <w:t xml:space="preserve"> is known to occur in temperate areas. Transient populations could also have negative impacts on export of host fruit from the EPPO region. The EFSA Panel on Plant Health, in their Pest Categorization of non-EU Tephritidae (Bragard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placed </w:t>
      </w:r>
      <w:r>
        <w:rPr>
          <w:rFonts w:ascii="Calibri" w:hAnsi="Calibri" w:eastAsia="Calibri" w:cs="Calibri"/>
          <w:i/>
          <w:iCs/>
          <w:color w:val="000000"/>
          <w:sz w:val="22"/>
          <w:szCs w:val="22"/>
        </w:rPr>
        <w:t xml:space="preserve">B. minax</w:t>
      </w:r>
      <w:r>
        <w:rPr>
          <w:rFonts w:ascii="Calibri" w:hAnsi="Calibri" w:eastAsia="Calibri" w:cs="Calibri"/>
          <w:color w:val="000000"/>
          <w:sz w:val="22"/>
          <w:szCs w:val="22"/>
        </w:rPr>
        <w:t xml:space="preserve"> on the list of fruit flies that satisfy the criteria to be regarded as a potential Union quarantine pest for the EU.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from countries where </w:t>
      </w:r>
      <w:r>
        <w:rPr>
          <w:rFonts w:ascii="Calibri" w:hAnsi="Calibri" w:eastAsia="Calibri" w:cs="Calibri"/>
          <w:i/>
          <w:iCs/>
          <w:color w:val="000000"/>
          <w:sz w:val="22"/>
          <w:szCs w:val="22"/>
        </w:rPr>
        <w:t xml:space="preserve">B. minax</w:t>
      </w:r>
      <w:r>
        <w:rPr>
          <w:rFonts w:ascii="Calibri" w:hAnsi="Calibri" w:eastAsia="Calibri" w:cs="Calibri"/>
          <w:color w:val="000000"/>
          <w:sz w:val="22"/>
          <w:szCs w:val="22"/>
        </w:rPr>
        <w:t xml:space="preserve"> occurs should be inspected for symptoms of infestation and those suspected should be cut open in order to look for larvae. Possible measures include that such fruits should come from an area where </w:t>
      </w:r>
      <w:r>
        <w:rPr>
          <w:rFonts w:ascii="Calibri" w:hAnsi="Calibri" w:eastAsia="Calibri" w:cs="Calibri"/>
          <w:i/>
          <w:iCs/>
          <w:color w:val="000000"/>
          <w:sz w:val="22"/>
          <w:szCs w:val="22"/>
        </w:rPr>
        <w:t xml:space="preserve">B. minax</w:t>
      </w:r>
      <w:r>
        <w:rPr>
          <w:rFonts w:ascii="Calibri" w:hAnsi="Calibri" w:eastAsia="Calibri" w:cs="Calibri"/>
          <w:color w:val="000000"/>
          <w:sz w:val="22"/>
          <w:szCs w:val="22"/>
        </w:rPr>
        <w:t xml:space="preserve"> does not occur, or from a place of production found free from the pest by regular inspections in the 3 months before harvest. </w:t>
      </w:r>
    </w:p>
    <w:p>
      <w:pPr>
        <w:widowControl w:val="on"/>
        <w:pBdr/>
        <w:spacing w:before="220" w:after="220" w:line="240" w:lineRule="auto"/>
        <w:ind w:left="0" w:right="0"/>
        <w:jc w:val="both"/>
      </w:pPr>
      <w:r>
        <w:rPr>
          <w:rFonts w:ascii="Calibri" w:hAnsi="Calibri" w:eastAsia="Calibri" w:cs="Calibri"/>
          <w:color w:val="000000"/>
          <w:sz w:val="22"/>
          <w:szCs w:val="22"/>
        </w:rPr>
        <w:t xml:space="preserve">In China both irradiation and cold treatment have been explored as phytosanitary measures. Irradiation required 50-90 Gy to reach zero adult emergence (Gao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No specific treatment schedules for cold treatment have been developed but given the cold tolerance of </w:t>
      </w:r>
      <w:r>
        <w:rPr>
          <w:rFonts w:ascii="Calibri" w:hAnsi="Calibri" w:eastAsia="Calibri" w:cs="Calibri"/>
          <w:i/>
          <w:iCs/>
          <w:color w:val="000000"/>
          <w:sz w:val="22"/>
          <w:szCs w:val="22"/>
        </w:rPr>
        <w:t xml:space="preserve">B. minax </w:t>
      </w:r>
      <w:r>
        <w:rPr>
          <w:rFonts w:ascii="Calibri" w:hAnsi="Calibri" w:eastAsia="Calibri" w:cs="Calibri"/>
          <w:color w:val="000000"/>
          <w:sz w:val="22"/>
          <w:szCs w:val="22"/>
        </w:rPr>
        <w:t xml:space="preserve">it is uncertain if schedules for other fruit flies (such as </w:t>
      </w:r>
      <w:r>
        <w:rPr>
          <w:rFonts w:ascii="Calibri" w:hAnsi="Calibri" w:eastAsia="Calibri" w:cs="Calibri"/>
          <w:i/>
          <w:iCs/>
          <w:color w:val="000000"/>
          <w:sz w:val="22"/>
          <w:szCs w:val="22"/>
        </w:rPr>
        <w:t xml:space="preserve">Ceratitis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capitata</w:t>
      </w:r>
      <w:r>
        <w:rPr>
          <w:rFonts w:ascii="Calibri" w:hAnsi="Calibri" w:eastAsia="Calibri" w:cs="Calibri"/>
          <w:color w:val="000000"/>
          <w:sz w:val="22"/>
          <w:szCs w:val="22"/>
        </w:rPr>
        <w:t xml:space="preserve">) will be adequate.</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of citrus transported with roots from countries where </w:t>
      </w:r>
      <w:r>
        <w:rPr>
          <w:rFonts w:ascii="Calibri" w:hAnsi="Calibri" w:eastAsia="Calibri" w:cs="Calibri"/>
          <w:i/>
          <w:iCs/>
          <w:color w:val="000000"/>
          <w:sz w:val="22"/>
          <w:szCs w:val="22"/>
        </w:rPr>
        <w:t xml:space="preserve">B. minax</w:t>
      </w:r>
      <w:r>
        <w:rPr>
          <w:rFonts w:ascii="Calibri" w:hAnsi="Calibri" w:eastAsia="Calibri" w:cs="Calibri"/>
          <w:color w:val="000000"/>
          <w:sz w:val="22"/>
          <w:szCs w:val="22"/>
        </w:rPr>
        <w:t xml:space="preserve"> occurs should be free from soil, or the soil should be treated against puparia. The plants should not be bearing fruits. Citrus plants are in any case prohibited from importation in many countries because of other quarantine pests.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Adhikari D, Thapa RB, Joshi SL, Lian H &amp; Du JJ (2020) Area-wide control program of Chines citrus fly </w:t>
      </w:r>
      <w:r>
        <w:rPr>
          <w:rFonts w:ascii="Calibri" w:hAnsi="Calibri" w:eastAsia="Calibri" w:cs="Calibri"/>
          <w:i/>
          <w:iCs/>
          <w:color w:val="000000"/>
          <w:sz w:val="22"/>
          <w:szCs w:val="22"/>
        </w:rPr>
        <w:t xml:space="preserve">Bactrocera minax</w:t>
      </w:r>
      <w:r>
        <w:rPr>
          <w:rFonts w:ascii="Calibri" w:hAnsi="Calibri" w:eastAsia="Calibri" w:cs="Calibri"/>
          <w:color w:val="000000"/>
          <w:sz w:val="22"/>
          <w:szCs w:val="22"/>
        </w:rPr>
        <w:t xml:space="preserve"> (Enderlein) in Sindhuli, Nepal. </w:t>
      </w:r>
      <w:r>
        <w:rPr>
          <w:rFonts w:ascii="Calibri" w:hAnsi="Calibri" w:eastAsia="Calibri" w:cs="Calibri"/>
          <w:i/>
          <w:iCs/>
          <w:color w:val="000000"/>
          <w:sz w:val="22"/>
          <w:szCs w:val="22"/>
        </w:rPr>
        <w:t xml:space="preserve">American Journal of Agricultural and Biological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1-7.</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Magnusson CS, Milonas P, Navas-Cortes JA, Parnell S, Potting R, Reignault PL, Thulke HH, Van der Werf W, Vicent Civera A, Yuen J, Zappalà L, Bali EM, Papadopoulos N, Papanastassiou S, Czwienczek E &amp; MacLeod A (2020) Pest categorization of non-EU Tephritidae. EFSA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5931, 62pp. </w:t>
      </w:r>
      <w:hyperlink r:id="rId43376697c49c167d1" w:history="1">
        <w:r>
          <w:rPr>
            <w:rFonts w:ascii="Calibri" w:hAnsi="Calibri" w:eastAsia="Calibri" w:cs="Calibri"/>
            <w:color w:val="0000CC"/>
            <w:sz w:val="22"/>
            <w:szCs w:val="22"/>
            <w:u w:val="single"/>
          </w:rPr>
          <w:t xml:space="preserve">https://doi.org/10.2903/j.efsa.2020.5931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Chang CL, Liquido NJ, Nakamichi KAA &amp; Ching AJ (2018) Host Plant Records of the Chinese Citrus Fruit Fly (柑橘大实蝇), </w:t>
      </w:r>
      <w:r>
        <w:rPr>
          <w:rFonts w:ascii="Calibri" w:hAnsi="Calibri" w:eastAsia="Calibri" w:cs="Calibri"/>
          <w:i/>
          <w:iCs/>
          <w:color w:val="000000"/>
          <w:sz w:val="22"/>
          <w:szCs w:val="22"/>
        </w:rPr>
        <w:t xml:space="preserve">Bactrocera minax</w:t>
      </w:r>
      <w:r>
        <w:rPr>
          <w:rFonts w:ascii="Calibri" w:hAnsi="Calibri" w:eastAsia="Calibri" w:cs="Calibri"/>
          <w:color w:val="000000"/>
          <w:sz w:val="22"/>
          <w:szCs w:val="22"/>
        </w:rPr>
        <w:t xml:space="preserve"> (Enderlein) (Diptera: Tephritidae). Version 1.0 February 06, 2018. United States Department of Agriculture, 22pp. Available online at </w:t>
      </w:r>
      <w:hyperlink r:id="rId57326697c49c16829" w:history="1">
        <w:r>
          <w:rPr>
            <w:rFonts w:ascii="Calibri" w:hAnsi="Calibri" w:eastAsia="Calibri" w:cs="Calibri"/>
            <w:color w:val="0000CC"/>
            <w:sz w:val="22"/>
            <w:szCs w:val="22"/>
            <w:u w:val="single"/>
          </w:rPr>
          <w:t xml:space="preserve">https://coffhi.cphst.org/</w:t>
        </w:r>
      </w:hyperlink>
      <w:r>
        <w:rPr>
          <w:rFonts w:ascii="Calibri" w:hAnsi="Calibri" w:eastAsia="Calibri" w:cs="Calibri"/>
          <w:color w:val="000000"/>
          <w:sz w:val="22"/>
          <w:szCs w:val="22"/>
        </w:rPr>
        <w:t xml:space="preserve"> (accessed  12/04/2020)</w:t>
      </w:r>
    </w:p>
    <w:p>
      <w:pPr>
        <w:widowControl w:val="on"/>
        <w:pBdr/>
        <w:spacing w:before="220" w:after="220" w:line="240" w:lineRule="auto"/>
        <w:ind w:left="0" w:right="0"/>
        <w:jc w:val="left"/>
      </w:pPr>
      <w:r>
        <w:rPr>
          <w:rFonts w:ascii="Calibri" w:hAnsi="Calibri" w:eastAsia="Calibri" w:cs="Calibri"/>
          <w:color w:val="000000"/>
          <w:sz w:val="22"/>
          <w:szCs w:val="22"/>
        </w:rPr>
        <w:t xml:space="preserve">Chen ZZ, Deng AS, Zhu Q Chen WB, Xu XM, Zheng B &amp; Niu CY (2017) Assessing attracting and killing effects of the spherical traps against Chinese citrus fly, </w:t>
      </w:r>
      <w:r>
        <w:rPr>
          <w:rFonts w:ascii="Calibri" w:hAnsi="Calibri" w:eastAsia="Calibri" w:cs="Calibri"/>
          <w:i/>
          <w:iCs/>
          <w:color w:val="000000"/>
          <w:sz w:val="22"/>
          <w:szCs w:val="22"/>
        </w:rPr>
        <w:t xml:space="preserve">Bactrocera minax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Huazhong Agricultural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33-37.</w:t>
      </w:r>
    </w:p>
    <w:p>
      <w:pPr>
        <w:widowControl w:val="on"/>
        <w:pBdr/>
        <w:spacing w:before="220" w:after="220" w:line="240" w:lineRule="auto"/>
        <w:ind w:left="0" w:right="0"/>
        <w:jc w:val="left"/>
      </w:pPr>
      <w:r>
        <w:rPr>
          <w:rFonts w:ascii="Calibri" w:hAnsi="Calibri" w:eastAsia="Calibri" w:cs="Calibri"/>
          <w:color w:val="000000"/>
          <w:sz w:val="22"/>
          <w:szCs w:val="22"/>
        </w:rPr>
        <w:t xml:space="preserve">Dong YC, Wang ZJ, Clarke AR, Pereira R, Desneux N &amp; Niu CY (2013) Pupal diapause development and termination is driven by low temperature chilling in </w:t>
      </w:r>
      <w:r>
        <w:rPr>
          <w:rFonts w:ascii="Calibri" w:hAnsi="Calibri" w:eastAsia="Calibri" w:cs="Calibri"/>
          <w:i/>
          <w:iCs/>
          <w:color w:val="000000"/>
          <w:sz w:val="22"/>
          <w:szCs w:val="22"/>
        </w:rPr>
        <w:t xml:space="preserve">Bactrocera minax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429-436.</w:t>
      </w:r>
    </w:p>
    <w:p>
      <w:pPr>
        <w:widowControl w:val="on"/>
        <w:pBdr/>
        <w:spacing w:before="220" w:after="220" w:line="240" w:lineRule="auto"/>
        <w:ind w:left="0" w:right="0"/>
        <w:jc w:val="left"/>
      </w:pPr>
      <w:r>
        <w:rPr>
          <w:rFonts w:ascii="Calibri" w:hAnsi="Calibri" w:eastAsia="Calibri" w:cs="Calibri"/>
          <w:color w:val="000000"/>
          <w:sz w:val="22"/>
          <w:szCs w:val="22"/>
        </w:rPr>
        <w:t xml:space="preserve">Dorji C, Clarke AR, Drew RAI, Fletcher BS, Loday P, Mahat K, Raghu S &amp; Romig MC (2006) Seasonal phenology of </w:t>
      </w:r>
      <w:r>
        <w:rPr>
          <w:rFonts w:ascii="Calibri" w:hAnsi="Calibri" w:eastAsia="Calibri" w:cs="Calibri"/>
          <w:i/>
          <w:iCs/>
          <w:color w:val="000000"/>
          <w:sz w:val="22"/>
          <w:szCs w:val="22"/>
        </w:rPr>
        <w:t xml:space="preserve">Bactrocera minax</w:t>
      </w:r>
      <w:r>
        <w:rPr>
          <w:rFonts w:ascii="Calibri" w:hAnsi="Calibri" w:eastAsia="Calibri" w:cs="Calibri"/>
          <w:color w:val="000000"/>
          <w:sz w:val="22"/>
          <w:szCs w:val="22"/>
        </w:rPr>
        <w:t xml:space="preserve"> (Diptera: Tephritidae) in western Bhutan.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531-538.</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Romig MC (2013) </w:t>
      </w:r>
      <w:r>
        <w:rPr>
          <w:rFonts w:ascii="Calibri" w:hAnsi="Calibri" w:eastAsia="Calibri" w:cs="Calibri"/>
          <w:i/>
          <w:iCs/>
          <w:color w:val="000000"/>
          <w:sz w:val="22"/>
          <w:szCs w:val="22"/>
        </w:rPr>
        <w:t xml:space="preserve">Tropical Fruit Flies (Tephritidae: Dacinae) of South-East Asia</w:t>
      </w:r>
      <w:r>
        <w:rPr>
          <w:rFonts w:ascii="Calibri" w:hAnsi="Calibri" w:eastAsia="Calibri" w:cs="Calibri"/>
          <w:color w:val="000000"/>
          <w:sz w:val="22"/>
          <w:szCs w:val="22"/>
        </w:rPr>
        <w:t xml:space="preserve">.CAB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Romig MC &amp; Dorji C (2007) Records of dacine fruit flies and new species of </w:t>
      </w:r>
      <w:r>
        <w:rPr>
          <w:rFonts w:ascii="Calibri" w:hAnsi="Calibri" w:eastAsia="Calibri" w:cs="Calibri"/>
          <w:i/>
          <w:iCs/>
          <w:color w:val="000000"/>
          <w:sz w:val="22"/>
          <w:szCs w:val="22"/>
        </w:rPr>
        <w:t xml:space="preserve">Dacus</w:t>
      </w:r>
      <w:r>
        <w:rPr>
          <w:rFonts w:ascii="Calibri" w:hAnsi="Calibri" w:eastAsia="Calibri" w:cs="Calibri"/>
          <w:color w:val="000000"/>
          <w:sz w:val="22"/>
          <w:szCs w:val="22"/>
        </w:rPr>
        <w:t xml:space="preserve"> (Diptera: Tephritidae) in Bhutan. </w:t>
      </w:r>
      <w:r>
        <w:rPr>
          <w:rFonts w:ascii="Calibri" w:hAnsi="Calibri" w:eastAsia="Calibri" w:cs="Calibri"/>
          <w:i/>
          <w:iCs/>
          <w:color w:val="000000"/>
          <w:sz w:val="22"/>
          <w:szCs w:val="22"/>
        </w:rPr>
        <w:t xml:space="preserve">The Raffles Bulletin of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1-21.</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Bactrocera tsuneonis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Fan JA, Zhao XQ &amp; Zhu J (1994) [A study on cold-tolerance and diapause in </w:t>
      </w:r>
      <w:r>
        <w:rPr>
          <w:rFonts w:ascii="Calibri" w:hAnsi="Calibri" w:eastAsia="Calibri" w:cs="Calibri"/>
          <w:i/>
          <w:iCs/>
          <w:color w:val="000000"/>
          <w:sz w:val="22"/>
          <w:szCs w:val="22"/>
        </w:rPr>
        <w:t xml:space="preserve">Tetradacus citri </w:t>
      </w:r>
      <w:r>
        <w:rPr>
          <w:rFonts w:ascii="Calibri" w:hAnsi="Calibri" w:eastAsia="Calibri" w:cs="Calibri"/>
          <w:color w:val="000000"/>
          <w:sz w:val="22"/>
          <w:szCs w:val="22"/>
        </w:rPr>
        <w:t xml:space="preserve">Chen]. </w:t>
      </w:r>
      <w:r>
        <w:rPr>
          <w:rFonts w:ascii="Calibri" w:hAnsi="Calibri" w:eastAsia="Calibri" w:cs="Calibri"/>
          <w:i/>
          <w:iCs/>
          <w:color w:val="000000"/>
          <w:sz w:val="22"/>
          <w:szCs w:val="22"/>
        </w:rPr>
        <w:t xml:space="preserve">Journal of Southwest Agricultural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532-534.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Gao MX, Wang C, Li SR &amp; Tang ZX (1999) [The study of irradiation on pest in orange and chestnut.] </w:t>
      </w:r>
      <w:r>
        <w:rPr>
          <w:rFonts w:ascii="Calibri" w:hAnsi="Calibri" w:eastAsia="Calibri" w:cs="Calibri"/>
          <w:i/>
          <w:iCs/>
          <w:color w:val="000000"/>
          <w:sz w:val="22"/>
          <w:szCs w:val="22"/>
        </w:rPr>
        <w:t xml:space="preserve">Plant Quarantine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197-1999.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Hancock DL &amp; Drew RAI (2018) A review of the subgenera </w:t>
      </w:r>
      <w:r>
        <w:rPr>
          <w:rFonts w:ascii="Calibri" w:hAnsi="Calibri" w:eastAsia="Calibri" w:cs="Calibri"/>
          <w:i/>
          <w:iCs/>
          <w:color w:val="000000"/>
          <w:sz w:val="22"/>
          <w:szCs w:val="22"/>
        </w:rPr>
        <w:t xml:space="preserve">Apodacus</w:t>
      </w:r>
      <w:r>
        <w:rPr>
          <w:rFonts w:ascii="Calibri" w:hAnsi="Calibri" w:eastAsia="Calibri" w:cs="Calibri"/>
          <w:color w:val="000000"/>
          <w:sz w:val="22"/>
          <w:szCs w:val="22"/>
        </w:rPr>
        <w:t xml:space="preserve"> Perkins, </w:t>
      </w:r>
      <w:r>
        <w:rPr>
          <w:rFonts w:ascii="Calibri" w:hAnsi="Calibri" w:eastAsia="Calibri" w:cs="Calibri"/>
          <w:i/>
          <w:iCs/>
          <w:color w:val="000000"/>
          <w:sz w:val="22"/>
          <w:szCs w:val="22"/>
        </w:rPr>
        <w:t xml:space="preserve">Hemizeugodacus</w:t>
      </w:r>
      <w:r>
        <w:rPr>
          <w:rFonts w:ascii="Calibri" w:hAnsi="Calibri" w:eastAsia="Calibri" w:cs="Calibri"/>
          <w:color w:val="000000"/>
          <w:sz w:val="22"/>
          <w:szCs w:val="22"/>
        </w:rPr>
        <w:t xml:space="preserve"> Hardy, </w:t>
      </w:r>
      <w:r>
        <w:rPr>
          <w:rFonts w:ascii="Calibri" w:hAnsi="Calibri" w:eastAsia="Calibri" w:cs="Calibri"/>
          <w:i/>
          <w:iCs/>
          <w:color w:val="000000"/>
          <w:sz w:val="22"/>
          <w:szCs w:val="22"/>
        </w:rPr>
        <w:t xml:space="preserve">Neozeugodacus</w:t>
      </w:r>
      <w:r>
        <w:rPr>
          <w:rFonts w:ascii="Calibri" w:hAnsi="Calibri" w:eastAsia="Calibri" w:cs="Calibri"/>
          <w:color w:val="000000"/>
          <w:sz w:val="22"/>
          <w:szCs w:val="22"/>
        </w:rPr>
        <w:t xml:space="preserve"> May, stat. rev., </w:t>
      </w:r>
      <w:r>
        <w:rPr>
          <w:rFonts w:ascii="Calibri" w:hAnsi="Calibri" w:eastAsia="Calibri" w:cs="Calibri"/>
          <w:i/>
          <w:iCs/>
          <w:color w:val="000000"/>
          <w:sz w:val="22"/>
          <w:szCs w:val="22"/>
        </w:rPr>
        <w:t xml:space="preserve">Semicallantra</w:t>
      </w:r>
      <w:r>
        <w:rPr>
          <w:rFonts w:ascii="Calibri" w:hAnsi="Calibri" w:eastAsia="Calibri" w:cs="Calibri"/>
          <w:color w:val="000000"/>
          <w:sz w:val="22"/>
          <w:szCs w:val="22"/>
        </w:rPr>
        <w:t xml:space="preserve"> Drew and </w:t>
      </w:r>
      <w:r>
        <w:rPr>
          <w:rFonts w:ascii="Calibri" w:hAnsi="Calibri" w:eastAsia="Calibri" w:cs="Calibri"/>
          <w:i/>
          <w:iCs/>
          <w:color w:val="000000"/>
          <w:sz w:val="22"/>
          <w:szCs w:val="22"/>
        </w:rPr>
        <w:t xml:space="preserve">Tetradacus</w:t>
      </w:r>
      <w:r>
        <w:rPr>
          <w:rFonts w:ascii="Calibri" w:hAnsi="Calibri" w:eastAsia="Calibri" w:cs="Calibri"/>
          <w:color w:val="000000"/>
          <w:sz w:val="22"/>
          <w:szCs w:val="22"/>
        </w:rPr>
        <w:t xml:space="preserve"> Miyake of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Macquart (Diptera: Tephritidae: Dacinae). </w:t>
      </w:r>
      <w:r>
        <w:rPr>
          <w:rFonts w:ascii="Calibri" w:hAnsi="Calibri" w:eastAsia="Calibri" w:cs="Calibri"/>
          <w:i/>
          <w:iCs/>
          <w:color w:val="000000"/>
          <w:sz w:val="22"/>
          <w:szCs w:val="22"/>
        </w:rPr>
        <w:t xml:space="preserve">Australian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105-132.</w:t>
      </w:r>
    </w:p>
    <w:p>
      <w:pPr>
        <w:widowControl w:val="on"/>
        <w:pBdr/>
        <w:spacing w:before="220" w:after="220" w:line="240" w:lineRule="auto"/>
        <w:ind w:left="0" w:right="0"/>
        <w:jc w:val="left"/>
      </w:pPr>
      <w:r>
        <w:rPr>
          <w:rFonts w:ascii="Calibri" w:hAnsi="Calibri" w:eastAsia="Calibri" w:cs="Calibri"/>
          <w:color w:val="000000"/>
          <w:sz w:val="22"/>
          <w:szCs w:val="22"/>
        </w:rPr>
        <w:t xml:space="preserve">Hancock DL &amp; Drew RAI (2019) Further notes on subgenus </w:t>
      </w:r>
      <w:r>
        <w:rPr>
          <w:rFonts w:ascii="Calibri" w:hAnsi="Calibri" w:eastAsia="Calibri" w:cs="Calibri"/>
          <w:i/>
          <w:iCs/>
          <w:color w:val="000000"/>
          <w:sz w:val="22"/>
          <w:szCs w:val="22"/>
        </w:rPr>
        <w:t xml:space="preserve">Tetradacus</w:t>
      </w:r>
      <w:r>
        <w:rPr>
          <w:rFonts w:ascii="Calibri" w:hAnsi="Calibri" w:eastAsia="Calibri" w:cs="Calibri"/>
          <w:color w:val="000000"/>
          <w:sz w:val="22"/>
          <w:szCs w:val="22"/>
        </w:rPr>
        <w:t xml:space="preserve"> Miyake of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Macquart (Diptera: Tephritidae: Dacinae), with a revised key to species. </w:t>
      </w:r>
      <w:r>
        <w:rPr>
          <w:rFonts w:ascii="Calibri" w:hAnsi="Calibri" w:eastAsia="Calibri" w:cs="Calibri"/>
          <w:i/>
          <w:iCs/>
          <w:color w:val="000000"/>
          <w:sz w:val="22"/>
          <w:szCs w:val="22"/>
        </w:rPr>
        <w:t xml:space="preserve">Australian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43-46.</w:t>
      </w:r>
    </w:p>
    <w:p>
      <w:pPr>
        <w:widowControl w:val="on"/>
        <w:pBdr/>
        <w:spacing w:before="220" w:after="220" w:line="240" w:lineRule="auto"/>
        <w:ind w:left="0" w:right="0"/>
        <w:jc w:val="left"/>
      </w:pPr>
      <w:r>
        <w:rPr>
          <w:rFonts w:ascii="Calibri" w:hAnsi="Calibri" w:eastAsia="Calibri" w:cs="Calibri"/>
          <w:color w:val="000000"/>
          <w:sz w:val="22"/>
          <w:szCs w:val="22"/>
        </w:rPr>
        <w:t xml:space="preserve">Hicks CB, Bloem K, Pallipparambil GR &amp; Hartzog HM (2019) Reported long-distance flight of the invasive Oriental fruit fly and its trade implications. In </w:t>
      </w:r>
      <w:r>
        <w:rPr>
          <w:rFonts w:ascii="Calibri" w:hAnsi="Calibri" w:eastAsia="Calibri" w:cs="Calibri"/>
          <w:i/>
          <w:iCs/>
          <w:color w:val="000000"/>
          <w:sz w:val="22"/>
          <w:szCs w:val="22"/>
        </w:rPr>
        <w:t xml:space="preserve">Area-Wide Management of Fruit Flies</w:t>
      </w:r>
      <w:r>
        <w:rPr>
          <w:rFonts w:ascii="Calibri" w:hAnsi="Calibri" w:eastAsia="Calibri" w:cs="Calibri"/>
          <w:color w:val="000000"/>
          <w:sz w:val="22"/>
          <w:szCs w:val="22"/>
        </w:rPr>
        <w:t xml:space="preserve"> (eds Pérez-Staples D, Diaz-Fleischer F, Montoya P. &amp; Vera MT), pp. 9-26. CRC Press, Boca Raton (US) </w:t>
      </w:r>
    </w:p>
    <w:p>
      <w:pPr>
        <w:widowControl w:val="on"/>
        <w:pBdr/>
        <w:spacing w:before="220" w:after="220" w:line="240" w:lineRule="auto"/>
        <w:ind w:left="0" w:right="0"/>
        <w:jc w:val="left"/>
      </w:pPr>
      <w:r>
        <w:rPr>
          <w:rFonts w:ascii="Calibri" w:hAnsi="Calibri" w:eastAsia="Calibri" w:cs="Calibri"/>
          <w:color w:val="000000"/>
          <w:sz w:val="22"/>
          <w:szCs w:val="22"/>
        </w:rPr>
        <w:t xml:space="preserve">Royer JE (2015) Responses of fruit flies (Tephritidae: Dacinae) to novel male attractants in north Queensland, Australia, and improved lures for some pest species. </w:t>
      </w:r>
      <w:r>
        <w:rPr>
          <w:rFonts w:ascii="Calibri" w:hAnsi="Calibri" w:eastAsia="Calibri" w:cs="Calibri"/>
          <w:i/>
          <w:iCs/>
          <w:color w:val="000000"/>
          <w:sz w:val="22"/>
          <w:szCs w:val="22"/>
        </w:rPr>
        <w:t xml:space="preserve">Austral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411-426.</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Pinero JC &amp; Leblanc L (2015) An overview of pest species of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fruit flies (Diptera: Tephritidae) and the integration of biopesticides with other biological approaches for their management with a focus on the Pacific region.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297-318.</w:t>
      </w:r>
    </w:p>
    <w:p>
      <w:pPr>
        <w:widowControl w:val="on"/>
        <w:pBdr/>
        <w:spacing w:before="220" w:after="220" w:line="240" w:lineRule="auto"/>
        <w:ind w:left="0" w:right="0"/>
        <w:jc w:val="left"/>
      </w:pPr>
      <w:r>
        <w:rPr>
          <w:rFonts w:ascii="Calibri" w:hAnsi="Calibri" w:eastAsia="Calibri" w:cs="Calibri"/>
          <w:color w:val="000000"/>
          <w:sz w:val="22"/>
          <w:szCs w:val="22"/>
        </w:rPr>
        <w:t xml:space="preserve">Wang XJ &amp; Luo YL (1995) [Advanced study on Bactrocera minax.] </w:t>
      </w:r>
      <w:r>
        <w:rPr>
          <w:rFonts w:ascii="Calibri" w:hAnsi="Calibri" w:eastAsia="Calibri" w:cs="Calibri"/>
          <w:i/>
          <w:iCs/>
          <w:color w:val="000000"/>
          <w:sz w:val="22"/>
          <w:szCs w:val="22"/>
        </w:rPr>
        <w:t xml:space="preserve">Chinese Bulletin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310-315.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Wang XJ (1992) Taxonomic notes on some dacine (Diptera: Tephritidae) fruit flies associated with citrus, olives and cucurbits.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275-280.</w:t>
      </w:r>
    </w:p>
    <w:p>
      <w:pPr>
        <w:widowControl w:val="on"/>
        <w:pBdr/>
        <w:spacing w:before="220" w:after="220" w:line="240" w:lineRule="auto"/>
        <w:ind w:left="0" w:right="0"/>
        <w:jc w:val="left"/>
      </w:pPr>
      <w:r>
        <w:rPr>
          <w:rFonts w:ascii="Calibri" w:hAnsi="Calibri" w:eastAsia="Calibri" w:cs="Calibri"/>
          <w:color w:val="000000"/>
          <w:sz w:val="22"/>
          <w:szCs w:val="22"/>
        </w:rPr>
        <w:t xml:space="preserve">Xia Y, Ma X, Hou B &amp; Ouyang G (2018) A review of </w:t>
      </w:r>
      <w:r>
        <w:rPr>
          <w:rFonts w:ascii="Calibri" w:hAnsi="Calibri" w:eastAsia="Calibri" w:cs="Calibri"/>
          <w:i/>
          <w:iCs/>
          <w:color w:val="000000"/>
          <w:sz w:val="22"/>
          <w:szCs w:val="22"/>
        </w:rPr>
        <w:t xml:space="preserve">Bactrocera minax</w:t>
      </w:r>
      <w:r>
        <w:rPr>
          <w:rFonts w:ascii="Calibri" w:hAnsi="Calibri" w:eastAsia="Calibri" w:cs="Calibri"/>
          <w:color w:val="000000"/>
          <w:sz w:val="22"/>
          <w:szCs w:val="22"/>
        </w:rPr>
        <w:t xml:space="preserve"> (Diptera: Tephritidae) in China for purpose of safeguarding. </w:t>
      </w:r>
      <w:r>
        <w:rPr>
          <w:rFonts w:ascii="Calibri" w:hAnsi="Calibri" w:eastAsia="Calibri" w:cs="Calibri"/>
          <w:i/>
          <w:iCs/>
          <w:color w:val="000000"/>
          <w:sz w:val="22"/>
          <w:szCs w:val="22"/>
        </w:rPr>
        <w:t xml:space="preserve">Advances in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35-61.</w:t>
      </w:r>
    </w:p>
    <w:p>
      <w:pPr>
        <w:widowControl w:val="on"/>
        <w:pBdr/>
        <w:spacing w:before="220" w:after="220" w:line="240" w:lineRule="auto"/>
        <w:ind w:left="0" w:right="0"/>
        <w:jc w:val="left"/>
      </w:pPr>
      <w:r>
        <w:rPr>
          <w:rFonts w:ascii="Calibri" w:hAnsi="Calibri" w:eastAsia="Calibri" w:cs="Calibri"/>
          <w:color w:val="000000"/>
          <w:sz w:val="22"/>
          <w:szCs w:val="22"/>
        </w:rPr>
        <w:t xml:space="preserve">Zhang Y (1989) Citrus fruit flies of Sichuan Province (China).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649-654.</w:t>
      </w:r>
    </w:p>
    <w:p>
      <w:pPr>
        <w:widowControl w:val="on"/>
        <w:pBdr/>
        <w:spacing w:before="220" w:after="220" w:line="240" w:lineRule="auto"/>
        <w:ind w:left="0" w:right="0"/>
        <w:jc w:val="left"/>
      </w:pPr>
      <w:r>
        <w:rPr>
          <w:rFonts w:ascii="Calibri" w:hAnsi="Calibri" w:eastAsia="Calibri" w:cs="Calibri"/>
          <w:color w:val="000000"/>
          <w:sz w:val="22"/>
          <w:szCs w:val="22"/>
        </w:rPr>
        <w:t xml:space="preserve">Zhao XQ, Fan JA, Xie CL, Qin Z, Li G, Zhu J, Zeng DB &amp; Kong FC (1995) [Gamma irradiation as a quarantine treatment against </w:t>
      </w:r>
      <w:r>
        <w:rPr>
          <w:rFonts w:ascii="Calibri" w:hAnsi="Calibri" w:eastAsia="Calibri" w:cs="Calibri"/>
          <w:i/>
          <w:iCs/>
          <w:color w:val="000000"/>
          <w:sz w:val="22"/>
          <w:szCs w:val="22"/>
        </w:rPr>
        <w:t xml:space="preserve">Tetradacus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in pomelo and orange fruits.] </w:t>
      </w:r>
      <w:r>
        <w:rPr>
          <w:rFonts w:ascii="Calibri" w:hAnsi="Calibri" w:eastAsia="Calibri" w:cs="Calibri"/>
          <w:i/>
          <w:iCs/>
          <w:color w:val="000000"/>
          <w:sz w:val="22"/>
          <w:szCs w:val="22"/>
        </w:rPr>
        <w:t xml:space="preserve">Journal of Southwest Agricultural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126-129. (in Chinese)</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invasive species compendium: </w:t>
      </w:r>
      <w:hyperlink r:id="rId96056697c49c17161" w:history="1">
        <w:r>
          <w:rPr>
            <w:rFonts w:ascii="Calibri" w:hAnsi="Calibri" w:eastAsia="Calibri" w:cs="Calibri"/>
            <w:color w:val="0000CC"/>
            <w:sz w:val="22"/>
            <w:szCs w:val="22"/>
            <w:u w:val="single"/>
          </w:rPr>
          <w:t xml:space="preserve">https://www.cabi.org/isc/datasheet/8726</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Dr M. de Meyer.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Bactrocera minax</w:t>
      </w:r>
      <w:r>
        <w:rPr>
          <w:rFonts w:ascii="Calibri" w:hAnsi="Calibri" w:eastAsia="Calibri" w:cs="Calibri"/>
          <w:color w:val="000000"/>
          <w:sz w:val="22"/>
          <w:szCs w:val="22"/>
        </w:rPr>
        <w:t xml:space="preserve">. EPPO datasheets on pests recommended for regulation. Available online. </w:t>
      </w:r>
      <w:hyperlink r:id="rId25556697c49c1721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1992 in 'Quarantine Pests for Europe' as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(non-European), then as '</w:t>
      </w:r>
      <w:r>
        <w:rPr>
          <w:rFonts w:ascii="Calibri" w:hAnsi="Calibri" w:eastAsia="Calibri" w:cs="Calibri"/>
          <w:i/>
          <w:iCs/>
          <w:color w:val="000000"/>
          <w:sz w:val="22"/>
          <w:szCs w:val="22"/>
        </w:rPr>
        <w:t xml:space="preserve">Bactrocera minax</w:t>
      </w:r>
      <w:r>
        <w:rPr>
          <w:rFonts w:ascii="Calibri" w:hAnsi="Calibri" w:eastAsia="Calibri" w:cs="Calibri"/>
          <w:color w:val="000000"/>
          <w:sz w:val="22"/>
          <w:szCs w:val="22"/>
        </w:rPr>
        <w:t xml:space="preserve">' in the second edition of the book in 1997,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75286776" name="name37696697c49c1760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7716697c49c1760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478137">
    <w:multiLevelType w:val="hybridMultilevel"/>
    <w:lvl w:ilvl="0" w:tplc="23146124">
      <w:start w:val="1"/>
      <w:numFmt w:val="decimal"/>
      <w:lvlText w:val="%1."/>
      <w:lvlJc w:val="left"/>
      <w:pPr>
        <w:ind w:left="720" w:hanging="360"/>
      </w:pPr>
    </w:lvl>
    <w:lvl w:ilvl="1" w:tplc="23146124" w:tentative="1">
      <w:start w:val="1"/>
      <w:numFmt w:val="lowerLetter"/>
      <w:lvlText w:val="%2."/>
      <w:lvlJc w:val="left"/>
      <w:pPr>
        <w:ind w:left="1440" w:hanging="360"/>
      </w:pPr>
    </w:lvl>
    <w:lvl w:ilvl="2" w:tplc="23146124" w:tentative="1">
      <w:start w:val="1"/>
      <w:numFmt w:val="lowerRoman"/>
      <w:lvlText w:val="%3."/>
      <w:lvlJc w:val="right"/>
      <w:pPr>
        <w:ind w:left="2160" w:hanging="180"/>
      </w:pPr>
    </w:lvl>
    <w:lvl w:ilvl="3" w:tplc="23146124" w:tentative="1">
      <w:start w:val="1"/>
      <w:numFmt w:val="decimal"/>
      <w:lvlText w:val="%4."/>
      <w:lvlJc w:val="left"/>
      <w:pPr>
        <w:ind w:left="2880" w:hanging="360"/>
      </w:pPr>
    </w:lvl>
    <w:lvl w:ilvl="4" w:tplc="23146124" w:tentative="1">
      <w:start w:val="1"/>
      <w:numFmt w:val="lowerLetter"/>
      <w:lvlText w:val="%5."/>
      <w:lvlJc w:val="left"/>
      <w:pPr>
        <w:ind w:left="3600" w:hanging="360"/>
      </w:pPr>
    </w:lvl>
    <w:lvl w:ilvl="5" w:tplc="23146124" w:tentative="1">
      <w:start w:val="1"/>
      <w:numFmt w:val="lowerRoman"/>
      <w:lvlText w:val="%6."/>
      <w:lvlJc w:val="right"/>
      <w:pPr>
        <w:ind w:left="4320" w:hanging="180"/>
      </w:pPr>
    </w:lvl>
    <w:lvl w:ilvl="6" w:tplc="23146124" w:tentative="1">
      <w:start w:val="1"/>
      <w:numFmt w:val="decimal"/>
      <w:lvlText w:val="%7."/>
      <w:lvlJc w:val="left"/>
      <w:pPr>
        <w:ind w:left="5040" w:hanging="360"/>
      </w:pPr>
    </w:lvl>
    <w:lvl w:ilvl="7" w:tplc="23146124" w:tentative="1">
      <w:start w:val="1"/>
      <w:numFmt w:val="lowerLetter"/>
      <w:lvlText w:val="%8."/>
      <w:lvlJc w:val="left"/>
      <w:pPr>
        <w:ind w:left="5760" w:hanging="360"/>
      </w:pPr>
    </w:lvl>
    <w:lvl w:ilvl="8" w:tplc="23146124" w:tentative="1">
      <w:start w:val="1"/>
      <w:numFmt w:val="lowerRoman"/>
      <w:lvlText w:val="%9."/>
      <w:lvlJc w:val="right"/>
      <w:pPr>
        <w:ind w:left="6480" w:hanging="180"/>
      </w:pPr>
    </w:lvl>
  </w:abstractNum>
  <w:abstractNum w:abstractNumId="65478136">
    <w:multiLevelType w:val="hybridMultilevel"/>
    <w:lvl w:ilvl="0" w:tplc="129302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478136">
    <w:abstractNumId w:val="65478136"/>
  </w:num>
  <w:num w:numId="65478137">
    <w:abstractNumId w:val="6547813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27319134" Type="http://schemas.microsoft.com/office/2011/relationships/commentsExtended" Target="commentsExtended.xml"/><Relationship Id="rId553444219" Type="http://schemas.microsoft.com/office/2011/relationships/people" Target="people.xml"/><Relationship Id="rId53676697c49c13e5d" Type="http://schemas.openxmlformats.org/officeDocument/2006/relationships/hyperlink" Target="https://gd.eppo.int/taxon/DACUCT/" TargetMode="External"/><Relationship Id="rId52326697c49c13ea3" Type="http://schemas.openxmlformats.org/officeDocument/2006/relationships/hyperlink" Target="https://gd.eppo.int/taxon/DACUCT/categorization" TargetMode="External"/><Relationship Id="rId17406697c49c1600b" Type="http://schemas.openxmlformats.org/officeDocument/2006/relationships/hyperlink" Target="https://www.boldsystems.org/index.php/TaxBrowser_TaxonPage?taxid=492655" TargetMode="External"/><Relationship Id="rId73326697c49c16038" Type="http://schemas.openxmlformats.org/officeDocument/2006/relationships/hyperlink" Target="https://qbank.eppo.int/arthropods/" TargetMode="External"/><Relationship Id="rId43376697c49c167d1" Type="http://schemas.openxmlformats.org/officeDocument/2006/relationships/hyperlink" Target="https://doi.org/10.2903/j.efsa.2020.5931" TargetMode="External"/><Relationship Id="rId57326697c49c16829" Type="http://schemas.openxmlformats.org/officeDocument/2006/relationships/hyperlink" Target="https://coffhi.cphst.org/" TargetMode="External"/><Relationship Id="rId96056697c49c17161" Type="http://schemas.openxmlformats.org/officeDocument/2006/relationships/hyperlink" Target="https://www.cabi.org/isc/datasheet/8726" TargetMode="External"/><Relationship Id="rId25556697c49c17219" Type="http://schemas.openxmlformats.org/officeDocument/2006/relationships/hyperlink" Target="https://gd.eppo.int" TargetMode="External"/><Relationship Id="rId35626697c49c157de" Type="http://schemas.openxmlformats.org/officeDocument/2006/relationships/image" Target="media/imgrId35626697c49c157de.jpg"/><Relationship Id="rId57716697c49c1760c" Type="http://schemas.openxmlformats.org/officeDocument/2006/relationships/image" Target="media/imgrId57716697c49c1760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