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minax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minax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(Enderlein)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Callantra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Dacus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Mellesis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Polistomimetes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Tetradacus citri</w:t>
            </w:r>
            <w:r>
              <w:rPr>
                <w:rFonts w:ascii="Calibri" w:hAnsi="Calibri" w:eastAsia="Calibri" w:cs="Calibri"/>
                <w:color w:val="000000"/>
                <w:position w:val="-3"/>
                <w:sz w:val="22"/>
                <w:szCs w:val="22"/>
              </w:rPr>
              <w:t xml:space="preserve"> (Chen)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citrus fly</w:t>
            </w:r>
            <w:hyperlink r:id="rId8340691d8d806162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204691d8d80616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DACUCT</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minax.</w:t>
      </w:r>
      <w:r>
        <w:rPr>
          <w:rFonts w:ascii="Calibri" w:hAnsi="Calibri" w:eastAsia="Calibri" w:cs="Calibri"/>
          <w:color w:val="000000"/>
          <w:sz w:val="22"/>
          <w:szCs w:val="22"/>
        </w:rPr>
        <w:t xml:space="preserve"> 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that in China most surveys indicate that mainly sweet oranges are heavily infested, although some surveys have shown high infestation occasionally in pomelo and sour oranges. In Bhutan mandarins are heavily infested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USDA Compendium of Fruit Fly Host Information (CoFFHI)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distribution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restricted to northeastern India, Bhutan, Nepal, and southern China. The record from Donghai County in Jiangsu, China is uncertain according to Hancock &amp; Drew (2018).</w:t>
      </w:r>
    </w:p>
    <w:p>
      <w:r>
        <w:drawing>
          <wp:inline distT="0" distB="0" distL="0" distR="0">
            <wp:extent cx="6120000" cy="3067200"/>
            <wp:docPr id="9236283" name="name7073691d8d80633d2" descr="DACUC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T_distribution_map.jpg"/>
                    <pic:cNvPicPr/>
                  </pic:nvPicPr>
                  <pic:blipFill>
                    <a:blip r:embed="rId3138691d8d80633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Guangdong, Guangxi, Guizhou, Hubei, Hunan, Jiangxi, Shaanxi, Sichuan, Yunnan), India (Sikkim, West Bengal), Nepal,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is an univoltine species (only one generation each year) and goes into diapause in the soil as a pupa during winter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overwintering stage lasts about 160-170 days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 period of at least three months of winter conditions is required for successful diapause development and termination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Diapause termination is synchronized with fruit development, with adult emergence between April and May and adult life span between one and three months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Oviposition takes place in June-July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eggs are laid below the skin of young host fruits. Three larval stages develop inside the fruit, feeding on the plant tissue. A review on this species in China is given by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details of development in mandarin in Bhutan is given by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Additional information is given in Zhang (1989),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general,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has a similar biology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also described in some detail by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fulvous along eye margins and with small dark fuscous areas around bases of orbital setae and on anteromedial hump; orbital setae black: 1 superior, 2 inferior; lunule dark fuscous. Ocellar triangle black. Vertex red-brown. Face fulvous with a pair of large elongate black spots filling most of antennal furrow. Occiput red-brown, fulvous along eye margins; occipital row with 1-4 weak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irregular dark fuscous patterns and particularly with a narrow medial longitudinal dark fuscous line running from anterior point of medial postsutural yellow vitta to anterior margin of scutum. Pleural areas red-brown with fuscous along anterior and posterior margins of mesopleural stripe. Yellow markings as follows: postpronotal lobes; notopleura; a lateral yellow band running from posterior margin of postpronotal lobes towards notopleuron but finishing before the notopleuron; a broad mesopleural stripe reaching the anterior notopleural seta dorsally, extending to the katepisternum as a large transverse spot, anterior margin slightly convex; anatergite (posterior apex red-brown); anterior two-thirds katatergite (remainder red-brown); two medium-width parallel-sided lateral postsutural vittae ending at intra-alar seta and turned slightly inwards along notopleural suture; a broad medial postsutural vitta broadly rounded posteriorly at level of posterior supraalar. seta and narrowing to a point to end anteriorly before level of notopleural suture. Postnotum red-brown. Scutellum yellow except for narrow red-brown basal band. Setae: 2 scutellar, 1 intra-alar, 1 posterior supra-alar, 1 mesopleural, 1 notopleural, 2 scapular; prescutellar and anterior supra-alar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for small areas of fuscous around bases of all femora and larger areas of fuscous to dark fuscous around apices of mid and hind femora ; fore tibiae fuscous to dark fuscous basally to fulvous apically, hind tibiae fuscous to dark fuscous; all tarsal segments fulvous;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10.8 mm; cells bc and c fuscous; microtrichia in outer half of cell c only; remainder of wings colourless except fuscous cell sc, broad fuscous costal band overlapping R4+5 and having a distinct dark fuscous spot within apex, a distinct anal streak absent but with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and petiolate; terga free; pecten present on tergum III. Tergum I and sterna I and II longer than wide. Terga I and II fulvous with narrow fuscous to dark fuscous lateral margins and a broad medial longitudinal dark fuscous band that is diffuse on the lateral margins; terga III-V variable from fulvous to red-brown and with a dark fuscous to black ‘T’ pattern consisting of a broad transverse band across anterior margin of tergum III which widens to cover lateral margins and a narrow medial longitudinal band over all three terga but ending before posterior margin of tergum III, fuscous to dark fuscous anterolateral corners on terga IV and V (in some specimens the dark patterns on terga III-V are paler and reduced to a fuscous medial longitudinal band over all three terga and pale fuscous anterolateral corners on terga IV and V). A pair of oval fulvous to red-brown shining spots on tergum V. Posterior lobe of surstylus short, sternum V with a slight concavity on posterior margin. Abdominal sterna variable from red-brown to fuscous.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broadly conical in transverse cross section at base and narrowing and circular in transverse cross section towards apex, and extremely long; ratio of length of oviscape to length of tergum V, 2.7:1; apex of piercer needle-shaped.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(Drew &amp; Romig, 2013), but lacking anterior supra-alar setae. It has an incomplete lateral yellow band between the postpronotal lobe and the notopleuron and the female has a longer ovipositor (aculeus 3.7-5.0 mm long), with a needle-shaped apex.  Full details of the separation of these species were given by White &amp; Wang (1992) and Drew &amp; Romig (2013). Hancock &amp; Drew (2019) provide an identification key for all representatives of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2098691d8d8063e4c"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1983691d8d8063e9e"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by traps baited with male lures,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not known to be attracted to any male lure. A weak attraction of both sexes to methyl eugenol was reported by Drew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this appears to be a seasonal effect, related to the fly’s sexual maturation and mating (Royer, 2015) and considered incidental by Hancock &amp; Drew (2018). Both sexes can be monitored by traps baited with protein-based attractants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the use of fruit mimic traps as effective in monitoring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stenophagous, only attacking citrus fruits. It is a serious pest of citrus in parts of China (Zhang, 1989) but the severity and economic impact can differ among the different regions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 Integrated Pest Management (IPM) and other management options applied in Bhutan and China are reviewed respectively in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include sanitation (to gather all fallen and infested host fruits, and destroy them), and raking or shallow plowing of the soil during winter (to expose the pupae).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beneficials.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 a review of comparative testing of different food-based lures against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Area-wide control, using protein bait spraying, was recently conducted in Nepal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Wang &amp; Luo (1995) report the use of Sterile Insect Technique (SIT ) on orange crops in Guizhou Province, China in 1993 and 1994 resulting in a reduction from over 5% infestation to about 0.1% by releasing 1 million sterile males (obtained from natural populations). For more details on this and other SIT applications in China, see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main current drawback for mass rearing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for SIT is the obligatory diapause.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known to occur in temperate areas. Transient populations could also have negative impacts on export of host fruit from the EPPO region. The EFSA Panel on Plant Health, in their Pest Categorization of non-EU Tephritidae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placed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does not occur, or from a place of production found free from the pest by regular inspections in the 3 months before harvest.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both irradiation and cold treatment have been explored as phytosanitary measures. Irradiation required 50-90 Gy to reach zero adult emergence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specific treatment schedules for cold treatment have been developed but given the cold tolerance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it is uncertain if schedules for other fruit flies (such as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will be adequate.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citrus transported with roots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D, Thapa RB, Joshi SL, Lian H &amp; Du JJ (2020) Area-wide control program of Chines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in Sindhuli, Nepal. </w:t>
      </w:r>
      <w:r>
        <w:rPr>
          <w:rFonts w:ascii="Calibri" w:hAnsi="Calibri" w:eastAsia="Calibri" w:cs="Calibri"/>
          <w:i/>
          <w:iCs/>
          <w:color w:val="000000"/>
          <w:sz w:val="22"/>
          <w:szCs w:val="22"/>
        </w:rPr>
        <w:t xml:space="preserve">American Journal of Agricultural and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1272691d8d806484c"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CL, Liquido NJ, Nakamichi KAA &amp; Ching AJ (2018) Host Plant Records of the Chinese Citrus Fruit Fly (柑橘大实蝇),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(Diptera: Tephritidae). Version 1.0 February 06, 2018. United States Department of Agriculture, 22pp. Available online at </w:t>
      </w:r>
      <w:hyperlink r:id="rId3524691d8d80648d4"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Chen ZZ, Deng AS, Zhu Q Chen WB, Xu XM, Zheng B &amp; Niu CY (2017) Assessing attracting and killing effects of the spherical traps against Chinese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Huazhong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Dong YC, Wang ZJ, Clarke AR, Pereira R, Desneux N &amp; Niu CY (2013) Pupal diapause development and termination is driven by low temperature chilling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Dorji C, Clarke AR, Drew RAI, Fletcher BS, Loday P, Mahat K, Raghu S &amp; Romig MC (2006) Seasonal phenology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western Bhutan.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531-538.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Romig MC &amp; Dorji C (2007) Records of dacine fruit flies and new species of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(Diptera: Tephritidae) in Bhutan. </w:t>
      </w:r>
      <w:r>
        <w:rPr>
          <w:rFonts w:ascii="Calibri" w:hAnsi="Calibri" w:eastAsia="Calibri" w:cs="Calibri"/>
          <w:i/>
          <w:iCs/>
          <w:color w:val="000000"/>
          <w:sz w:val="22"/>
          <w:szCs w:val="22"/>
        </w:rPr>
        <w:t xml:space="preserve">The 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Fan JA, Zhao XQ &amp; Zhu J (1994) [A study on cold-tolerance and diapause in </w:t>
      </w:r>
      <w:r>
        <w:rPr>
          <w:rFonts w:ascii="Calibri" w:hAnsi="Calibri" w:eastAsia="Calibri" w:cs="Calibri"/>
          <w:i/>
          <w:iCs/>
          <w:color w:val="000000"/>
          <w:sz w:val="22"/>
          <w:szCs w:val="22"/>
        </w:rPr>
        <w:t xml:space="preserve">Tetradacus citri </w:t>
      </w:r>
      <w:r>
        <w:rPr>
          <w:rFonts w:ascii="Calibri" w:hAnsi="Calibri" w:eastAsia="Calibri" w:cs="Calibri"/>
          <w:color w:val="000000"/>
          <w:sz w:val="22"/>
          <w:szCs w:val="22"/>
        </w:rPr>
        <w:t xml:space="preserve">Chen].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532-534.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Gao MX, Wang C, Li SR &amp; Tang ZX (1999) [The study of irradiation on pest in orange and chestnut.]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197-1999.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(2018) A review of the subgenera </w:t>
      </w:r>
      <w:r>
        <w:rPr>
          <w:rFonts w:ascii="Calibri" w:hAnsi="Calibri" w:eastAsia="Calibri" w:cs="Calibri"/>
          <w:i/>
          <w:iCs/>
          <w:color w:val="000000"/>
          <w:sz w:val="22"/>
          <w:szCs w:val="22"/>
        </w:rPr>
        <w:t xml:space="preserve">Apodacus</w:t>
      </w:r>
      <w:r>
        <w:rPr>
          <w:rFonts w:ascii="Calibri" w:hAnsi="Calibri" w:eastAsia="Calibri" w:cs="Calibri"/>
          <w:color w:val="000000"/>
          <w:sz w:val="22"/>
          <w:szCs w:val="22"/>
        </w:rPr>
        <w:t xml:space="preserve"> Perkins, </w:t>
      </w:r>
      <w:r>
        <w:rPr>
          <w:rFonts w:ascii="Calibri" w:hAnsi="Calibri" w:eastAsia="Calibri" w:cs="Calibri"/>
          <w:i/>
          <w:iCs/>
          <w:color w:val="000000"/>
          <w:sz w:val="22"/>
          <w:szCs w:val="22"/>
        </w:rPr>
        <w:t xml:space="preserve">Hemizeugodacus</w:t>
      </w:r>
      <w:r>
        <w:rPr>
          <w:rFonts w:ascii="Calibri" w:hAnsi="Calibri" w:eastAsia="Calibri" w:cs="Calibri"/>
          <w:color w:val="000000"/>
          <w:sz w:val="22"/>
          <w:szCs w:val="22"/>
        </w:rPr>
        <w:t xml:space="preserve"> Hardy, </w:t>
      </w:r>
      <w:r>
        <w:rPr>
          <w:rFonts w:ascii="Calibri" w:hAnsi="Calibri" w:eastAsia="Calibri" w:cs="Calibri"/>
          <w:i/>
          <w:iCs/>
          <w:color w:val="000000"/>
          <w:sz w:val="22"/>
          <w:szCs w:val="22"/>
        </w:rPr>
        <w:t xml:space="preserve">Neozeugodacus</w:t>
      </w:r>
      <w:r>
        <w:rPr>
          <w:rFonts w:ascii="Calibri" w:hAnsi="Calibri" w:eastAsia="Calibri" w:cs="Calibri"/>
          <w:color w:val="000000"/>
          <w:sz w:val="22"/>
          <w:szCs w:val="22"/>
        </w:rPr>
        <w:t xml:space="preserve"> May, stat. rev., </w:t>
      </w:r>
      <w:r>
        <w:rPr>
          <w:rFonts w:ascii="Calibri" w:hAnsi="Calibri" w:eastAsia="Calibri" w:cs="Calibri"/>
          <w:i/>
          <w:iCs/>
          <w:color w:val="000000"/>
          <w:sz w:val="22"/>
          <w:szCs w:val="22"/>
        </w:rPr>
        <w:t xml:space="preserve">Semicallantra</w:t>
      </w:r>
      <w:r>
        <w:rPr>
          <w:rFonts w:ascii="Calibri" w:hAnsi="Calibri" w:eastAsia="Calibri" w:cs="Calibri"/>
          <w:color w:val="000000"/>
          <w:sz w:val="22"/>
          <w:szCs w:val="22"/>
        </w:rPr>
        <w:t xml:space="preserve"> Drew and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105-132.</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(Tephritidae: Dacinae)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&amp; Luo YL (1995) [Advanced study on Bactrocera minax.]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310-315.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Wang XJ (1992) Taxonomic notes on some dacine (Diptera: Tephritidae) fruit flies associated with citrus, olives and cucurbits.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275-280.</w:t>
      </w:r>
    </w:p>
    <w:p>
      <w:pPr>
        <w:widowControl w:val="on"/>
        <w:pBdr/>
        <w:spacing w:before="220" w:after="220" w:line="240" w:lineRule="auto"/>
        <w:ind w:left="0" w:right="0"/>
        <w:jc w:val="left"/>
      </w:pPr>
      <w:r>
        <w:rPr>
          <w:rFonts w:ascii="Calibri" w:hAnsi="Calibri" w:eastAsia="Calibri" w:cs="Calibri"/>
          <w:color w:val="000000"/>
          <w:sz w:val="22"/>
          <w:szCs w:val="22"/>
        </w:rPr>
        <w:t xml:space="preserve">Xia Y, Ma X, Hou B &amp; Ouyang G (2018) A review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China for purpose of safeguarding. </w:t>
      </w:r>
      <w:r>
        <w:rPr>
          <w:rFonts w:ascii="Calibri" w:hAnsi="Calibri" w:eastAsia="Calibri" w:cs="Calibri"/>
          <w:i/>
          <w:iCs/>
          <w:color w:val="000000"/>
          <w:sz w:val="22"/>
          <w:szCs w:val="22"/>
        </w:rPr>
        <w:t xml:space="preserve">Advances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220" w:after="220" w:line="240" w:lineRule="auto"/>
        <w:ind w:left="0" w:right="0"/>
        <w:jc w:val="left"/>
      </w:pPr>
      <w:r>
        <w:rPr>
          <w:rFonts w:ascii="Calibri" w:hAnsi="Calibri" w:eastAsia="Calibri" w:cs="Calibri"/>
          <w:color w:val="000000"/>
          <w:sz w:val="22"/>
          <w:szCs w:val="22"/>
        </w:rPr>
        <w:t xml:space="preserve">Zhao XQ, Fan JA, Xie CL, Qin Z, Li G, Zhu J, Zeng DB &amp; Kong FC (1995) [Gamma irradiation as a quarantine treatment against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pomelo and orange fruits.]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126-129. (in Chinese)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w:t>
      </w:r>
      <w:hyperlink r:id="rId4150691d8d8065f02" w:history="1">
        <w:r>
          <w:rPr>
            <w:rFonts w:ascii="Calibri" w:hAnsi="Calibri" w:eastAsia="Calibri" w:cs="Calibri"/>
            <w:color w:val="0000CC"/>
            <w:sz w:val="22"/>
            <w:szCs w:val="22"/>
            <w:u w:val="single"/>
          </w:rPr>
          <w:t xml:space="preserve">https://www.cabi.org/isc/datasheet/8726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EPPO datasheets on pests recommended for regulation. Available online. </w:t>
      </w:r>
      <w:hyperlink r:id="rId1751691d8d8065f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2566545" name="name8096691d8d80661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25691d8d80661f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594594">
    <w:multiLevelType w:val="hybridMultilevel"/>
    <w:lvl w:ilvl="0" w:tplc="16832182">
      <w:start w:val="1"/>
      <w:numFmt w:val="decimal"/>
      <w:lvlText w:val="%1."/>
      <w:lvlJc w:val="left"/>
      <w:pPr>
        <w:ind w:left="720" w:hanging="360"/>
      </w:pPr>
    </w:lvl>
    <w:lvl w:ilvl="1" w:tplc="16832182" w:tentative="1">
      <w:start w:val="1"/>
      <w:numFmt w:val="lowerLetter"/>
      <w:lvlText w:val="%2."/>
      <w:lvlJc w:val="left"/>
      <w:pPr>
        <w:ind w:left="1440" w:hanging="360"/>
      </w:pPr>
    </w:lvl>
    <w:lvl w:ilvl="2" w:tplc="16832182" w:tentative="1">
      <w:start w:val="1"/>
      <w:numFmt w:val="lowerRoman"/>
      <w:lvlText w:val="%3."/>
      <w:lvlJc w:val="right"/>
      <w:pPr>
        <w:ind w:left="2160" w:hanging="180"/>
      </w:pPr>
    </w:lvl>
    <w:lvl w:ilvl="3" w:tplc="16832182" w:tentative="1">
      <w:start w:val="1"/>
      <w:numFmt w:val="decimal"/>
      <w:lvlText w:val="%4."/>
      <w:lvlJc w:val="left"/>
      <w:pPr>
        <w:ind w:left="2880" w:hanging="360"/>
      </w:pPr>
    </w:lvl>
    <w:lvl w:ilvl="4" w:tplc="16832182" w:tentative="1">
      <w:start w:val="1"/>
      <w:numFmt w:val="lowerLetter"/>
      <w:lvlText w:val="%5."/>
      <w:lvlJc w:val="left"/>
      <w:pPr>
        <w:ind w:left="3600" w:hanging="360"/>
      </w:pPr>
    </w:lvl>
    <w:lvl w:ilvl="5" w:tplc="16832182" w:tentative="1">
      <w:start w:val="1"/>
      <w:numFmt w:val="lowerRoman"/>
      <w:lvlText w:val="%6."/>
      <w:lvlJc w:val="right"/>
      <w:pPr>
        <w:ind w:left="4320" w:hanging="180"/>
      </w:pPr>
    </w:lvl>
    <w:lvl w:ilvl="6" w:tplc="16832182" w:tentative="1">
      <w:start w:val="1"/>
      <w:numFmt w:val="decimal"/>
      <w:lvlText w:val="%7."/>
      <w:lvlJc w:val="left"/>
      <w:pPr>
        <w:ind w:left="5040" w:hanging="360"/>
      </w:pPr>
    </w:lvl>
    <w:lvl w:ilvl="7" w:tplc="16832182" w:tentative="1">
      <w:start w:val="1"/>
      <w:numFmt w:val="lowerLetter"/>
      <w:lvlText w:val="%8."/>
      <w:lvlJc w:val="left"/>
      <w:pPr>
        <w:ind w:left="5760" w:hanging="360"/>
      </w:pPr>
    </w:lvl>
    <w:lvl w:ilvl="8" w:tplc="16832182" w:tentative="1">
      <w:start w:val="1"/>
      <w:numFmt w:val="lowerRoman"/>
      <w:lvlText w:val="%9."/>
      <w:lvlJc w:val="right"/>
      <w:pPr>
        <w:ind w:left="6480" w:hanging="180"/>
      </w:pPr>
    </w:lvl>
  </w:abstractNum>
  <w:abstractNum w:abstractNumId="64594593">
    <w:multiLevelType w:val="hybridMultilevel"/>
    <w:lvl w:ilvl="0" w:tplc="626880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594593">
    <w:abstractNumId w:val="64594593"/>
  </w:num>
  <w:num w:numId="64594594">
    <w:abstractNumId w:val="645945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9811666" Type="http://schemas.microsoft.com/office/2011/relationships/commentsExtended" Target="commentsExtended.xml"/><Relationship Id="rId486649923" Type="http://schemas.microsoft.com/office/2011/relationships/people" Target="people.xml"/><Relationship Id="rId8340691d8d8061628" Type="http://schemas.openxmlformats.org/officeDocument/2006/relationships/hyperlink" Target="https://gd.eppo.int/taxon/DACUCT/" TargetMode="External"/><Relationship Id="rId3204691d8d806166f" Type="http://schemas.openxmlformats.org/officeDocument/2006/relationships/hyperlink" Target="https://gd.eppo.int/taxon/DACUCT/categorization" TargetMode="External"/><Relationship Id="rId2098691d8d8063e4c" Type="http://schemas.openxmlformats.org/officeDocument/2006/relationships/hyperlink" Target="https://www.boldsystems.org/index.php/TaxBrowser_TaxonPage?taxid=492655" TargetMode="External"/><Relationship Id="rId1983691d8d8063e9e" Type="http://schemas.openxmlformats.org/officeDocument/2006/relationships/hyperlink" Target="https://qbank.eppo.int/arthropods/" TargetMode="External"/><Relationship Id="rId1272691d8d806484c" Type="http://schemas.openxmlformats.org/officeDocument/2006/relationships/hyperlink" Target="https://doi.org/10.2903/j.efsa.2020.5931" TargetMode="External"/><Relationship Id="rId3524691d8d80648d4" Type="http://schemas.openxmlformats.org/officeDocument/2006/relationships/hyperlink" Target="https://coffhi.cphst.org/" TargetMode="External"/><Relationship Id="rId4150691d8d8065f02" Type="http://schemas.openxmlformats.org/officeDocument/2006/relationships/hyperlink" Target="https://www.cabi.org/isc/datasheet/8726" TargetMode="External"/><Relationship Id="rId1751691d8d8065fd5" Type="http://schemas.openxmlformats.org/officeDocument/2006/relationships/hyperlink" Target="https://gd.eppo.int" TargetMode="External"/><Relationship Id="rId3138691d8d80633cf" Type="http://schemas.openxmlformats.org/officeDocument/2006/relationships/image" Target="media/imgrId3138691d8d80633cf.jpg"/><Relationship Id="rId7025691d8d80661f1" Type="http://schemas.openxmlformats.org/officeDocument/2006/relationships/image" Target="media/imgrId7025691d8d80661f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