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Dacus ciliatus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ciliatus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apoxanthus decolor</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Dacus cocciniae</w:t>
            </w:r>
            <w:r>
              <w:rPr>
                <w:rFonts w:ascii="Calibri" w:hAnsi="Calibri" w:eastAsia="Calibri" w:cs="Calibri"/>
                <w:color w:val="000000"/>
                <w:position w:val="-3"/>
                <w:sz w:val="22"/>
                <w:szCs w:val="22"/>
              </w:rPr>
              <w:t xml:space="preserve"> Premlata &amp; Singh, </w:t>
            </w:r>
            <w:r>
              <w:rPr>
                <w:rFonts w:ascii="Calibri" w:hAnsi="Calibri" w:eastAsia="Calibri" w:cs="Calibri"/>
                <w:i/>
                <w:iCs/>
                <w:color w:val="000000"/>
                <w:position w:val="-3"/>
                <w:sz w:val="22"/>
                <w:szCs w:val="22"/>
              </w:rPr>
              <w:t xml:space="preserve">Dacus insistens</w:t>
            </w:r>
            <w:r>
              <w:rPr>
                <w:rFonts w:ascii="Calibri" w:hAnsi="Calibri" w:eastAsia="Calibri" w:cs="Calibri"/>
                <w:color w:val="000000"/>
                <w:position w:val="-3"/>
                <w:sz w:val="22"/>
                <w:szCs w:val="22"/>
              </w:rPr>
              <w:t xml:space="preserve"> Curran, </w:t>
            </w:r>
            <w:r>
              <w:rPr>
                <w:rFonts w:ascii="Calibri" w:hAnsi="Calibri" w:eastAsia="Calibri" w:cs="Calibri"/>
                <w:i/>
                <w:iCs/>
                <w:color w:val="000000"/>
                <w:position w:val="-3"/>
                <w:sz w:val="22"/>
                <w:szCs w:val="22"/>
              </w:rPr>
              <w:t xml:space="preserve">Dacus sexmaculatus</w:t>
            </w:r>
            <w:r>
              <w:rPr>
                <w:rFonts w:ascii="Calibri" w:hAnsi="Calibri" w:eastAsia="Calibri" w:cs="Calibri"/>
                <w:color w:val="000000"/>
                <w:position w:val="-3"/>
                <w:sz w:val="22"/>
                <w:szCs w:val="22"/>
              </w:rPr>
              <w:t xml:space="preserve"> Walker (White &amp; Elson‐Harris) (White), </w:t>
            </w:r>
            <w:r>
              <w:rPr>
                <w:rFonts w:ascii="Calibri" w:hAnsi="Calibri" w:eastAsia="Calibri" w:cs="Calibri"/>
                <w:i/>
                <w:iCs/>
                <w:color w:val="000000"/>
                <w:position w:val="-3"/>
                <w:sz w:val="22"/>
                <w:szCs w:val="22"/>
              </w:rPr>
              <w:t xml:space="preserve">Dacus sigmoides</w:t>
            </w:r>
            <w:r>
              <w:rPr>
                <w:rFonts w:ascii="Calibri" w:hAnsi="Calibri" w:eastAsia="Calibri" w:cs="Calibri"/>
                <w:color w:val="000000"/>
                <w:position w:val="-3"/>
                <w:sz w:val="22"/>
                <w:szCs w:val="22"/>
              </w:rPr>
              <w:t xml:space="preserve"> Coquillett, </w:t>
            </w:r>
            <w:r>
              <w:rPr>
                <w:rFonts w:ascii="Calibri" w:hAnsi="Calibri" w:eastAsia="Calibri" w:cs="Calibri"/>
                <w:i/>
                <w:iCs/>
                <w:color w:val="000000"/>
                <w:position w:val="-3"/>
                <w:sz w:val="22"/>
                <w:szCs w:val="22"/>
              </w:rPr>
              <w:t xml:space="preserve">Didacus brevistylus</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Didacus ciliatus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Leptoxyda ciliata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Tridacus malleyi</w:t>
            </w:r>
            <w:r>
              <w:rPr>
                <w:rFonts w:ascii="Calibri" w:hAnsi="Calibri" w:eastAsia="Calibri" w:cs="Calibri"/>
                <w:color w:val="000000"/>
                <w:position w:val="-3"/>
                <w:sz w:val="22"/>
                <w:szCs w:val="22"/>
              </w:rPr>
              <w:t xml:space="preserve"> Munro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Ethiopian fruit fly, cucurbit fly, lesser melon fly, lesser pumpkin fly</w:t>
            </w:r>
            <w:hyperlink r:id="rId7518662b5e122281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203662b5e122289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143173" name="name5594662b5e1222c31" descr="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jpg"/>
                          <pic:cNvPicPr/>
                        </pic:nvPicPr>
                        <pic:blipFill>
                          <a:blip r:embed="rId4557662b5e1222c2f" cstate="print"/>
                          <a:stretch>
                            <a:fillRect/>
                          </a:stretch>
                        </pic:blipFill>
                        <pic:spPr>
                          <a:xfrm>
                            <a:off x="0" y="0"/>
                            <a:ext cx="2160000" cy="1281600"/>
                          </a:xfrm>
                          <a:prstGeom prst="rect">
                            <a:avLst/>
                          </a:prstGeom>
                          <a:ln w="0">
                            <a:noFill/>
                          </a:ln>
                        </pic:spPr>
                      </pic:pic>
                    </a:graphicData>
                  </a:graphic>
                </wp:inline>
              </w:drawing>
            </w:r>
            <w:hyperlink r:id="rId2205662b5e1222d2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placed 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Collart (see White, 2006 for diagnosis of the subgenus). It is a very variable species and easily confused with other, similar species of the same subgenus,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Becker and </w:t>
      </w:r>
      <w:r>
        <w:rPr>
          <w:rFonts w:ascii="Calibri" w:hAnsi="Calibri" w:eastAsia="Calibri" w:cs="Calibri"/>
          <w:i/>
          <w:iCs/>
          <w:color w:val="000000"/>
          <w:sz w:val="22"/>
          <w:szCs w:val="22"/>
        </w:rPr>
        <w:t xml:space="preserve">D. vertebratus </w:t>
      </w:r>
      <w:r>
        <w:rPr>
          <w:rFonts w:ascii="Calibri" w:hAnsi="Calibri" w:eastAsia="Calibri" w:cs="Calibri"/>
          <w:color w:val="000000"/>
          <w:sz w:val="22"/>
          <w:szCs w:val="22"/>
        </w:rPr>
        <w:t xml:space="preserve">Bezzi (White,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develop in the fruits of a wide range of cucurbit crops and wild Cucurbitaceae but is also reported from several other plant families. In the EPPO region, cucumbers, melons and marrows would be the main potential hosts. The USDA Compendium of Fruit Fly Host Information (CoFFHI) (McQuate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adoensis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quinqueloba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Cucumeropsis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aculeatus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africanus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anguria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metulifer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myriocarpus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sphaerica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trifoliolata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cucumerina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tricuspidata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has a wide distribution throughout Sub-Saharan Africa including drier areas of the Sahelian belt and Southern Africa. Also known from the Middle East and the Indian subcontinent.</w:t>
      </w:r>
    </w:p>
    <w:p>
      <w:r>
        <w:drawing>
          <wp:inline distT="0" distB="0" distL="0" distR="0">
            <wp:extent cx="6120000" cy="3067200"/>
            <wp:docPr id="18457026" name="name8903662b5e1223e27" descr="DACU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I_distribution_map.jpg"/>
                    <pic:cNvPicPr/>
                  </pic:nvPicPr>
                  <pic:blipFill>
                    <a:blip r:embed="rId1696662b5e1223e2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Comoros, Congo, Democratic republic of the, Cote d'Ivoire, Egypt, Eritrea, Ethiopia, Gabon, Gambia, Ghana, Guinea, Kenya, Lesotho, Malawi, Mauritius, Mayotte, Mozambique, Namibia,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India (Bihar, Chandigarh, Delhi, Gujarat, Himachal Pradesh, Karnataka, Maharashtra, Punjab, Tamil Nadu, Uttar Pradesh), Iran, Iraq, Israel, Jordan, Nepal, Oman, Pakistan, Saudi Arabia, Sri Lanka,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species infesting fruits: eggs are deposited inside fruits by the female puncturing the fruit skin. Fruits can be attacked within 10 days of fruit setting and sometimes even before the ovary has been fertilized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can complete its life cycle in 49 to 54 days at 25°C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Females start laying eggs in fruit at 10 to 13 days after adult emergence (Vayssieres et al. 2008). However,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indicates that this can differ according to the season with, based upon data from Egypt, 5-6 days during summer and up to 30 days in winter. Up to 210 eggs can be laid by a female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Eggs are usually white to creamy yellow. The egg incubation period is about 3 days. Larvae are cream coloured. Larval development can take 4-7 days while pupation lasts for 7 – 14 days. Adult longevity can be up to 45 days (El Nahal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 Patel and Patel, 1998) although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adults can live for more than 17 weeks.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A partial description of the third larval instar of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is given by EPPO (2018). White &amp; Elson-Harris (1992)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A key to this and other tephritids for the 3rd-instar larvae is available in Balmès &amp; Mouttet (2017) and White &amp; Elson-Harris (1992) but the latter work indicates that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larvae cannot be differentiated from those of the closely related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with additional characters given by White, 2006)</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small circular black spots; postpronotal lobes yellow or bicoloured (yellow and red-brown); notopleura yellow; scutum predominantly red-brown with blotched patterns due to sites of attachment of dorsoventral flight muscles; lateral and medial postsutural vittae absent; notopleural marking normally wedge shaped and joined to notopleural callus (but can be reduced); broad mesopleural stripe reaching from notopleural callus to (or almost to) katepisternum; extended onto katepisternum; scutellum yellow, without any dark patterning (except for basal dark margin); laterotergal yellow marking confined to katatergite; legs with all segments entirely fulvous, mid tibiae each with an apical black spur; wing with cells bc and c colourless, without an almost complete covering of microtrichia, only in outer corner of cell c; cell bm without microtrichia; remainder of wings colourless except fuscous cell sc; narrow fuscous costal band complete, shallow, not extending below vein R2+3 before wing apex, expanded into a small spot just beyond apex of R4+5; narrow anal streak variable (sometimes confined to within bcu); supernumerary lobe only slightly developed; abdomen oval, predominantly fulvous to red-brown, terga I-V all fused, terga III and IV unmarked, sometimes III and rarely also IV with an isolated sublateral dark spot; tergum III with pecten.</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Legs mid- and hindfemora tending to bicoloured (pale basally, reddish-brown apically; wing, supernumerary lobe weak; pecten absent from abdominal tergum III. Ovipositor basal segment red-brown, dorsoventrally flattened and tapering posteriorly in dorsal view; oviscape length 0.25 times length of tergum V;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subgenus </w:t>
      </w:r>
      <w:r>
        <w:rPr>
          <w:rFonts w:ascii="Calibri" w:hAnsi="Calibri" w:eastAsia="Calibri" w:cs="Calibri"/>
          <w:i/>
          <w:iCs/>
          <w:color w:val="000000"/>
          <w:sz w:val="22"/>
          <w:szCs w:val="22"/>
        </w:rPr>
        <w:t xml:space="preserve">Dacus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Didacus</w:t>
      </w:r>
      <w:r>
        <w:rPr>
          <w:rFonts w:ascii="Calibri" w:hAnsi="Calibri" w:eastAsia="Calibri" w:cs="Calibri"/>
          <w:color w:val="000000"/>
          <w:sz w:val="22"/>
          <w:szCs w:val="22"/>
        </w:rPr>
        <w:t xml:space="preserve">), in particular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vertebratus</w:t>
      </w:r>
      <w:r>
        <w:rPr>
          <w:rFonts w:ascii="Calibri" w:hAnsi="Calibri" w:eastAsia="Calibri" w:cs="Calibri"/>
          <w:color w:val="000000"/>
          <w:sz w:val="22"/>
          <w:szCs w:val="22"/>
        </w:rPr>
        <w:t xml:space="preserve"> can be difficult and needs expert confirmation. See White (2006) and the diagnostic protocol PM 7/138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(EPPO,2018) for details on how to differentiate between the main species belonging to this subgenus.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may be used for the molecular identification of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however it should be noted that the Barcoding Index Number Systems (BINs) in which this species is represented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also include a few unidentified / possibly misidentified reference sequences. Sequences are available in the </w:t>
      </w:r>
      <w:hyperlink r:id="rId8823662b5e12245ed" w:history="1">
        <w:r>
          <w:rPr>
            <w:rFonts w:ascii="Calibri" w:hAnsi="Calibri" w:eastAsia="Calibri" w:cs="Calibri"/>
            <w:b/>
            <w:bCs/>
            <w:color w:val="0000CC"/>
            <w:sz w:val="22"/>
            <w:szCs w:val="22"/>
            <w:u w:val="single"/>
          </w:rPr>
          <w:t xml:space="preserve">Barcode of Life Data Systems (BOLD)</w:t>
        </w:r>
      </w:hyperlink>
      <w:r>
        <w:rPr>
          <w:rFonts w:ascii="Calibri" w:hAnsi="Calibri" w:eastAsia="Calibri" w:cs="Calibri"/>
          <w:color w:val="000000"/>
          <w:sz w:val="22"/>
          <w:szCs w:val="22"/>
        </w:rPr>
        <w:t xml:space="preserve"> and in </w:t>
      </w:r>
      <w:hyperlink r:id="rId3895662b5e122461d" w:history="1">
        <w:r>
          <w:rPr>
            <w:rFonts w:ascii="Calibri" w:hAnsi="Calibri" w:eastAsia="Calibri" w:cs="Calibri"/>
            <w:b/>
            <w:bCs/>
            <w:color w:val="0000CC"/>
            <w:sz w:val="22"/>
            <w:szCs w:val="22"/>
            <w:u w:val="single"/>
          </w:rPr>
          <w:t xml:space="preserve">Q-bank</w:t>
        </w:r>
      </w:hyperlink>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some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is not known to be attracted to any of these. Both sexes can be monitored by traps baited with protein-based attractants (Manrakhan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(to which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flight capacity was considered similar)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 This probably also applies to </w:t>
      </w:r>
      <w:r>
        <w:rPr>
          <w:rFonts w:ascii="Calibri" w:hAnsi="Calibri" w:eastAsia="Calibri" w:cs="Calibri"/>
          <w:i/>
          <w:iCs/>
          <w:color w:val="000000"/>
          <w:sz w:val="22"/>
          <w:szCs w:val="22"/>
        </w:rPr>
        <w:t xml:space="preserve">D. ciliatus.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can be a serious pest of different cucurbit crops. Comparative studies of infestation by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and other cucurbit infesting fruit flies have been published (see Vayssières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other fruit flies such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A review on control methods for fruit flies on vegetable crops, including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in Réunion is given by Ryckewaert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Agroecological management for this and other cucurbit-infesting fruit flies in this area, is discussed in detail by Deguine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is a known pest of several cucurbit crops in the area where it is present. It can be moved in trade with infested cucurbit fruit. No detailed study has been made on climatic suitability of the EPPO region for this species, and it is unclear whether it could become established in the EPPO region. However, even transient populations could have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D. ciliatus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does not occur, or from a place of production found free from the pest by regular inspection for 3 months before harvest. Plants transported with roots from countries or regions where </w:t>
      </w:r>
      <w:r>
        <w:rPr>
          <w:rFonts w:ascii="Calibri" w:hAnsi="Calibri" w:eastAsia="Calibri" w:cs="Calibri"/>
          <w:i/>
          <w:iCs/>
          <w:color w:val="000000"/>
          <w:sz w:val="22"/>
          <w:szCs w:val="22"/>
        </w:rPr>
        <w:t xml:space="preserve">D. ciliatus </w:t>
      </w:r>
      <w:r>
        <w:rPr>
          <w:rFonts w:ascii="Calibri" w:hAnsi="Calibri" w:eastAsia="Calibri" w:cs="Calibri"/>
          <w:color w:val="000000"/>
          <w:sz w:val="22"/>
          <w:szCs w:val="22"/>
        </w:rPr>
        <w:t xml:space="preserve">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Deguine JP, Atiama-Nurbel T, Aubertot JN, Augusseau X, Atiama M, Jacquot M &amp; Reynaud B (2015) Agroecological management of cucurbit-infesting fruit fly: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937-965.</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6038662b5e1224cc4"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 Nahal AKM, Azab AK &amp; Swailem SM (1971) Studies on the biology of the melon fruit fly,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ciliatus</w:t>
      </w:r>
      <w:r>
        <w:rPr>
          <w:rFonts w:ascii="Calibri" w:hAnsi="Calibri" w:eastAsia="Calibri" w:cs="Calibri"/>
          <w:color w:val="000000"/>
          <w:sz w:val="22"/>
          <w:szCs w:val="22"/>
        </w:rPr>
        <w:t xml:space="preserve"> Loew (Diptera:Trypanaeidae).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231-241.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Diagnostics PM7/134 (1) </w:t>
      </w:r>
      <w:r>
        <w:rPr>
          <w:rFonts w:ascii="Calibri" w:hAnsi="Calibri" w:eastAsia="Calibri" w:cs="Calibri"/>
          <w:i/>
          <w:iCs/>
          <w:color w:val="000000"/>
          <w:sz w:val="22"/>
          <w:szCs w:val="22"/>
        </w:rPr>
        <w:t xml:space="preserve">Dacus ciliatus.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425-431.</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Daneel JH, Beck R, Virgilio M, Meganck K &amp; De Meyer M (2017) Efficacy of trapping systems for monitoring of afrotropical fruit flies.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825-840.</w:t>
      </w:r>
    </w:p>
    <w:p>
      <w:pPr>
        <w:widowControl w:val="on"/>
        <w:pBdr/>
        <w:spacing w:before="220" w:after="220" w:line="240" w:lineRule="auto"/>
        <w:ind w:left="0" w:right="0"/>
        <w:jc w:val="left"/>
      </w:pPr>
      <w:r>
        <w:rPr>
          <w:rFonts w:ascii="Calibri" w:hAnsi="Calibri" w:eastAsia="Calibri" w:cs="Calibri"/>
          <w:color w:val="000000"/>
          <w:sz w:val="22"/>
          <w:szCs w:val="22"/>
        </w:rPr>
        <w:t xml:space="preserve">McQuate GT, Liquido NJ &amp; Nakamichi KAA (2018) Host plant records of the lesser pumpkin fly, </w:t>
      </w:r>
      <w:r>
        <w:rPr>
          <w:rFonts w:ascii="Calibri" w:hAnsi="Calibri" w:eastAsia="Calibri" w:cs="Calibri"/>
          <w:i/>
          <w:iCs/>
          <w:color w:val="000000"/>
          <w:sz w:val="22"/>
          <w:szCs w:val="22"/>
        </w:rPr>
        <w:t xml:space="preserve">Dacus ciliatus </w:t>
      </w:r>
      <w:r>
        <w:rPr>
          <w:rFonts w:ascii="Calibri" w:hAnsi="Calibri" w:eastAsia="Calibri" w:cs="Calibri"/>
          <w:color w:val="000000"/>
          <w:sz w:val="22"/>
          <w:szCs w:val="22"/>
        </w:rPr>
        <w:t xml:space="preserve">Loew (Diptera: Tephritidae), Version 3.1. Available online at USDA Compendium of Fruit Fly Host Information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(CoFFHI). </w:t>
      </w:r>
      <w:hyperlink r:id="rId5227662b5e1224f35"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Maerere A, Makundi RH &amp; De Meyer M (2010) Incidence and host range of the melon fruit fly </w:t>
      </w:r>
      <w:r>
        <w:rPr>
          <w:rFonts w:ascii="Calibri" w:hAnsi="Calibri" w:eastAsia="Calibri" w:cs="Calibri"/>
          <w:i/>
          <w:iCs/>
          <w:color w:val="000000"/>
          <w:sz w:val="22"/>
          <w:szCs w:val="22"/>
        </w:rPr>
        <w:t xml:space="preserve">Bactrocera cucurbitae </w:t>
      </w:r>
      <w:r>
        <w:rPr>
          <w:rFonts w:ascii="Calibri" w:hAnsi="Calibri" w:eastAsia="Calibri" w:cs="Calibri"/>
          <w:color w:val="000000"/>
          <w:sz w:val="22"/>
          <w:szCs w:val="22"/>
        </w:rPr>
        <w:t xml:space="preserve">(Coquillett) (Diptera: Tephritidae) in Central Tanzania.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265-273.</w:t>
      </w:r>
    </w:p>
    <w:p>
      <w:pPr>
        <w:widowControl w:val="on"/>
        <w:pBdr/>
        <w:spacing w:before="220" w:after="220" w:line="240" w:lineRule="auto"/>
        <w:ind w:left="0" w:right="0"/>
        <w:jc w:val="left"/>
      </w:pPr>
      <w:r>
        <w:rPr>
          <w:rFonts w:ascii="Calibri" w:hAnsi="Calibri" w:eastAsia="Calibri" w:cs="Calibri"/>
          <w:color w:val="000000"/>
          <w:sz w:val="22"/>
          <w:szCs w:val="22"/>
        </w:rPr>
        <w:t xml:space="preserve">Patel RK &amp; Patel CB (1998) Biology of fruit fly,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Loew (Tephritidae: Diptera) infesting little gourd, </w:t>
      </w:r>
      <w:r>
        <w:rPr>
          <w:rFonts w:ascii="Calibri" w:hAnsi="Calibri" w:eastAsia="Calibri" w:cs="Calibri"/>
          <w:i/>
          <w:iCs/>
          <w:color w:val="000000"/>
          <w:sz w:val="22"/>
          <w:szCs w:val="22"/>
        </w:rPr>
        <w:t xml:space="preserve">Coccinia indica</w:t>
      </w:r>
      <w:r>
        <w:rPr>
          <w:rFonts w:ascii="Calibri" w:hAnsi="Calibri" w:eastAsia="Calibri" w:cs="Calibri"/>
          <w:color w:val="000000"/>
          <w:sz w:val="22"/>
          <w:szCs w:val="22"/>
        </w:rPr>
        <w:t xml:space="preserve"> W. &amp; A. </w:t>
      </w:r>
      <w:r>
        <w:rPr>
          <w:rFonts w:ascii="Calibri" w:hAnsi="Calibri" w:eastAsia="Calibri" w:cs="Calibri"/>
          <w:i/>
          <w:iCs/>
          <w:color w:val="000000"/>
          <w:sz w:val="22"/>
          <w:szCs w:val="22"/>
        </w:rPr>
        <w:t xml:space="preserve">Gujarat Agricultural University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54-60.</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Deguine JP, Brévault T &amp; Vayssières JF (2010) Fruit flies (Diptera : Tephritidae) on vegetable crops in Reunion Island (Indian Ocean) : state of knowledge, control methods and prospects for management.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113-130.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Carel Y, Coubes M &amp; Duyck PF (2008) Development of immature stages and comparative demography of two cucurbit-attacking fruit flies in Reunion island: </w:t>
      </w:r>
      <w:r>
        <w:rPr>
          <w:rFonts w:ascii="Calibri" w:hAnsi="Calibri" w:eastAsia="Calibri" w:cs="Calibri"/>
          <w:i/>
          <w:iCs/>
          <w:color w:val="000000"/>
          <w:sz w:val="22"/>
          <w:szCs w:val="22"/>
        </w:rPr>
        <w:t xml:space="preserve">Bactrocera cucurbitae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307-314.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(2006) Taxonomy of the Dacina (Diptera: Tephritidae) of Africa and the Middle East.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156pp.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4832662b5e12253c9" w:history="1">
        <w:r>
          <w:rPr>
            <w:rFonts w:ascii="Calibri" w:hAnsi="Calibri" w:eastAsia="Calibri" w:cs="Calibri"/>
            <w:color w:val="0000CC"/>
            <w:sz w:val="22"/>
            <w:szCs w:val="22"/>
            <w:u w:val="single"/>
          </w:rPr>
          <w:t xml:space="preserve">http://www.cabi.org/isc/datasheet/17682</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Dacus ciliatus</w:t>
      </w:r>
      <w:r>
        <w:rPr>
          <w:rFonts w:ascii="Calibri" w:hAnsi="Calibri" w:eastAsia="Calibri" w:cs="Calibri"/>
          <w:color w:val="000000"/>
          <w:sz w:val="22"/>
          <w:szCs w:val="22"/>
        </w:rPr>
        <w:t xml:space="preserve">. EPPO datasheets on pests recommended for regulation. Available online. </w:t>
      </w:r>
      <w:hyperlink r:id="rId8686662b5e122552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2268662b5e12256dd"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23125505" name="name6045662b5e12258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08662b5e122589c"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18791">
    <w:multiLevelType w:val="hybridMultilevel"/>
    <w:lvl w:ilvl="0" w:tplc="18876301">
      <w:start w:val="1"/>
      <w:numFmt w:val="decimal"/>
      <w:lvlText w:val="%1."/>
      <w:lvlJc w:val="left"/>
      <w:pPr>
        <w:ind w:left="720" w:hanging="360"/>
      </w:pPr>
    </w:lvl>
    <w:lvl w:ilvl="1" w:tplc="18876301" w:tentative="1">
      <w:start w:val="1"/>
      <w:numFmt w:val="lowerLetter"/>
      <w:lvlText w:val="%2."/>
      <w:lvlJc w:val="left"/>
      <w:pPr>
        <w:ind w:left="1440" w:hanging="360"/>
      </w:pPr>
    </w:lvl>
    <w:lvl w:ilvl="2" w:tplc="18876301" w:tentative="1">
      <w:start w:val="1"/>
      <w:numFmt w:val="lowerRoman"/>
      <w:lvlText w:val="%3."/>
      <w:lvlJc w:val="right"/>
      <w:pPr>
        <w:ind w:left="2160" w:hanging="180"/>
      </w:pPr>
    </w:lvl>
    <w:lvl w:ilvl="3" w:tplc="18876301" w:tentative="1">
      <w:start w:val="1"/>
      <w:numFmt w:val="decimal"/>
      <w:lvlText w:val="%4."/>
      <w:lvlJc w:val="left"/>
      <w:pPr>
        <w:ind w:left="2880" w:hanging="360"/>
      </w:pPr>
    </w:lvl>
    <w:lvl w:ilvl="4" w:tplc="18876301" w:tentative="1">
      <w:start w:val="1"/>
      <w:numFmt w:val="lowerLetter"/>
      <w:lvlText w:val="%5."/>
      <w:lvlJc w:val="left"/>
      <w:pPr>
        <w:ind w:left="3600" w:hanging="360"/>
      </w:pPr>
    </w:lvl>
    <w:lvl w:ilvl="5" w:tplc="18876301" w:tentative="1">
      <w:start w:val="1"/>
      <w:numFmt w:val="lowerRoman"/>
      <w:lvlText w:val="%6."/>
      <w:lvlJc w:val="right"/>
      <w:pPr>
        <w:ind w:left="4320" w:hanging="180"/>
      </w:pPr>
    </w:lvl>
    <w:lvl w:ilvl="6" w:tplc="18876301" w:tentative="1">
      <w:start w:val="1"/>
      <w:numFmt w:val="decimal"/>
      <w:lvlText w:val="%7."/>
      <w:lvlJc w:val="left"/>
      <w:pPr>
        <w:ind w:left="5040" w:hanging="360"/>
      </w:pPr>
    </w:lvl>
    <w:lvl w:ilvl="7" w:tplc="18876301" w:tentative="1">
      <w:start w:val="1"/>
      <w:numFmt w:val="lowerLetter"/>
      <w:lvlText w:val="%8."/>
      <w:lvlJc w:val="left"/>
      <w:pPr>
        <w:ind w:left="5760" w:hanging="360"/>
      </w:pPr>
    </w:lvl>
    <w:lvl w:ilvl="8" w:tplc="18876301" w:tentative="1">
      <w:start w:val="1"/>
      <w:numFmt w:val="lowerRoman"/>
      <w:lvlText w:val="%9."/>
      <w:lvlJc w:val="right"/>
      <w:pPr>
        <w:ind w:left="6480" w:hanging="180"/>
      </w:pPr>
    </w:lvl>
  </w:abstractNum>
  <w:abstractNum w:abstractNumId="41918790">
    <w:multiLevelType w:val="hybridMultilevel"/>
    <w:lvl w:ilvl="0" w:tplc="15406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18790">
    <w:abstractNumId w:val="41918790"/>
  </w:num>
  <w:num w:numId="41918791">
    <w:abstractNumId w:val="419187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0244373" Type="http://schemas.microsoft.com/office/2011/relationships/commentsExtended" Target="commentsExtended.xml"/><Relationship Id="rId395807402" Type="http://schemas.microsoft.com/office/2011/relationships/people" Target="people.xml"/><Relationship Id="rId7518662b5e1222815" Type="http://schemas.openxmlformats.org/officeDocument/2006/relationships/hyperlink" Target="https://gd.eppo.int/taxon/DACUCI/" TargetMode="External"/><Relationship Id="rId2203662b5e1222891" Type="http://schemas.openxmlformats.org/officeDocument/2006/relationships/hyperlink" Target="https://gd.eppo.int/taxon/DACUCI/categorization" TargetMode="External"/><Relationship Id="rId2205662b5e1222d25" Type="http://schemas.openxmlformats.org/officeDocument/2006/relationships/hyperlink" Target="https://gd.eppo.int/taxon/DACUCI/photos" TargetMode="External"/><Relationship Id="rId8823662b5e12245ed" Type="http://schemas.openxmlformats.org/officeDocument/2006/relationships/hyperlink" Target="http://www.boldsystems.org/index.php/Taxbrowser_Taxonpage?taxon=Dacus+ciliatus&amp;searchTax=" TargetMode="External"/><Relationship Id="rId3895662b5e122461d" Type="http://schemas.openxmlformats.org/officeDocument/2006/relationships/hyperlink" Target="https://qbank.eppo.int/arthropods/taxon/DACUCI/" TargetMode="External"/><Relationship Id="rId6038662b5e1224cc4" Type="http://schemas.openxmlformats.org/officeDocument/2006/relationships/hyperlink" Target="https://doi.org/10.2903/j.efsa.2020.5931" TargetMode="External"/><Relationship Id="rId5227662b5e1224f35" Type="http://schemas.openxmlformats.org/officeDocument/2006/relationships/hyperlink" Target="https://coffhi.cphst.org/" TargetMode="External"/><Relationship Id="rId4832662b5e12253c9" Type="http://schemas.openxmlformats.org/officeDocument/2006/relationships/hyperlink" Target="http://www.cabi.org/isc/datasheet/17682" TargetMode="External"/><Relationship Id="rId8686662b5e122552b" Type="http://schemas.openxmlformats.org/officeDocument/2006/relationships/hyperlink" Target="https://gd.eppo.int" TargetMode="External"/><Relationship Id="rId2268662b5e12256dd" Type="http://schemas.openxmlformats.org/officeDocument/2006/relationships/hyperlink" Target="https://doi.org/10.1111/j.1365-2338.1983.tb01715.x" TargetMode="External"/><Relationship Id="rId4557662b5e1222c2f" Type="http://schemas.openxmlformats.org/officeDocument/2006/relationships/image" Target="media/imgrId4557662b5e1222c2f.jpg"/><Relationship Id="rId1696662b5e1223e25" Type="http://schemas.openxmlformats.org/officeDocument/2006/relationships/image" Target="media/imgrId1696662b5e1223e25.jpg"/><Relationship Id="rId1308662b5e122589c" Type="http://schemas.openxmlformats.org/officeDocument/2006/relationships/image" Target="media/imgrId1308662b5e122589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