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Crassula helmsii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Crassula helmsii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(Kirk) Cockayne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Saxifragales: Crassulaceae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Bulliardia recurva</w:t>
            </w:r>
            <w:r>
              <w:rPr>
                <w:rFonts w:ascii="Calibri" w:hAnsi="Calibri" w:eastAsia="Calibri" w:cs="Calibri"/>
                <w:color w:val="000000"/>
                <w:position w:val="-3"/>
                <w:sz w:val="22"/>
                <w:szCs w:val="22"/>
              </w:rPr>
              <w:t xml:space="preserve"> Hook.f., </w:t>
            </w:r>
            <w:r>
              <w:rPr>
                <w:rFonts w:ascii="Calibri" w:hAnsi="Calibri" w:eastAsia="Calibri" w:cs="Calibri"/>
                <w:i/>
                <w:iCs/>
                <w:color w:val="000000"/>
                <w:position w:val="-3"/>
                <w:sz w:val="22"/>
                <w:szCs w:val="22"/>
              </w:rPr>
              <w:t xml:space="preserve">Crassula recurva</w:t>
            </w:r>
            <w:r>
              <w:rPr>
                <w:rFonts w:ascii="Calibri" w:hAnsi="Calibri" w:eastAsia="Calibri" w:cs="Calibri"/>
                <w:color w:val="000000"/>
                <w:position w:val="-3"/>
                <w:sz w:val="22"/>
                <w:szCs w:val="22"/>
              </w:rPr>
              <w:t xml:space="preserve"> (Hook.f.) Ostenf., </w:t>
            </w:r>
            <w:r>
              <w:rPr>
                <w:rFonts w:ascii="Calibri" w:hAnsi="Calibri" w:eastAsia="Calibri" w:cs="Calibri"/>
                <w:i/>
                <w:iCs/>
                <w:color w:val="000000"/>
                <w:position w:val="-3"/>
                <w:sz w:val="22"/>
                <w:szCs w:val="22"/>
              </w:rPr>
              <w:t xml:space="preserve">Tillaea helmsii</w:t>
            </w:r>
            <w:r>
              <w:rPr>
                <w:rFonts w:ascii="Calibri" w:hAnsi="Calibri" w:eastAsia="Calibri" w:cs="Calibri"/>
                <w:color w:val="000000"/>
                <w:position w:val="-3"/>
                <w:sz w:val="22"/>
                <w:szCs w:val="22"/>
              </w:rPr>
              <w:t xml:space="preserve"> Kirk, </w:t>
            </w:r>
            <w:r>
              <w:rPr>
                <w:rFonts w:ascii="Calibri" w:hAnsi="Calibri" w:eastAsia="Calibri" w:cs="Calibri"/>
                <w:i/>
                <w:iCs/>
                <w:color w:val="000000"/>
                <w:position w:val="-3"/>
                <w:sz w:val="22"/>
                <w:szCs w:val="22"/>
              </w:rPr>
              <w:t xml:space="preserve">Tillaea recurva</w:t>
            </w:r>
            <w:r>
              <w:rPr>
                <w:rFonts w:ascii="Calibri" w:hAnsi="Calibri" w:eastAsia="Calibri" w:cs="Calibri"/>
                <w:color w:val="000000"/>
                <w:position w:val="-3"/>
                <w:sz w:val="22"/>
                <w:szCs w:val="22"/>
              </w:rPr>
              <w:t xml:space="preserve"> Hook.f.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Australian stonecrop, New Zealand pigmyweed, swamp stonecrop</w:t>
            </w:r>
            <w:hyperlink r:id="rId31576a1f1acf4c70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9456a1f1acf4c76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CSBHE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559645" name="name72976a1f1acf4d05e" descr="3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66.jpg"/>
                          <pic:cNvPicPr/>
                        </pic:nvPicPr>
                        <pic:blipFill>
                          <a:blip r:embed="rId58556a1f1acf4d05c" cstate="print"/>
                          <a:stretch>
                            <a:fillRect/>
                          </a:stretch>
                        </pic:blipFill>
                        <pic:spPr>
                          <a:xfrm>
                            <a:off x="0" y="0"/>
                            <a:ext cx="2160000" cy="1281600"/>
                          </a:xfrm>
                          <a:prstGeom prst="rect">
                            <a:avLst/>
                          </a:prstGeom>
                          <a:ln w="0">
                            <a:noFill/>
                          </a:ln>
                        </pic:spPr>
                      </pic:pic>
                    </a:graphicData>
                  </a:graphic>
                </wp:inline>
              </w:drawing>
            </w:r>
            <w:hyperlink r:id="rId67536a1f1acf4d1e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In trade,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is also known under the incorrect name of </w:t>
      </w:r>
      <w:r>
        <w:rPr>
          <w:rFonts w:ascii="Calibri" w:hAnsi="Calibri" w:eastAsia="Calibri" w:cs="Calibri"/>
          <w:i/>
          <w:iCs/>
          <w:color w:val="000000"/>
          <w:sz w:val="22"/>
          <w:szCs w:val="22"/>
        </w:rPr>
        <w:t xml:space="preserve">Tillaea recurva</w:t>
      </w:r>
      <w:r>
        <w:rPr>
          <w:rFonts w:ascii="Calibri" w:hAnsi="Calibri" w:eastAsia="Calibri" w:cs="Calibri"/>
          <w:color w:val="000000"/>
          <w:sz w:val="22"/>
          <w:szCs w:val="22"/>
        </w:rPr>
        <w:t xml:space="preserve"> and as </w:t>
      </w:r>
      <w:r>
        <w:rPr>
          <w:rFonts w:ascii="Calibri" w:hAnsi="Calibri" w:eastAsia="Calibri" w:cs="Calibri"/>
          <w:i/>
          <w:iCs/>
          <w:color w:val="000000"/>
          <w:sz w:val="22"/>
          <w:szCs w:val="22"/>
        </w:rPr>
        <w:t xml:space="preserve">Crassula recurva.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Note on geographical distribution: information reporting the presence of</w:t>
      </w:r>
      <w:r>
        <w:rPr>
          <w:rFonts w:ascii="Calibri" w:hAnsi="Calibri" w:eastAsia="Calibri" w:cs="Calibri"/>
          <w:i/>
          <w:iCs/>
          <w:color w:val="000000"/>
          <w:sz w:val="22"/>
          <w:szCs w:val="22"/>
        </w:rPr>
        <w:t xml:space="preserve"> C. helmsii</w:t>
      </w:r>
      <w:r>
        <w:rPr>
          <w:rFonts w:ascii="Calibri" w:hAnsi="Calibri" w:eastAsia="Calibri" w:cs="Calibri"/>
          <w:color w:val="000000"/>
          <w:sz w:val="22"/>
          <w:szCs w:val="22"/>
        </w:rPr>
        <w:t xml:space="preserve"> in Portugal has been invalidated.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is a native species of Australia and New Zealand and is reported to be invasive or potentially invasive in Florida and North Carolina.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locally present in Austria, Denmark (reported in Denmark in 2003; NOBANIS, 2005), France, Germany (first reported in the early 1980s, now found locally in Hessen, Mecklenburg-Vorpommern, Niedersachsen, Nordrhein-Westfalen, Rheinland-Pfalz, Schleswig-Holstein), Ireland, Spain, and widespread in Belgium (Flanders) and the Netherlands (first found in 1995 and 1996 in a nature reserve near Breda).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widespread in the British Isles where it has been the most studied (first found in the 1950s in Greensted Pond, Essex, England). This includes Alderney, Guernsey (first noted in 1986) (1989), and Northern Ireland (1984, in a pool at Gosford). In England, it was introduced from Tasmania in 1911 and was sold in the 1920s, but was only reported in the wild in 1956. Since its initial introduction into the United Kingdom, the number of sites invaded by the plant has increased year on year.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currently known in over 1 000 sites in the British Isles (Watson, 2001). Dawson (1994) predicted that the majority of temporary and permanent ponds and that some drainage channels and streams in the United Kingdom and northern Europe would be rapidly invaded. Studies of genetic variation of isoenzymes suggest that only one introduction was made into Britain, and that plants growing along the River Murray are the likely source of the British population (Dawson, 1994).</w:t>
      </w:r>
    </w:p>
    <w:p>
      <w:r>
        <w:drawing>
          <wp:inline distT="0" distB="0" distL="0" distR="0">
            <wp:extent cx="6120000" cy="3067200"/>
            <wp:docPr id="96339962" name="name29156a1f1acf4e12a" descr="CSBH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BHE_distribution_map.jpg"/>
                    <pic:cNvPicPr/>
                  </pic:nvPicPr>
                  <pic:blipFill>
                    <a:blip r:embed="rId57646a1f1acf4e12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Denmark, France (mainland), Germany, Ireland, Netherlands, Spain (mainland), United Kingdom (Channel Islands, England, Northern Ireland)</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is an aquatic and semiterrestrial plant, herbaceous and perennial.</w:t>
      </w:r>
    </w:p>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an aquatic or semiterrestrial succulent perennial herb, with round stems of 10–30 cm long, floating or creeping (with roots forming at the nodes) (Figs 1 &amp; 2). Leaves are opposite, sessile and succulent (4–20 mm long, 0.7–1.6 mm wide), linear-lanceolate to ovate-lanceolate, acute. White or pinkish flowers are borne singly in the axils of leaves (diameter 3–3.5 mm) and are numerous. Petals are slightly longer than the sepals. Fruits are follicles containing two to five elliptical and smooth seeds (0.5 mm long).</w:t>
      </w:r>
    </w:p>
    <w:p>
      <w:pPr>
        <w:widowControl w:val="on"/>
        <w:pBdr/>
        <w:spacing w:before="220" w:after="220" w:line="240" w:lineRule="auto"/>
        <w:ind w:left="0" w:right="0"/>
        <w:jc w:val="both"/>
      </w:pPr>
      <w:r>
        <w:rPr>
          <w:rFonts w:ascii="Calibri" w:hAnsi="Calibri" w:eastAsia="Calibri" w:cs="Calibri"/>
          <w:color w:val="000000"/>
          <w:sz w:val="22"/>
          <w:szCs w:val="22"/>
        </w:rPr>
        <w:t xml:space="preserve">A close relative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Crassula aquatica</w:t>
      </w:r>
      <w:r>
        <w:rPr>
          <w:rFonts w:ascii="Calibri" w:hAnsi="Calibri" w:eastAsia="Calibri" w:cs="Calibri"/>
          <w:color w:val="000000"/>
          <w:sz w:val="22"/>
          <w:szCs w:val="22"/>
        </w:rPr>
        <w:t xml:space="preserve">. The two species are easily distinguished by the size and position of their flowers. </w:t>
      </w:r>
      <w:r>
        <w:rPr>
          <w:rFonts w:ascii="Calibri" w:hAnsi="Calibri" w:eastAsia="Calibri" w:cs="Calibri"/>
          <w:i/>
          <w:iCs/>
          <w:color w:val="000000"/>
          <w:sz w:val="22"/>
          <w:szCs w:val="22"/>
        </w:rPr>
        <w:t xml:space="preserve">C. aquatica</w:t>
      </w:r>
      <w:r>
        <w:rPr>
          <w:rFonts w:ascii="Calibri" w:hAnsi="Calibri" w:eastAsia="Calibri" w:cs="Calibri"/>
          <w:color w:val="000000"/>
          <w:sz w:val="22"/>
          <w:szCs w:val="22"/>
        </w:rPr>
        <w:t xml:space="preserve"> is the smaller of the two, rarely exceeding 6 cm in height, with leaves 4–6 mm long and flowers sessile in the leaf axils.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frequently seen at sizes of up to 40 cm in length and its flowers are produced on pedicels (Dawson &amp; Warman,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submerged stems of some </w:t>
      </w:r>
      <w:r>
        <w:rPr>
          <w:rFonts w:ascii="Calibri" w:hAnsi="Calibri" w:eastAsia="Calibri" w:cs="Calibri"/>
          <w:i/>
          <w:iCs/>
          <w:color w:val="000000"/>
          <w:sz w:val="22"/>
          <w:szCs w:val="22"/>
        </w:rPr>
        <w:t xml:space="preserve">Callitriche </w:t>
      </w:r>
      <w:r>
        <w:rPr>
          <w:rFonts w:ascii="Calibri" w:hAnsi="Calibri" w:eastAsia="Calibri" w:cs="Calibri"/>
          <w:color w:val="000000"/>
          <w:sz w:val="22"/>
          <w:szCs w:val="22"/>
        </w:rPr>
        <w:t xml:space="preserve">species may be mistaken for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but stems of the former are often waterborne and are never emergent. Leaves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are connate at the base and acute at the tip, whereas in </w:t>
      </w:r>
      <w:r>
        <w:rPr>
          <w:rFonts w:ascii="Calibri" w:hAnsi="Calibri" w:eastAsia="Calibri" w:cs="Calibri"/>
          <w:i/>
          <w:iCs/>
          <w:color w:val="000000"/>
          <w:sz w:val="22"/>
          <w:szCs w:val="22"/>
        </w:rPr>
        <w:t xml:space="preserve">Callitriche </w:t>
      </w:r>
      <w:r>
        <w:rPr>
          <w:rFonts w:ascii="Calibri" w:hAnsi="Calibri" w:eastAsia="Calibri" w:cs="Calibri"/>
          <w:color w:val="000000"/>
          <w:sz w:val="22"/>
          <w:szCs w:val="22"/>
        </w:rPr>
        <w:t xml:space="preserve">spp. leaves are not connate, with emarginate to spanner-shaped leaf-tips (Dawson &amp; Warman,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occurs in different growth forms (Dawson &amp; Warman, 1987). The terrestrial form has creeping or erect stems and aerial leaves which are yellowish-green in colour and succulent in appearance. The emergent form usually grows as stands of short densely packed stems in water of 0.6 m or less in depth. The submerged form grows from a basal rosette well rooted at the base with long sparsely leaved stems which may reach the water surface. The three forms change according to prevailing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assimilates CO</w:t>
      </w:r>
      <w:r>
        <w:rPr>
          <w:rFonts w:ascii="Calibri" w:hAnsi="Calibri" w:eastAsia="Calibri" w:cs="Calibri"/>
          <w:color w:val="000000"/>
          <w:position w:val="-4"/>
          <w:sz w:val="22"/>
          <w:szCs w:val="22"/>
          <w:vertAlign w:val="subscript"/>
          <w:vertAlign w:val="subscript"/>
        </w:rPr>
        <w:t xml:space="preserve">²</w:t>
      </w:r>
      <w:r>
        <w:rPr>
          <w:rFonts w:ascii="Calibri" w:hAnsi="Calibri" w:eastAsia="Calibri" w:cs="Calibri"/>
          <w:color w:val="000000"/>
          <w:sz w:val="22"/>
          <w:szCs w:val="22"/>
        </w:rPr>
        <w:t xml:space="preserve"> for 20 h of the day when submerged due to the possession of crassulacean acid metabolism and can therefore grow throughout the year. There is no dormant period. Such a metabolic adaptation confers an advantage for plants growing where the supply of inorganic carbon for photosynthesis is deficient or limited during the day (Dawson &amp; Warman, 1987).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and New Zealand,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flowers in November and December, while in New Zealand the flowering continues to February. In Europe, flowers appear between July and September. Seed germination in a laboratory setting, from various populations in western Europe, has been recorded , although germination percentage was generally low. The contribution of seeds to spread is considered very limited for this species which principally spreads by fragmentation (D’hondt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dispersal is mainly ensured by vegetative reproduction. Small fragments (as small as a single node on 10 mm of stem) can produce new plants. These small fragments are readily transported by water, mud or wildlife to new sites (Denys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addition, asexual reproduction is achieved via the production in autumn (in the United Kingdom) of short shoots with very short internodes called turions. The turions are produced apically, and float around the water surface.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has the ability to produce roots and lateral shoots from many of its nodes, particularly when stressed. The plant forms a 100% cover and is winter green, enabling it to outpace native species which die back each winter (Huckle,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aquatic plant colonizes inland wetlands (marshes, peat bogs), coastal wetlands, inland water bodies and their banks, riverbanks/canal sides, dry river beds and muddy margins of ponds. Within its native range,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inhabits marginal situations in many riverine habitats; however, within the United Kingdom the plant has not effectively made the transition from static or slow-flowing systems to more demanding habitats such as river margins. Studies have shown that the biomass production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in artificial stream systems is greater than for other species, including the invasive plant</w:t>
      </w:r>
      <w:r>
        <w:rPr>
          <w:rFonts w:ascii="Calibri" w:hAnsi="Calibri" w:eastAsia="Calibri" w:cs="Calibri"/>
          <w:i/>
          <w:iCs/>
          <w:color w:val="000000"/>
          <w:sz w:val="22"/>
          <w:szCs w:val="22"/>
        </w:rPr>
        <w:t xml:space="preserve"> Elodea canadensis</w:t>
      </w:r>
      <w:r>
        <w:rPr>
          <w:rFonts w:ascii="Calibri" w:hAnsi="Calibri" w:eastAsia="Calibri" w:cs="Calibri"/>
          <w:color w:val="000000"/>
          <w:sz w:val="22"/>
          <w:szCs w:val="22"/>
        </w:rPr>
        <w:t xml:space="preserve"> (Dawson &amp; Warman, 1987), highlighting the potential of this plant to colonize river systems (Leach &amp; Dawson,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w:t>
      </w:r>
      <w:r>
        <w:rPr>
          <w:rFonts w:ascii="Calibri" w:hAnsi="Calibri" w:eastAsia="Calibri" w:cs="Calibri"/>
          <w:i/>
          <w:iCs/>
          <w:color w:val="000000"/>
          <w:sz w:val="22"/>
          <w:szCs w:val="22"/>
        </w:rPr>
        <w:t xml:space="preserve"> C. helmsii</w:t>
      </w:r>
      <w:r>
        <w:rPr>
          <w:rFonts w:ascii="Calibri" w:hAnsi="Calibri" w:eastAsia="Calibri" w:cs="Calibri"/>
          <w:color w:val="000000"/>
          <w:sz w:val="22"/>
          <w:szCs w:val="22"/>
        </w:rPr>
        <w:t xml:space="preserve"> in Australia and Europe shows that the species is suited to a wide variety of freshwater habitats. It grows on damp ground from 0.5 m above water level down to depths of 3 m.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has been found in ponds and lakes with natural water chemistry ranging from acid to alkaline, and the plant has also been recorded in semisaline sites (Centre for Ecology and Hydrology Dorset, 2002). In its native area,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inhabits water bodies over a wide range of climates.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seems to be confined to areas that have levels of precipitation from 100 to 550 mm in summer (November–April) and 200–3000 mm in winter (May–October). Its temperature requirements are restricted to a summer range of 20–25°C and a winter range of 0–15°C including extended periods under snow. In its native range it inhabits a wide range of climatic variation, from a mean temperature of 30°C in summer to −6°C in winter (Huckle, 2005), and can tolerate drying for extended periods. The climate in the British Isles falls well within these limits, providing the plant with optimal growing conditions. In the United Kingdom, the plant has been found at a range of altitudes from sea level to 278 m (Leach &amp; Dawson, 1999). In general the climatic requirements for the species match the Atlantic biogeographical region and some parts of the Continental biogeographical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sold in garden centres and nurseries as a submerged oxygenating plant for aquaria and ponds.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dispersal</w:t>
      </w:r>
    </w:p>
    <w:p>
      <w:pPr>
        <w:widowControl w:val="on"/>
        <w:pBdr/>
        <w:spacing w:before="220" w:after="220" w:line="240" w:lineRule="auto"/>
        <w:ind w:left="0" w:right="0"/>
        <w:jc w:val="left"/>
      </w:pPr>
      <w:r>
        <w:rPr>
          <w:rFonts w:ascii="Calibri" w:hAnsi="Calibri" w:eastAsia="Calibri" w:cs="Calibri"/>
          <w:color w:val="000000"/>
          <w:sz w:val="22"/>
          <w:szCs w:val="22"/>
        </w:rPr>
        <w:t xml:space="preserve">Local dispersal is mainly ensured by vegetative reproduction. Plant parts (even single nodes on stem fragments of 10 mm in length) can generate new plants and are transported by flowing water and mud. It can also be spread by attaching to animals (cattle) or ingestion and subsequent excretion (e.g. geese).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can be accidentally dispersed by human activities by escaping from garden centres, by transfer from pond to pond by anglers and their equipment (on fishing kit, waders, etc.), by boats, by children pond dipping (Leach &amp; Dawson, 1999) and on footwear  (Watson,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Movement in trade </w:t>
      </w:r>
    </w:p>
    <w:p>
      <w:pPr>
        <w:widowControl w:val="on"/>
        <w:pBdr/>
        <w:spacing w:before="220" w:after="220" w:line="240" w:lineRule="auto"/>
        <w:ind w:left="0" w:right="0"/>
        <w:jc w:val="both"/>
      </w:pPr>
      <w:r>
        <w:rPr>
          <w:rFonts w:ascii="Calibri" w:hAnsi="Calibri" w:eastAsia="Calibri" w:cs="Calibri"/>
          <w:color w:val="000000"/>
          <w:sz w:val="22"/>
          <w:szCs w:val="22"/>
        </w:rPr>
        <w:t xml:space="preserve">The key pathway is its intentional introduction as an ornamental plant for aquaria and garden ponds. Plants are transferred by human activities from these intended habitats to unintended habitats. In addition,</w:t>
      </w:r>
      <w:r>
        <w:rPr>
          <w:rFonts w:ascii="Calibri" w:hAnsi="Calibri" w:eastAsia="Calibri" w:cs="Calibri"/>
          <w:i/>
          <w:iCs/>
          <w:color w:val="000000"/>
          <w:sz w:val="22"/>
          <w:szCs w:val="22"/>
        </w:rPr>
        <w:t xml:space="preserve"> C. helmsii</w:t>
      </w:r>
      <w:r>
        <w:rPr>
          <w:rFonts w:ascii="Calibri" w:hAnsi="Calibri" w:eastAsia="Calibri" w:cs="Calibri"/>
          <w:color w:val="000000"/>
          <w:sz w:val="22"/>
          <w:szCs w:val="22"/>
        </w:rPr>
        <w:t xml:space="preserve"> is often found as a ‘contaminant’ with other traded water plants (Environment Agency,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Crassula helsmii</w:t>
      </w:r>
      <w:r>
        <w:rPr>
          <w:rFonts w:ascii="Calibri" w:hAnsi="Calibri" w:eastAsia="Calibri" w:cs="Calibri"/>
          <w:color w:val="000000"/>
          <w:sz w:val="22"/>
          <w:szCs w:val="22"/>
        </w:rPr>
        <w:t xml:space="preserve"> causes major problems in nature reserves and recreation areas by forming a 100% cover and smothering other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Its impact on flora is not easily predictable. A study in north-west England suggests that there is no net reduction in the numbers of plant species, but there is a reduction in germination rates of native species, an increase in the proportion of emergent or marginal species and a reduction in aquatic species of open water. Smaller marginal plants such as some water </w:t>
      </w:r>
      <w:r>
        <w:rPr>
          <w:rFonts w:ascii="Calibri" w:hAnsi="Calibri" w:eastAsia="Calibri" w:cs="Calibri"/>
          <w:i/>
          <w:iCs/>
          <w:color w:val="000000"/>
          <w:sz w:val="22"/>
          <w:szCs w:val="22"/>
        </w:rPr>
        <w:t xml:space="preserve">Callitriche </w:t>
      </w:r>
      <w:r>
        <w:rPr>
          <w:rFonts w:ascii="Calibri" w:hAnsi="Calibri" w:eastAsia="Calibri" w:cs="Calibri"/>
          <w:color w:val="000000"/>
          <w:sz w:val="22"/>
          <w:szCs w:val="22"/>
        </w:rPr>
        <w:t xml:space="preserve">spp. seem likely to be smothered, and competition for space seems likely to cause a reduction in green algae of the class Charophyceae (Huckle, 2005). Similar observations have been made in Ireland, Belgium, the Netherlands and Germany (Van der Loop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starfruit </w:t>
      </w:r>
      <w:r>
        <w:rPr>
          <w:rFonts w:ascii="Calibri" w:hAnsi="Calibri" w:eastAsia="Calibri" w:cs="Calibri"/>
          <w:i/>
          <w:iCs/>
          <w:color w:val="000000"/>
          <w:sz w:val="22"/>
          <w:szCs w:val="22"/>
        </w:rPr>
        <w:t xml:space="preserve">Damasonium alisma</w:t>
      </w:r>
      <w:r>
        <w:rPr>
          <w:rFonts w:ascii="Calibri" w:hAnsi="Calibri" w:eastAsia="Calibri" w:cs="Calibri"/>
          <w:color w:val="000000"/>
          <w:sz w:val="22"/>
          <w:szCs w:val="22"/>
        </w:rPr>
        <w:t xml:space="preserve">, one of the rarest plants in the United Kingdom, is thought to be threatened by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(Watson, 2001). Leach &amp; Dawson (1999) state that in an artificially managed lake (Priors Down Lake, Stalbridge, Dorset, UK), evidence suggests that changes in floral dominance have occurred, with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excluding </w:t>
      </w:r>
      <w:r>
        <w:rPr>
          <w:rFonts w:ascii="Calibri" w:hAnsi="Calibri" w:eastAsia="Calibri" w:cs="Calibri"/>
          <w:i/>
          <w:iCs/>
          <w:color w:val="000000"/>
          <w:sz w:val="22"/>
          <w:szCs w:val="22"/>
        </w:rPr>
        <w:t xml:space="preserve">Ludwigia palustris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Galium debile</w:t>
      </w:r>
      <w:r>
        <w:rPr>
          <w:rFonts w:ascii="Calibri" w:hAnsi="Calibri" w:eastAsia="Calibri" w:cs="Calibri"/>
          <w:color w:val="000000"/>
          <w:sz w:val="22"/>
          <w:szCs w:val="22"/>
        </w:rPr>
        <w:t xml:space="preserve"> (Dawson &amp; Warman, 1987). </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investigation at a well-monitored pond on Castlemorton Common Site of Special Scientific Interest, near Malvern in Worcestershire (England) found evidence that</w:t>
      </w:r>
      <w:r>
        <w:rPr>
          <w:rFonts w:ascii="Calibri" w:hAnsi="Calibri" w:eastAsia="Calibri" w:cs="Calibri"/>
          <w:i/>
          <w:iCs/>
          <w:color w:val="000000"/>
          <w:sz w:val="22"/>
          <w:szCs w:val="22"/>
        </w:rPr>
        <w:t xml:space="preserve"> C. helmsii </w:t>
      </w:r>
      <w:r>
        <w:rPr>
          <w:rFonts w:ascii="Calibri" w:hAnsi="Calibri" w:eastAsia="Calibri" w:cs="Calibri"/>
          <w:color w:val="000000"/>
          <w:sz w:val="22"/>
          <w:szCs w:val="22"/>
        </w:rPr>
        <w:t xml:space="preserve">was also affecting the breeding success of the specially protected great crested newt </w:t>
      </w:r>
      <w:r>
        <w:rPr>
          <w:rFonts w:ascii="Calibri" w:hAnsi="Calibri" w:eastAsia="Calibri" w:cs="Calibri"/>
          <w:i/>
          <w:iCs/>
          <w:color w:val="000000"/>
          <w:sz w:val="22"/>
          <w:szCs w:val="22"/>
        </w:rPr>
        <w:t xml:space="preserve">Triturus cristatus</w:t>
      </w:r>
      <w:r>
        <w:rPr>
          <w:rFonts w:ascii="Calibri" w:hAnsi="Calibri" w:eastAsia="Calibri" w:cs="Calibri"/>
          <w:color w:val="000000"/>
          <w:sz w:val="22"/>
          <w:szCs w:val="22"/>
        </w:rPr>
        <w:t xml:space="preserve"> (Watson, 1999).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other possible implications for wildlife. One study in England has shown a significant reduction in the population of the diatom </w:t>
      </w:r>
      <w:r>
        <w:rPr>
          <w:rFonts w:ascii="Calibri" w:hAnsi="Calibri" w:eastAsia="Calibri" w:cs="Calibri"/>
          <w:i/>
          <w:iCs/>
          <w:color w:val="000000"/>
          <w:sz w:val="22"/>
          <w:szCs w:val="22"/>
        </w:rPr>
        <w:t xml:space="preserve">Synedra delicatissima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although the precise mechanism of this impact is unclear. As freshwater algae provide food for many invertebrates, this kind of effect may have a serious impact on freshwater invertebrate 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mats formed by the plant choke ponds and drainage ditches. Strongly invaded waters lose their attractiveness for recreation and flooding may be caused. The mats can be dangerous to pets, livestock and children who mistake them for dry land. </w:t>
      </w:r>
    </w:p>
    <w:p>
      <w:pPr>
        <w:widowControl w:val="on"/>
        <w:pBdr/>
        <w:spacing w:before="220" w:after="220" w:line="240" w:lineRule="auto"/>
        <w:ind w:left="0" w:right="0"/>
        <w:jc w:val="both"/>
      </w:pPr>
      <w:r>
        <w:rPr>
          <w:rFonts w:ascii="Calibri" w:hAnsi="Calibri" w:eastAsia="Calibri" w:cs="Calibri"/>
          <w:color w:val="000000"/>
          <w:sz w:val="22"/>
          <w:szCs w:val="22"/>
        </w:rPr>
        <w:t xml:space="preserve">One recent estimate puts the cost of control of</w:t>
      </w:r>
      <w:r>
        <w:rPr>
          <w:rFonts w:ascii="Calibri" w:hAnsi="Calibri" w:eastAsia="Calibri" w:cs="Calibri"/>
          <w:i/>
          <w:iCs/>
          <w:color w:val="000000"/>
          <w:sz w:val="22"/>
          <w:szCs w:val="22"/>
        </w:rPr>
        <w:t xml:space="preserve"> C. helsmii</w:t>
      </w:r>
      <w:r>
        <w:rPr>
          <w:rFonts w:ascii="Calibri" w:hAnsi="Calibri" w:eastAsia="Calibri" w:cs="Calibri"/>
          <w:color w:val="000000"/>
          <w:sz w:val="22"/>
          <w:szCs w:val="22"/>
        </w:rPr>
        <w:t xml:space="preserve"> at between 1.45 and 3 million EUR based on the treatment of 500 sites over a period of 2–3 years (Leach &amp; Dawson, 1999). ). Likewise management costs to eliminate the species at two Waddenzee islands in the Netherlands amounted to over 4 million EUR  (Van der Loop </w:t>
      </w:r>
      <w:r>
        <w:rPr>
          <w:rFonts w:ascii="Calibri" w:hAnsi="Calibri" w:eastAsia="Calibri" w:cs="Calibri"/>
          <w:i/>
          <w:iCs/>
          <w:color w:val="000000"/>
          <w:sz w:val="22"/>
          <w:szCs w:val="22"/>
        </w:rPr>
        <w:t xml:space="preserve">et al. , </w:t>
      </w:r>
      <w:r>
        <w:rPr>
          <w:rFonts w:ascii="Calibri" w:hAnsi="Calibri" w:eastAsia="Calibri" w:cs="Calibri"/>
          <w:color w:val="000000"/>
          <w:sz w:val="22"/>
          <w:szCs w:val="22"/>
        </w:rPr>
        <w:t xml:space="preserve">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is still sold even though no essential benefit to continuing the trade. Its overall value is minor, and other suitable non-invasive aquarium and pond plant species are available. Continuation of trade, introduction and movement will have negative and irreversible economic and environmental impacts.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Ornamental Aquatic Trade Organization (OATO, 2003) recommends to its members that the plant should not be sold anymore. Control is more effective at early stage of infestation. Sites should be monitored regularly at intervals of 3–6 months for at least five years following an apparent elimination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Treated and adjacent areas must be carefully examined for developing shoots or small buried rhizomes.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choice of methods depends on the growth form and extent of the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stand but also on the extent of native vegetation that remains within the site. </w:t>
      </w:r>
    </w:p>
    <w:p>
      <w:pPr>
        <w:widowControl w:val="on"/>
        <w:pBdr/>
        <w:spacing w:before="0" w:after="0" w:line="240" w:lineRule="auto"/>
        <w:ind w:left="0" w:right="0"/>
        <w:jc w:val="left"/>
      </w:pPr>
      <w:r>
        <w:rPr>
          <w:rFonts w:ascii="Calibri" w:hAnsi="Calibri" w:eastAsia="Calibri" w:cs="Calibri"/>
          <w:color w:val="000000"/>
          <w:sz w:val="22"/>
          <w:szCs w:val="22"/>
        </w:rPr>
        <w:t xml:space="preserve">
Early and effective treatment saves efforts and preserves native species. The natural seed bank of native species should be considered a resource for their re-establishment.
</w:t>
      </w:r>
    </w:p>
    <w:p>
      <w:pPr>
        <w:widowControl w:val="on"/>
        <w:pBdr/>
        <w:spacing w:before="220" w:after="220" w:line="240" w:lineRule="auto"/>
        <w:ind w:left="0" w:right="0"/>
        <w:jc w:val="left"/>
      </w:pP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t xml:space="preserve">Mechanical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removal, up to 20 cm in depth, is chiefly effective in the context of early identification and rapid response. The effectiveness of this labour-intensive measure varies given that parts are easily missed during manual removal.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excavation of the plants is one option for the elimination or control at dry or drained sites. It is crucial that strict hygiene practices are followed and that all fragments of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are carefully removed. Excavation must be carried out up to a depth of &gt;30 cm and preferably in three stages of approx. 10 cm. The success of the elimination can be increased by filling in the excavated profile with clean sand, thus preventing any remaining fragments from regrowing (van der Loop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tolerant to shade over long periods, to frost and to desiccation, it cannot easily be controlled.</w:t>
      </w:r>
    </w:p>
    <w:p>
      <w:pPr>
        <w:widowControl w:val="on"/>
        <w:pBdr/>
        <w:spacing w:before="220" w:after="220" w:line="240" w:lineRule="auto"/>
        <w:ind w:left="0" w:right="0"/>
        <w:jc w:val="both"/>
      </w:pPr>
      <w:r>
        <w:rPr>
          <w:rFonts w:ascii="Calibri" w:hAnsi="Calibri" w:eastAsia="Calibri" w:cs="Calibri"/>
          <w:color w:val="000000"/>
          <w:sz w:val="22"/>
          <w:szCs w:val="22"/>
        </w:rPr>
        <w:t xml:space="preserve">The burial of the plants is another option for elimination or control. Similar to excavation, the water system must be completely drained and dry. The supply of soil used for the burial is crucial for suppression and the site where the soil used originates from and is stored must be situated outside of the contamination zone. Cross-contamination between contaminated soil and the soil used for burial must be prevented. Cross-contamination of the areas can be prevented by maintaining hygiene practices and keeping transport flows separate. Once an entire affected water body has been covered, the soil must then be left untouched to prevent the regrowth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System-based management focuses on reducing the available nutrients, by limiting the supply of nutrients on the one hand  and increasing competition for nutrients on the other hand. Limiting the supply of nutrients is essential, breaking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dominance in some way is the next step to be followed by encouraging regrowth of desired species be it by active reintroduction or not. Results of field trials so far emphasize that limitation of the nutrient availability is essential, otherwise the method will not work.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On sites with large stands (&gt; 1000 m²), chemical control may prove to be a practical alternative, but would need to be used with great care in the natural environmentand and strict regulations apply in many EPPO member countries.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susceptible to herbicide formulations containing diquat and glyphosate.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studies on a Australian phytophagous, gall-forming mite, </w:t>
      </w:r>
      <w:r>
        <w:rPr>
          <w:rFonts w:ascii="Calibri" w:hAnsi="Calibri" w:eastAsia="Calibri" w:cs="Calibri"/>
          <w:i/>
          <w:iCs/>
          <w:color w:val="000000"/>
          <w:sz w:val="22"/>
          <w:szCs w:val="22"/>
        </w:rPr>
        <w:t xml:space="preserve">Aculus crassulae, </w:t>
      </w:r>
      <w:r>
        <w:rPr>
          <w:rFonts w:ascii="Calibri" w:hAnsi="Calibri" w:eastAsia="Calibri" w:cs="Calibri"/>
          <w:color w:val="000000"/>
          <w:sz w:val="22"/>
          <w:szCs w:val="22"/>
        </w:rPr>
        <w:t xml:space="preserve">have shown it to be highly host specific to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Following the results of these studies approval by competent authorities was given for field trials in the United Kingdom. Infestations of </w:t>
      </w:r>
      <w:r>
        <w:rPr>
          <w:rFonts w:ascii="Calibri" w:hAnsi="Calibri" w:eastAsia="Calibri" w:cs="Calibri"/>
          <w:i/>
          <w:iCs/>
          <w:color w:val="000000"/>
          <w:sz w:val="22"/>
          <w:szCs w:val="22"/>
        </w:rPr>
        <w:t xml:space="preserve">A. crassulae</w:t>
      </w:r>
      <w:r>
        <w:rPr>
          <w:rFonts w:ascii="Calibri" w:hAnsi="Calibri" w:eastAsia="Calibri" w:cs="Calibri"/>
          <w:color w:val="000000"/>
          <w:sz w:val="22"/>
          <w:szCs w:val="22"/>
        </w:rPr>
        <w:t xml:space="preserve"> were shown to cause damage to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populations under field conditions in the United Kingdom. However, in certain habitats where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thrives, the mite does not thrive (Varia et al., 2022: CABI 2024). Field trials have commenced in the Netherlands in September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is listed as a noxious weed in Florida (prohibited aquatic plant, Class 1) and North Carolina (Noxious aquatic weed for which importation, sale, use, culture, collection, transportation, and distribution are regulated) (USDA, 2006) and is also a prohibited invasive species in Minnesota (Minnesota Department of Natural Resources, 2006) although it does not occur in these states. In the EPPO region, the species is reported to be invasive or potentially invasive in Ireland, the United Kingdom, the Netherlands, Belgium, France and Germany. In 2006,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was recommended for regulation in the EPPO region as an A2 pest. Measures can include the obligation to report findings, publicity, surveillance, establishment of an action plan for eradication when the plant is found. In the United Kingdom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has been banned from sale since 2014, and it is also prohibited to sell it in Spain. In Ireland,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included in S.I. No. 477/2011 - European Communities (Birds and Natural Habitats) Regulations 2011. Based on a risk assessment (Van der Loop et al., </w:t>
      </w:r>
      <w:r>
        <w:rPr>
          <w:rFonts w:ascii="Calibri" w:hAnsi="Calibri" w:eastAsia="Calibri" w:cs="Calibri"/>
          <w:b/>
          <w:bCs/>
          <w:color w:val="000000"/>
          <w:sz w:val="22"/>
          <w:szCs w:val="22"/>
        </w:rPr>
        <w:t xml:space="preserve">2019</w:t>
      </w:r>
      <w:r>
        <w:rPr>
          <w:rFonts w:ascii="Calibri" w:hAnsi="Calibri" w:eastAsia="Calibri" w:cs="Calibri"/>
          <w:color w:val="000000"/>
          <w:sz w:val="22"/>
          <w:szCs w:val="22"/>
        </w:rPr>
        <w:t xml:space="preserve">), in July 2025, the European Commission added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to the List of Union (EU) concern, pursuant to </w:t>
      </w:r>
      <w:hyperlink r:id="rId65696a1f1acf4f1cd" w:history="1">
        <w:r>
          <w:rPr>
            <w:rFonts w:ascii="Calibri" w:hAnsi="Calibri" w:eastAsia="Calibri" w:cs="Calibri"/>
            <w:color w:val="0000CC"/>
            <w:sz w:val="22"/>
            <w:szCs w:val="22"/>
            <w:u w:val="single"/>
          </w:rPr>
          <w:t xml:space="preserve">Regulation (EU) no. 1143/2014</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recommends phytosanitary measures for plants for planting (including seed). The measures identified include the prohibition of import into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should be banned from sale in countries within the EPPO region and action to remove it from the natural environment encouraged.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(2024) Progress with Weed Biocontrol Projects. March 2024. https://www.cabi.org/wp-content/uploads/CABI-weed-biocontrol-Public-Summary_March-2024.pdf</w:t>
      </w:r>
    </w:p>
    <w:p>
      <w:pPr>
        <w:widowControl w:val="on"/>
        <w:pBdr/>
        <w:spacing w:before="220" w:after="220" w:line="240" w:lineRule="auto"/>
        <w:ind w:left="0" w:right="0"/>
        <w:jc w:val="left"/>
      </w:pPr>
      <w:r>
        <w:rPr>
          <w:rFonts w:ascii="Calibri" w:hAnsi="Calibri" w:eastAsia="Calibri" w:cs="Calibri"/>
          <w:color w:val="000000"/>
          <w:sz w:val="22"/>
          <w:szCs w:val="22"/>
        </w:rPr>
        <w:t xml:space="preserve">D’hondt B, Denys L, Jambon W, De Wilde, Adriaens T, Packet J, van Valkenburg J (2016) Reproduction of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by seed in western Europe.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125-130.</w:t>
      </w:r>
    </w:p>
    <w:p>
      <w:pPr>
        <w:widowControl w:val="on"/>
        <w:pBdr/>
        <w:spacing w:before="220" w:after="220" w:line="240" w:lineRule="auto"/>
        <w:ind w:left="0" w:right="0"/>
        <w:jc w:val="left"/>
      </w:pPr>
      <w:r>
        <w:rPr>
          <w:rFonts w:ascii="Calibri" w:hAnsi="Calibri" w:eastAsia="Calibri" w:cs="Calibri"/>
          <w:color w:val="000000"/>
          <w:sz w:val="22"/>
          <w:szCs w:val="22"/>
        </w:rPr>
        <w:t xml:space="preserve">Dawson FH (1994) Spread of </w:t>
      </w:r>
      <w:r>
        <w:rPr>
          <w:rFonts w:ascii="Calibri" w:hAnsi="Calibri" w:eastAsia="Calibri" w:cs="Calibri"/>
          <w:i/>
          <w:iCs/>
          <w:color w:val="000000"/>
          <w:sz w:val="22"/>
          <w:szCs w:val="22"/>
        </w:rPr>
        <w:t xml:space="preserve">Crassula helmsii </w:t>
      </w:r>
      <w:r>
        <w:rPr>
          <w:rFonts w:ascii="Calibri" w:hAnsi="Calibri" w:eastAsia="Calibri" w:cs="Calibri"/>
          <w:color w:val="000000"/>
          <w:sz w:val="22"/>
          <w:szCs w:val="22"/>
        </w:rPr>
        <w:t xml:space="preserve">in Britain.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LE, Wade, PM &amp; Brock, JH), pp. 1–13. John Wiley and Sons Ltd,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Dawson FH &amp; Warman EA (1987)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(T. Kirk) Cockayne: Is it an Aggressive Alien Aquatic Plant in Britain?</w:t>
      </w:r>
      <w:r>
        <w:rPr>
          <w:rFonts w:ascii="Calibri" w:hAnsi="Calibri" w:eastAsia="Calibri" w:cs="Calibri"/>
          <w:i/>
          <w:iCs/>
          <w:color w:val="000000"/>
          <w:sz w:val="22"/>
          <w:szCs w:val="22"/>
        </w:rPr>
        <w:t xml:space="preserve"> 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247–272. </w:t>
      </w:r>
    </w:p>
    <w:p>
      <w:pPr>
        <w:widowControl w:val="on"/>
        <w:pBdr/>
        <w:spacing w:before="220" w:after="220" w:line="240" w:lineRule="auto"/>
        <w:ind w:left="0" w:right="0"/>
        <w:jc w:val="left"/>
      </w:pPr>
      <w:r>
        <w:rPr>
          <w:rFonts w:ascii="Calibri" w:hAnsi="Calibri" w:eastAsia="Calibri" w:cs="Calibri"/>
          <w:color w:val="000000"/>
          <w:sz w:val="22"/>
          <w:szCs w:val="22"/>
        </w:rPr>
        <w:t xml:space="preserve">Denys L, Packet J, Jambon W, Scheers K (2014) Dispersal of the non-native invasive species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(Crassulaceae) may involve seeds and endozoochorous transport by birds. </w:t>
      </w:r>
      <w:r>
        <w:rPr>
          <w:rFonts w:ascii="Calibri" w:hAnsi="Calibri" w:eastAsia="Calibri" w:cs="Calibri"/>
          <w:i/>
          <w:iCs/>
          <w:color w:val="000000"/>
          <w:sz w:val="22"/>
          <w:szCs w:val="22"/>
        </w:rPr>
        <w:t xml:space="preserve">New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104-106.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 9/19 (1) Invasive alien aquatic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457-471. </w:t>
      </w:r>
      <w:hyperlink r:id="rId14026a1f1acf4f538" w:history="1">
        <w:r>
          <w:rPr>
            <w:rFonts w:ascii="Calibri" w:hAnsi="Calibri" w:eastAsia="Calibri" w:cs="Calibri"/>
            <w:color w:val="0000CC"/>
            <w:sz w:val="22"/>
            <w:szCs w:val="22"/>
            <w:u w:val="single"/>
          </w:rPr>
          <w:t xml:space="preserve">https://doi.org/10.1111/epp.12165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Environment Agency (2003) </w:t>
      </w:r>
      <w:r>
        <w:rPr>
          <w:rFonts w:ascii="Calibri" w:hAnsi="Calibri" w:eastAsia="Calibri" w:cs="Calibri"/>
          <w:i/>
          <w:iCs/>
          <w:color w:val="000000"/>
          <w:sz w:val="22"/>
          <w:szCs w:val="22"/>
        </w:rPr>
        <w:t xml:space="preserve">Guidance for the Control of Invasive Weeds in or Near Fresh Water</w:t>
      </w:r>
      <w:r>
        <w:rPr>
          <w:rFonts w:ascii="Calibri" w:hAnsi="Calibri" w:eastAsia="Calibri" w:cs="Calibri"/>
          <w:color w:val="000000"/>
          <w:sz w:val="22"/>
          <w:szCs w:val="22"/>
        </w:rPr>
        <w:t xml:space="preserve">. https://gumstool.org.uk/wp-content/uploads/2024/08/guidance-for-the-control-of-invasive-weeds-in-or-near-fresh-water.pdf [accessed in February 2026]</w:t>
      </w:r>
    </w:p>
    <w:p>
      <w:pPr>
        <w:widowControl w:val="on"/>
        <w:pBdr/>
        <w:spacing w:before="220" w:after="220" w:line="240" w:lineRule="auto"/>
        <w:ind w:left="0" w:right="0"/>
        <w:jc w:val="left"/>
      </w:pPr>
      <w:r>
        <w:rPr>
          <w:rFonts w:ascii="Calibri" w:hAnsi="Calibri" w:eastAsia="Calibri" w:cs="Calibri"/>
          <w:color w:val="000000"/>
          <w:sz w:val="22"/>
          <w:szCs w:val="22"/>
        </w:rPr>
        <w:t xml:space="preserve">Leach J &amp; Dawson H (1999)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in the British Isles – an unwelcome invader. </w:t>
      </w:r>
      <w:r>
        <w:rPr>
          <w:rFonts w:ascii="Calibri" w:hAnsi="Calibri" w:eastAsia="Calibri" w:cs="Calibri"/>
          <w:i/>
          <w:iCs/>
          <w:color w:val="000000"/>
          <w:sz w:val="22"/>
          <w:szCs w:val="22"/>
        </w:rPr>
        <w:t xml:space="preserve">British Wildlife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234–239. </w:t>
      </w:r>
    </w:p>
    <w:p>
      <w:pPr>
        <w:widowControl w:val="on"/>
        <w:pBdr/>
        <w:spacing w:before="220" w:after="220" w:line="240" w:lineRule="auto"/>
        <w:ind w:left="0" w:right="0"/>
        <w:jc w:val="left"/>
      </w:pPr>
      <w:r>
        <w:rPr>
          <w:rFonts w:ascii="Calibri" w:hAnsi="Calibri" w:eastAsia="Calibri" w:cs="Calibri"/>
          <w:color w:val="000000"/>
          <w:sz w:val="22"/>
          <w:szCs w:val="22"/>
        </w:rPr>
        <w:t xml:space="preserve">Minnesota Department of Natural Resources (2023) </w:t>
      </w:r>
      <w:r>
        <w:rPr>
          <w:rFonts w:ascii="Calibri" w:hAnsi="Calibri" w:eastAsia="Calibri" w:cs="Calibri"/>
          <w:i/>
          <w:iCs/>
          <w:color w:val="000000"/>
          <w:sz w:val="22"/>
          <w:szCs w:val="22"/>
        </w:rPr>
        <w:t xml:space="preserve">Minnesota Invasive Species Laws. </w:t>
      </w:r>
      <w:r>
        <w:rPr>
          <w:rFonts w:ascii="Calibri" w:hAnsi="Calibri" w:eastAsia="Calibri" w:cs="Calibri"/>
          <w:color w:val="000000"/>
          <w:sz w:val="22"/>
          <w:szCs w:val="22"/>
        </w:rPr>
        <w:t xml:space="preserve">https://www.revisor.mn.gov/rules/6216.0250/ </w:t>
      </w:r>
    </w:p>
    <w:p>
      <w:pPr>
        <w:widowControl w:val="on"/>
        <w:pBdr/>
        <w:spacing w:before="220" w:after="220" w:line="240" w:lineRule="auto"/>
        <w:ind w:left="0" w:right="0"/>
        <w:jc w:val="left"/>
      </w:pPr>
      <w:r>
        <w:rPr>
          <w:rFonts w:ascii="Calibri" w:hAnsi="Calibri" w:eastAsia="Calibri" w:cs="Calibri"/>
          <w:color w:val="000000"/>
          <w:sz w:val="22"/>
          <w:szCs w:val="22"/>
        </w:rPr>
        <w:t xml:space="preserve">OATO (2003) Invasive Plants. http://www.ornamentalfish.org/aquanautconservation/invasiveplants.php [accessed in February 2026]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(2026) Plants Profile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A Berger. Natural Resources. Conservation Service, https://plants.usda.gov/plant-profile/CRHE5 [accessed in February 2026]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Loop JMM, Beringen R, van Valkenburg RSEWJLCH, van Kleef HH, Verhofstad M, &amp; Odé B (2019) Risk assessment of Australian swamp stonecrop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in Europe. FLORON report: 2019.064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Loop JMM, van Kleef HH, van Veenhuisen LS, Lamers LL, Leuven ESEW (2022) The ecosystem resilience approach to control the invasive alien species Australian swamp stonecrop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Restoration Ecology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(3), E13844, </w:t>
      </w:r>
      <w:hyperlink r:id="rId80806a1f1acf4f7ba" w:history="1">
        <w:r>
          <w:rPr>
            <w:rFonts w:ascii="Calibri" w:hAnsi="Calibri" w:eastAsia="Calibri" w:cs="Calibri"/>
            <w:color w:val="0000CC"/>
            <w:sz w:val="22"/>
            <w:szCs w:val="22"/>
            <w:u w:val="single"/>
          </w:rPr>
          <w:t xml:space="preserve">https://doi.org/10.1111/rec.13844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Varia S, Wood SV, Allen RMS &amp; Murphy ST (2022) Assessment of the host-range and impact of the mite, </w:t>
      </w:r>
      <w:r>
        <w:rPr>
          <w:rFonts w:ascii="Calibri" w:hAnsi="Calibri" w:eastAsia="Calibri" w:cs="Calibri"/>
          <w:i/>
          <w:iCs/>
          <w:color w:val="000000"/>
          <w:sz w:val="22"/>
          <w:szCs w:val="22"/>
        </w:rPr>
        <w:t xml:space="preserve">Aculus crassulae</w:t>
      </w:r>
      <w:r>
        <w:rPr>
          <w:rFonts w:ascii="Calibri" w:hAnsi="Calibri" w:eastAsia="Calibri" w:cs="Calibri"/>
          <w:color w:val="000000"/>
          <w:sz w:val="22"/>
          <w:szCs w:val="22"/>
        </w:rPr>
        <w:t xml:space="preserve">, a potential biological control agent for Australian swamp stonecrop,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104854. </w:t>
      </w:r>
      <w:hyperlink r:id="rId33566a1f1acf4f892" w:history="1">
        <w:r>
          <w:rPr>
            <w:rFonts w:ascii="Calibri" w:hAnsi="Calibri" w:eastAsia="Calibri" w:cs="Calibri"/>
            <w:color w:val="0000CC"/>
            <w:sz w:val="22"/>
            <w:szCs w:val="22"/>
            <w:u w:val="single"/>
          </w:rPr>
          <w:t xml:space="preserve">https://doi.org/10.1016/j.biocontrol.2022.104854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Watson WRC (1999) Amphibians and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Froglog. </w:t>
      </w:r>
      <w:r>
        <w:rPr>
          <w:rFonts w:ascii="Calibri" w:hAnsi="Calibri" w:eastAsia="Calibri" w:cs="Calibri"/>
          <w:i/>
          <w:iCs/>
          <w:color w:val="000000"/>
          <w:sz w:val="22"/>
          <w:szCs w:val="22"/>
        </w:rPr>
        <w:t xml:space="preserve">Newsletter of the Declining Amphibian Task Force,</w:t>
      </w:r>
      <w:r>
        <w:rPr>
          <w:rFonts w:ascii="Calibri" w:hAnsi="Calibri" w:eastAsia="Calibri" w:cs="Calibri"/>
          <w:color w:val="000000"/>
          <w:sz w:val="22"/>
          <w:szCs w:val="22"/>
        </w:rPr>
        <w:t xml:space="preserve"> no. 31. </w:t>
      </w:r>
      <w:hyperlink r:id="rId45646a1f1acf4f908" w:history="1">
        <w:r>
          <w:rPr>
            <w:rFonts w:ascii="Calibri" w:hAnsi="Calibri" w:eastAsia="Calibri" w:cs="Calibri"/>
            <w:color w:val="0000CC"/>
            <w:sz w:val="22"/>
            <w:szCs w:val="22"/>
            <w:u w:val="single"/>
          </w:rPr>
          <w:t xml:space="preserve">https://www.iucn-amphibians.org/resources/froglog/froglog/archives/froglog-31/</w:t>
        </w:r>
      </w:hyperlink>
      <w:r>
        <w:rPr>
          <w:rFonts w:ascii="Calibri" w:hAnsi="Calibri" w:eastAsia="Calibri" w:cs="Calibri"/>
          <w:color w:val="000000"/>
          <w:sz w:val="22"/>
          <w:szCs w:val="22"/>
        </w:rPr>
        <w:t xml:space="preserve"> [accessed in February 2026] </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WRC (2001) An unwelcome aquatic invader! </w:t>
      </w:r>
      <w:r>
        <w:rPr>
          <w:rFonts w:ascii="Calibri" w:hAnsi="Calibri" w:eastAsia="Calibri" w:cs="Calibri"/>
          <w:i/>
          <w:iCs/>
          <w:color w:val="000000"/>
          <w:sz w:val="22"/>
          <w:szCs w:val="22"/>
        </w:rPr>
        <w:t xml:space="preserve">Worcestershire Record,</w:t>
      </w:r>
      <w:r>
        <w:rPr>
          <w:rFonts w:ascii="Calibri" w:hAnsi="Calibri" w:eastAsia="Calibri" w:cs="Calibri"/>
          <w:color w:val="000000"/>
          <w:sz w:val="22"/>
          <w:szCs w:val="22"/>
        </w:rPr>
        <w:t xml:space="preserve"> issue 10. http://www.wbrc.org.uk/WorcRecd/Issue10/invader.htm [accessed in February 2026]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Johan Van Valkenburg Netherlands Food and Consumer Product Safety Authority,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EPPO datasheets on pests recommended for regulation. Available online. </w:t>
      </w:r>
      <w:hyperlink r:id="rId56176a1f1acf4fa0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2007 and revised in 2025.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(2007) Datasheets on pests recommended for regulation.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225–229.</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120-124 .  </w:t>
      </w:r>
      <w:hyperlink r:id="rId37656a1f1acf4fb64" w:history="1">
        <w:r>
          <w:rPr>
            <w:rFonts w:ascii="Calibri" w:hAnsi="Calibri" w:eastAsia="Calibri" w:cs="Calibri"/>
            <w:color w:val="0000CC"/>
            <w:sz w:val="22"/>
            <w:szCs w:val="22"/>
            <w:u w:val="single"/>
          </w:rPr>
          <w:t xml:space="preserve">https://doi.org/10.1111/epp.70050</w:t>
        </w:r>
      </w:hyperlink>
      <w:r>
        <w:rPr>
          <w:rFonts w:ascii="Calibri" w:hAnsi="Calibri" w:eastAsia="Calibri" w:cs="Calibri"/>
          <w:color w:val="000000"/>
          <w:sz w:val="22"/>
          <w:szCs w:val="22"/>
        </w:rPr>
        <w:t xml:space="preserve"> </w:t>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800192">
    <w:multiLevelType w:val="hybridMultilevel"/>
    <w:lvl w:ilvl="0" w:tplc="62973152">
      <w:start w:val="1"/>
      <w:numFmt w:val="decimal"/>
      <w:lvlText w:val="%1."/>
      <w:lvlJc w:val="left"/>
      <w:pPr>
        <w:ind w:left="720" w:hanging="360"/>
      </w:pPr>
    </w:lvl>
    <w:lvl w:ilvl="1" w:tplc="62973152" w:tentative="1">
      <w:start w:val="1"/>
      <w:numFmt w:val="lowerLetter"/>
      <w:lvlText w:val="%2."/>
      <w:lvlJc w:val="left"/>
      <w:pPr>
        <w:ind w:left="1440" w:hanging="360"/>
      </w:pPr>
    </w:lvl>
    <w:lvl w:ilvl="2" w:tplc="62973152" w:tentative="1">
      <w:start w:val="1"/>
      <w:numFmt w:val="lowerRoman"/>
      <w:lvlText w:val="%3."/>
      <w:lvlJc w:val="right"/>
      <w:pPr>
        <w:ind w:left="2160" w:hanging="180"/>
      </w:pPr>
    </w:lvl>
    <w:lvl w:ilvl="3" w:tplc="62973152" w:tentative="1">
      <w:start w:val="1"/>
      <w:numFmt w:val="decimal"/>
      <w:lvlText w:val="%4."/>
      <w:lvlJc w:val="left"/>
      <w:pPr>
        <w:ind w:left="2880" w:hanging="360"/>
      </w:pPr>
    </w:lvl>
    <w:lvl w:ilvl="4" w:tplc="62973152" w:tentative="1">
      <w:start w:val="1"/>
      <w:numFmt w:val="lowerLetter"/>
      <w:lvlText w:val="%5."/>
      <w:lvlJc w:val="left"/>
      <w:pPr>
        <w:ind w:left="3600" w:hanging="360"/>
      </w:pPr>
    </w:lvl>
    <w:lvl w:ilvl="5" w:tplc="62973152" w:tentative="1">
      <w:start w:val="1"/>
      <w:numFmt w:val="lowerRoman"/>
      <w:lvlText w:val="%6."/>
      <w:lvlJc w:val="right"/>
      <w:pPr>
        <w:ind w:left="4320" w:hanging="180"/>
      </w:pPr>
    </w:lvl>
    <w:lvl w:ilvl="6" w:tplc="62973152" w:tentative="1">
      <w:start w:val="1"/>
      <w:numFmt w:val="decimal"/>
      <w:lvlText w:val="%7."/>
      <w:lvlJc w:val="left"/>
      <w:pPr>
        <w:ind w:left="5040" w:hanging="360"/>
      </w:pPr>
    </w:lvl>
    <w:lvl w:ilvl="7" w:tplc="62973152" w:tentative="1">
      <w:start w:val="1"/>
      <w:numFmt w:val="lowerLetter"/>
      <w:lvlText w:val="%8."/>
      <w:lvlJc w:val="left"/>
      <w:pPr>
        <w:ind w:left="5760" w:hanging="360"/>
      </w:pPr>
    </w:lvl>
    <w:lvl w:ilvl="8" w:tplc="62973152" w:tentative="1">
      <w:start w:val="1"/>
      <w:numFmt w:val="lowerRoman"/>
      <w:lvlText w:val="%9."/>
      <w:lvlJc w:val="right"/>
      <w:pPr>
        <w:ind w:left="6480" w:hanging="180"/>
      </w:pPr>
    </w:lvl>
  </w:abstractNum>
  <w:abstractNum w:abstractNumId="54800191">
    <w:multiLevelType w:val="hybridMultilevel"/>
    <w:lvl w:ilvl="0" w:tplc="400561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800191">
    <w:abstractNumId w:val="54800191"/>
  </w:num>
  <w:num w:numId="54800192">
    <w:abstractNumId w:val="548001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9456636" Type="http://schemas.microsoft.com/office/2011/relationships/commentsExtended" Target="commentsExtended.xml"/><Relationship Id="rId455599050" Type="http://schemas.microsoft.com/office/2011/relationships/people" Target="people.xml"/><Relationship Id="rId31576a1f1acf4c702" Type="http://schemas.openxmlformats.org/officeDocument/2006/relationships/hyperlink" Target="https://gd.eppo.int/taxon/CSBHE/" TargetMode="External"/><Relationship Id="rId49456a1f1acf4c76d" Type="http://schemas.openxmlformats.org/officeDocument/2006/relationships/hyperlink" Target="https://gd.eppo.int/taxon/CSBHE/categorization" TargetMode="External"/><Relationship Id="rId67536a1f1acf4d1e1" Type="http://schemas.openxmlformats.org/officeDocument/2006/relationships/hyperlink" Target="https://gd.eppo.int/taxon/CSBHE/photos" TargetMode="External"/><Relationship Id="rId65696a1f1acf4f1cd" Type="http://schemas.openxmlformats.org/officeDocument/2006/relationships/hyperlink" Target="http://data.europa.eu/eli/reg/2014/1143/2019-12-14" TargetMode="External"/><Relationship Id="rId14026a1f1acf4f538" Type="http://schemas.openxmlformats.org/officeDocument/2006/relationships/hyperlink" Target="https://doi.org/10.1111/epp.12165" TargetMode="External"/><Relationship Id="rId80806a1f1acf4f7ba" Type="http://schemas.openxmlformats.org/officeDocument/2006/relationships/hyperlink" Target="https://doi.org/10.1111/rec.13844" TargetMode="External"/><Relationship Id="rId33566a1f1acf4f892" Type="http://schemas.openxmlformats.org/officeDocument/2006/relationships/hyperlink" Target="https://doi.org/10.1016/j.biocontrol.2022.104854" TargetMode="External"/><Relationship Id="rId45646a1f1acf4f908" Type="http://schemas.openxmlformats.org/officeDocument/2006/relationships/hyperlink" Target="https://www.iucn-amphibians.org/resources/froglog/froglog/archives/froglog-31/" TargetMode="External"/><Relationship Id="rId56176a1f1acf4fa0f" Type="http://schemas.openxmlformats.org/officeDocument/2006/relationships/hyperlink" Target="https://gd.eppo.int" TargetMode="External"/><Relationship Id="rId37656a1f1acf4fb64" Type="http://schemas.openxmlformats.org/officeDocument/2006/relationships/hyperlink" Target="https://doi.org/10.1111/epp.70050" TargetMode="External"/><Relationship Id="rId58556a1f1acf4d05c" Type="http://schemas.openxmlformats.org/officeDocument/2006/relationships/image" Target="media/imgrId58556a1f1acf4d05c.jpg"/><Relationship Id="rId57646a1f1acf4e127" Type="http://schemas.openxmlformats.org/officeDocument/2006/relationships/image" Target="media/imgrId57646a1f1acf4e12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