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Anisogramma anomala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Anisogramma anomala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Gnomoniaceae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Apioporthe anomala</w:t>
            </w:r>
            <w:r>
              <w:rPr>
                <w:rFonts w:ascii="Calibri" w:hAnsi="Calibri" w:eastAsia="Calibri" w:cs="Calibri"/>
                <w:color w:val="000000"/>
                <w:position w:val="-3"/>
                <w:sz w:val="22"/>
                <w:szCs w:val="22"/>
              </w:rPr>
              <w:t xml:space="preserve"> (Peck) von Höhnel, </w:t>
            </w:r>
            <w:r>
              <w:rPr>
                <w:rFonts w:ascii="Calibri" w:hAnsi="Calibri" w:eastAsia="Calibri" w:cs="Calibri"/>
                <w:i/>
                <w:iCs/>
                <w:color w:val="000000"/>
                <w:position w:val="-3"/>
                <w:sz w:val="22"/>
                <w:szCs w:val="22"/>
              </w:rPr>
              <w:t xml:space="preserve">Cryptosporella anomala</w:t>
            </w:r>
            <w:r>
              <w:rPr>
                <w:rFonts w:ascii="Calibri" w:hAnsi="Calibri" w:eastAsia="Calibri" w:cs="Calibri"/>
                <w:color w:val="000000"/>
                <w:position w:val="-3"/>
                <w:sz w:val="22"/>
                <w:szCs w:val="22"/>
              </w:rPr>
              <w:t xml:space="preserve"> (Peck) Saccardo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filbert blight, blight of hazel</w:t>
            </w:r>
            <w:hyperlink r:id="rId71936a0d63ef77d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2406a0d63ef77e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CRSPAN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049154" name="name23396a0d63ef79ed4" descr="15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8.jpg"/>
                          <pic:cNvPicPr/>
                        </pic:nvPicPr>
                        <pic:blipFill>
                          <a:blip r:embed="rId95246a0d63ef79ed0" cstate="print"/>
                          <a:stretch>
                            <a:fillRect/>
                          </a:stretch>
                        </pic:blipFill>
                        <pic:spPr>
                          <a:xfrm>
                            <a:off x="0" y="0"/>
                            <a:ext cx="2160000" cy="1281600"/>
                          </a:xfrm>
                          <a:prstGeom prst="rect">
                            <a:avLst/>
                          </a:prstGeom>
                          <a:ln w="0">
                            <a:noFill/>
                          </a:ln>
                        </pic:spPr>
                      </pic:pic>
                    </a:graphicData>
                  </a:graphic>
                </wp:inline>
              </w:drawing>
            </w:r>
            <w:hyperlink r:id="rId14186a0d63ef7a0bd"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biotrophic parasite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can be grown in culture only with difficulty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Its native host is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a common understorey shrub of forests in the Eastern USA. It causes the severe stem canker disease Eastern filbert blight on cultivated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It has also been reported on other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heterophylla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Occurring naturally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americana</w:t>
      </w:r>
      <w:r>
        <w:rPr>
          <w:rFonts w:ascii="Calibri" w:hAnsi="Calibri" w:eastAsia="Calibri" w:cs="Calibri"/>
          <w:color w:val="000000"/>
          <w:sz w:val="22"/>
          <w:szCs w:val="22"/>
        </w:rPr>
        <w:t xml:space="preserve"> across its wide native range in the Eastern USA and Southern Canada (Barss, 1930),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spread to Washington in the 1960s (Cameron &amp; Gottwald, 1978), to Oregon in 1986, and from those states to British Columbia (Canada)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It is now found throughout the Willamette Valley of Oregon where 99% of the hazelnuts grown in the USA are produced.</w:t>
      </w:r>
    </w:p>
    <w:p>
      <w:r>
        <w:drawing>
          <wp:inline distT="0" distB="0" distL="0" distR="0">
            <wp:extent cx="6120000" cy="3067200"/>
            <wp:docPr id="23275278" name="name83946a0d63ef7b35f" descr="CRSPA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PAN_distribution_map.jpg"/>
                    <pic:cNvPicPr/>
                  </pic:nvPicPr>
                  <pic:blipFill>
                    <a:blip r:embed="rId18236a0d63ef7b3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Nova Scotia, Ontario, Québec), United States of America (Connecticut, Delaware, Illinois, Iowa, Maine, Maryland, Massachusetts, Michigan, Minnesota, Missouri, New Jersey, New York, North Carolina, Ohio, Oregon, Pennsylvania,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Ascospores are the only known spore type; they are discharged from perithecia on diseased branches from autumn to late spring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Wetting of the stromata causes perithecial ostioles to open. Ascospores are ejected then transported by wind-driven rain and splash droplets within the canopy. Extended periods of rainfall are needed to release spores and infect trees. The ascospores actively infect young vegetative tissue in spring (Gottwald &amp; Cameron, 1980a), after budburst through leaf emergence and shoot elongation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Once established,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colonizes the cambial tissue with no immediate outward signs or symptoms. Stromata, containing perithecia, develop within cankers 16-18 months after initial infection (a cold period or a dormancy period is required to trigger canker development). Perithecia mature in late summer to early autumn, and although spores can be shed during rain events through the winter dormancy period, infection only occurs in the spring at budbreak. Stromata continue to form at the margins of existing cankers in successive years. Cankers expand at an average rate of 0.3 m per year (Gottwald &amp; Cameron, 1980a). Cankers girdle branches, causing dieback of tree canopies and death of mature trees in 5-15 years. Younger trees may be killed within 4-7 years or earlier as documented in the Eastern USA (Capik &amp; Molnar, 2012). New susceptible shoots may continue to emerge from the roots.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documented the exceptionally large genome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and Muehlbauer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documented significant genetic diversity in samples collected across North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signs appear 16-18 months after infection, in late spring to early summer, exhibited as slightly sunken cankers with young stromata swelling under the bark of stems. Some flagging of leaves may also be observed at this time. By late summer into early autumn, characteristic, elliptical dark stromata (2-3 mm long × 1-2 mm high) erupt through the bark. Stromata are fully formed by late autumn. Cankers are perennial and expand along the length of the branch and then laterally each year. They may coalesce when growing. Cankers continue expanding adding additional rows of stromata annually until the host stem eventually dies from disruption of its vascular tissue. Once enough stems die, the host tree dies. This process can take multiple years depending on disease pressure, climate, and the host’s response.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200 stromata are formed per canker, with 40-60 perithecia per stroma (Gottwald &amp; Cameron, 1980b). The perithecia are dispersed and immersed in the stroma, which is outlined by a blackened zone. Ostiolar necks erupt through the outer tissues of the host. Ascomal wall is two-layered. The asci are unitunicate, 8-spored with deliquescent base so that mature asci lie free in the perithecium at maturity. Ascospores are hyaline, bicellular, with two subequal cells (Hanlin, 1990). The morphology of the fungus is described by Gottwald &amp; Cameron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generally based on morphological examination of infected stems exhibiting cankers with characteristic stromata and microscopic examination of extracted ascospores.The morphological characters of this fungus are very specific and confusion with other fungi is not likely. This fungus cannot be cultured from infected tissues without sporulating perithecia and growth in culture is generally limited. Its short-lived hyphal colonies are similar to many other biotrophic fungi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TaqMan real-time PCR test targeting a ribosomal DNA internal transcribed spacer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may be performed to confirm the identity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detection and identification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see EPPO Standard PM 7/90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is by rain splash and wind-driven rain which is only over relatively short distances. However, the fungus can be spread long distances through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plants for planting. The latent period (16-18 months) with no external signs or symptoms enables the possibility of undetected spread though shipping and planting of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materials.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originally had little economic importance when it remained confined to the eastern half of the USA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are highly tolerant. However, it was inadvertently introduced into South-West Washington state in the 1960s (Davison and Davidson, 1973). Nearly all orchards within a 10 km radius of the initial site of introduction were destroyed, and the disease continued to spread to the southwest. Since 1986, it spread to Oregon in the Willamette Valley, where today 99% of commercial hazelnuts in the USA are produced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the disease is widespread in Oregon and has negative impacts on all the production regions of hazelnuts in the USA. After several decades of breeding at Oregon State University in Corvallis, Oregon, USA, new disease resistant cultivars were developed, such as Yamhill, Jefferson, and Dorris, with many additional sources of resistance identified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Orchards of susceptible cultivars, such as Barcelona, are in the process of being replaced. New resistant cultivars have allowed for a significant increase in tree planting and production in Oregon after the orchard loss due to introduction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was originally attempted in Washington and Oregon but was not feasible as volunteer hazelnut plants in adjacent woodlands and roadsides provided an unmanageable reservoir of inoculum. Today, management of Eastern filbert blight in Oregon, USA, primarily involves planting resistant cultivars. When managing orchards containing susceptible cultivars, recommendations include the removal of cankered limbs by scouting in winter then pruning, along with application of fungicides. Four applications of fungicides starting at bud swell through budbreak covering an 8-week period are currently recommended. Specific fungicide recommendations can be found in Pscheidt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only found in North America at the moment but, given its biology, it could be expected to survive, find suitable conditions for infection and be very damaging to wild populations and commercial plantations of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the EPPO region. Studies have shown that most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are highly susceptible although rare resistant and tolerant individuals exist across cultivated and native populations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Capik and Molnar, 2012;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can be introduced with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harbouring latent infections. In the case of the USA, spread of the disease to the West is thought to have been due to the importation of infected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nursery stock or of wild </w:t>
      </w:r>
      <w:r>
        <w:rPr>
          <w:rFonts w:ascii="Calibri" w:hAnsi="Calibri" w:eastAsia="Calibri" w:cs="Calibri"/>
          <w:i/>
          <w:iCs/>
          <w:color w:val="000000"/>
          <w:sz w:val="22"/>
          <w:szCs w:val="22"/>
        </w:rPr>
        <w:t xml:space="preserve">C. americana</w:t>
      </w:r>
      <w:r>
        <w:rPr>
          <w:rFonts w:ascii="Calibri" w:hAnsi="Calibri" w:eastAsia="Calibri" w:cs="Calibri"/>
          <w:color w:val="000000"/>
          <w:sz w:val="22"/>
          <w:szCs w:val="22"/>
        </w:rPr>
        <w:t xml:space="preserve"> seedlings from the eastern regions.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should be imported only from areas free from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Barss HP (1930) Eastern filbert blight. </w:t>
      </w:r>
      <w:r>
        <w:rPr>
          <w:rFonts w:ascii="Calibri" w:hAnsi="Calibri" w:eastAsia="Calibri" w:cs="Calibri"/>
          <w:i/>
          <w:iCs/>
          <w:color w:val="000000"/>
          <w:sz w:val="22"/>
          <w:szCs w:val="22"/>
        </w:rPr>
        <w:t xml:space="preserve">California Agriculture Department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489-490.</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HR &amp; Gottwald TR (1978) Progress report on Eastern filbert blight. </w:t>
      </w:r>
      <w:r>
        <w:rPr>
          <w:rFonts w:ascii="Calibri" w:hAnsi="Calibri" w:eastAsia="Calibri" w:cs="Calibri"/>
          <w:i/>
          <w:iCs/>
          <w:color w:val="000000"/>
          <w:sz w:val="22"/>
          <w:szCs w:val="22"/>
        </w:rPr>
        <w:t xml:space="preserve">Proceedings of the Nut Growers Society of Oregon, Washington and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Cai G, Leadbetter CW, Muehlbauer MF, Molnar TJ &amp; Hillman BI (2013) Genome-wide microsatellite identification in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using Illumina sequencing and genome assembly.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(11), e82408. </w:t>
      </w:r>
      <w:hyperlink r:id="rId86516a0d63ef7be13" w:history="1">
        <w:r>
          <w:rPr>
            <w:rFonts w:ascii="Calibri" w:hAnsi="Calibri" w:eastAsia="Calibri" w:cs="Calibri"/>
            <w:color w:val="0000CC"/>
            <w:sz w:val="22"/>
            <w:szCs w:val="22"/>
            <w:u w:val="single"/>
          </w:rPr>
          <w:t xml:space="preserve">https://doi.org/10.1371/journal.pone.0082408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Capik JM &amp; Molnar TJ (2012) Assessment of host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resistance to Eastern filbert blight in New Jersey.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(3), 157-172.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Davison AD &amp; Davidson RM Jr (1973) </w:t>
      </w:r>
      <w:r>
        <w:rPr>
          <w:rFonts w:ascii="Calibri" w:hAnsi="Calibri" w:eastAsia="Calibri" w:cs="Calibri"/>
          <w:i/>
          <w:iCs/>
          <w:color w:val="000000"/>
          <w:sz w:val="22"/>
          <w:szCs w:val="22"/>
        </w:rPr>
        <w:t xml:space="preserve">Apioporthe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Monochaetia</w:t>
      </w:r>
      <w:r>
        <w:rPr>
          <w:rFonts w:ascii="Calibri" w:hAnsi="Calibri" w:eastAsia="Calibri" w:cs="Calibri"/>
          <w:color w:val="000000"/>
          <w:sz w:val="22"/>
          <w:szCs w:val="22"/>
        </w:rPr>
        <w:t xml:space="preserve"> cankers reported in Western Washington.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7/90(2) </w:t>
      </w:r>
      <w:r>
        <w:rPr>
          <w:rFonts w:ascii="Calibri" w:hAnsi="Calibri" w:eastAsia="Calibri" w:cs="Calibri"/>
          <w:i/>
          <w:iCs/>
          <w:color w:val="000000"/>
          <w:sz w:val="22"/>
          <w:szCs w:val="22"/>
        </w:rPr>
        <w:t xml:space="preserve">Anisogramma anomala.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114-123. </w:t>
      </w:r>
      <w:hyperlink r:id="rId92186a0d63ef7bfce" w:history="1">
        <w:r>
          <w:rPr>
            <w:rFonts w:ascii="Calibri" w:hAnsi="Calibri" w:eastAsia="Calibri" w:cs="Calibri"/>
            <w:color w:val="0000CC"/>
            <w:sz w:val="22"/>
            <w:szCs w:val="22"/>
            <w:u w:val="single"/>
          </w:rPr>
          <w:t xml:space="preserve">https://doi.org/10.1111/epp.13001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(1979) Morphology and life history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1107-1126.</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(1980a) Infection site, infection period and latent period of canker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1083-1087.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(1980b) Disease increase and the dynamics of spread of cankers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in the Pacific Northwest.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1087-1092.</w:t>
      </w:r>
    </w:p>
    <w:p>
      <w:pPr>
        <w:widowControl w:val="on"/>
        <w:pBdr/>
        <w:spacing w:before="220" w:after="220" w:line="240" w:lineRule="auto"/>
        <w:ind w:left="0" w:right="0"/>
        <w:jc w:val="left"/>
      </w:pPr>
      <w:r>
        <w:rPr>
          <w:rFonts w:ascii="Calibri" w:hAnsi="Calibri" w:eastAsia="Calibri" w:cs="Calibri"/>
          <w:color w:val="000000"/>
          <w:sz w:val="22"/>
          <w:szCs w:val="22"/>
        </w:rPr>
        <w:t xml:space="preserve">Hanlin RT (1990) </w:t>
      </w:r>
      <w:r>
        <w:rPr>
          <w:rFonts w:ascii="Calibri" w:hAnsi="Calibri" w:eastAsia="Calibri" w:cs="Calibri"/>
          <w:i/>
          <w:iCs/>
          <w:color w:val="000000"/>
          <w:sz w:val="22"/>
          <w:szCs w:val="22"/>
        </w:rPr>
        <w:t xml:space="preserve">Illustrated genera of Ascomycetes</w:t>
      </w:r>
      <w:r>
        <w:rPr>
          <w:rFonts w:ascii="Calibri" w:hAnsi="Calibri" w:eastAsia="Calibri" w:cs="Calibri"/>
          <w:color w:val="000000"/>
          <w:sz w:val="22"/>
          <w:szCs w:val="22"/>
        </w:rPr>
        <w:t xml:space="preserve">, pp. 136-137. APS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KB, Pinkerton JN, Gaudreault SM &amp; Stone JK (1994) Infection of European hazelnut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site of infection and effect of host developmental stage.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Pinkerton JN, Johnson KB &amp; Pscheidt JW (1994) Eastern filbert blight in Oregon.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351</w:t>
      </w:r>
      <w:r>
        <w:rPr>
          <w:rFonts w:ascii="Calibri" w:hAnsi="Calibri" w:eastAsia="Calibri" w:cs="Calibri"/>
          <w:color w:val="000000"/>
          <w:sz w:val="22"/>
          <w:szCs w:val="22"/>
        </w:rPr>
        <w:t xml:space="preserve">, 551-557.</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Heilsnis BJ, Mooneyham RT &amp; Snelling JW (2023) Breeding hazelnuts resistant to Eastern filbert blight.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1362</w:t>
      </w:r>
      <w:r>
        <w:rPr>
          <w:rFonts w:ascii="Calibri" w:hAnsi="Calibri" w:eastAsia="Calibri" w:cs="Calibri"/>
          <w:color w:val="000000"/>
          <w:sz w:val="22"/>
          <w:szCs w:val="22"/>
        </w:rPr>
        <w:t xml:space="preserve">, 557-562. </w:t>
      </w:r>
      <w:hyperlink r:id="rId47806a0d63ef7c328" w:history="1">
        <w:r>
          <w:rPr>
            <w:rFonts w:ascii="Calibri" w:hAnsi="Calibri" w:eastAsia="Calibri" w:cs="Calibri"/>
            <w:color w:val="0000CC"/>
            <w:sz w:val="22"/>
            <w:szCs w:val="22"/>
            <w:u w:val="single"/>
          </w:rPr>
          <w:t xml:space="preserve">https://doi.org/10.17660/ActaHortic.2023.1362.75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Molnar TJ, Walsh E, Capik JM, Sathuvalli V, Mehlenbacher SA, Rossman AY &amp; Zhang N (2013) A real-time PCR assay for early detection of Eastern filbert blight.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813-818.</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TJ, Lombardoni JJ, Muehlbauer MF, Honig JA, Mehlenbacher SA &amp; Capik JM (2018) Progress breeding for resistance to eastern filbert blight in the eastern United States.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1226</w:t>
      </w:r>
      <w:r>
        <w:rPr>
          <w:rFonts w:ascii="Calibri" w:hAnsi="Calibri" w:eastAsia="Calibri" w:cs="Calibri"/>
          <w:color w:val="000000"/>
          <w:sz w:val="22"/>
          <w:szCs w:val="22"/>
        </w:rPr>
        <w:t xml:space="preserve">, 79-85. </w:t>
      </w:r>
      <w:hyperlink r:id="rId58396a0d63ef7c3ff" w:history="1">
        <w:r>
          <w:rPr>
            <w:rFonts w:ascii="Calibri" w:hAnsi="Calibri" w:eastAsia="Calibri" w:cs="Calibri"/>
            <w:color w:val="0000CC"/>
            <w:sz w:val="22"/>
            <w:szCs w:val="22"/>
            <w:u w:val="single"/>
          </w:rPr>
          <w:t xml:space="preserve">https://doi.org/10.17660/ActaHortic.2018.1226.11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Muehlbauer MF, Tobia J, Honig JA, Zhang N, Hillman BI, Gold KM, &amp; Molnar TJ (2019) Population differentiation within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1074–1082. </w:t>
      </w:r>
      <w:hyperlink r:id="rId14146a0d63ef7c493" w:history="1">
        <w:r>
          <w:rPr>
            <w:rFonts w:ascii="Calibri" w:hAnsi="Calibri" w:eastAsia="Calibri" w:cs="Calibri"/>
            <w:color w:val="0000CC"/>
            <w:sz w:val="22"/>
            <w:szCs w:val="22"/>
            <w:u w:val="single"/>
          </w:rPr>
          <w:t xml:space="preserve">https://doi.org/10.1094/PHYTO-06-18-0209-R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Pscheidt J (2023)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 Eastern Filbert Blight. In: Pscheidt JW &amp; Ocamb CM (eds) Pacific Northwest Plant Disease Management Handbook. Corvallis, OR: Oregon State University. </w:t>
      </w:r>
      <w:hyperlink r:id="rId13196a0d63ef7c4e7" w:history="1">
        <w:r>
          <w:rPr>
            <w:rFonts w:ascii="Calibri" w:hAnsi="Calibri" w:eastAsia="Calibri" w:cs="Calibri"/>
            <w:color w:val="0000CC"/>
            <w:sz w:val="22"/>
            <w:szCs w:val="22"/>
            <w:u w:val="single"/>
          </w:rPr>
          <w:t xml:space="preserve">https://pnwhandbooks.org/plantdisease/host-disease/hazelnut-corylus-avellana-eastern-filbert-blight</w:t>
        </w:r>
      </w:hyperlink>
      <w:r>
        <w:rPr>
          <w:rFonts w:ascii="Calibri" w:hAnsi="Calibri" w:eastAsia="Calibri" w:cs="Calibri"/>
          <w:color w:val="000000"/>
          <w:sz w:val="22"/>
          <w:szCs w:val="22"/>
        </w:rPr>
        <w:t xml:space="preserve"> (accessed 31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Stone JK &amp; Pscheidt JW (1990) Ascospore discharge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under field and controlled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1031.</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Theiling KM &amp; Griesbach JA (1992) Distribution and characterization of the Eastern filbert blight epidemic in Western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1179-1182.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Johnson KB, Pinkerton JN &amp; Pscheidt JW (1992) Natural infection period and susceptibility of vegetative seedlings of European hazelnut to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348-352.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Pinkerton JN &amp; Johnson KB (1994) Axenic culture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evidence for self-inhibition of ascospore germination and colony growth.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674-683.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Thomas Molnar, Department of Plant Biology, Rutgers University, New Brunswick, New Jersey, USA.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EPPO datasheets on pests recommended for regulation. Available online. </w:t>
      </w:r>
      <w:hyperlink r:id="rId67416a0d63ef7c7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9280840" name="name42856a0d63ef7df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656a0d63ef7df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297769">
    <w:multiLevelType w:val="hybridMultilevel"/>
    <w:lvl w:ilvl="0" w:tplc="63641481">
      <w:start w:val="1"/>
      <w:numFmt w:val="decimal"/>
      <w:lvlText w:val="%1."/>
      <w:lvlJc w:val="left"/>
      <w:pPr>
        <w:ind w:left="720" w:hanging="360"/>
      </w:pPr>
    </w:lvl>
    <w:lvl w:ilvl="1" w:tplc="63641481" w:tentative="1">
      <w:start w:val="1"/>
      <w:numFmt w:val="lowerLetter"/>
      <w:lvlText w:val="%2."/>
      <w:lvlJc w:val="left"/>
      <w:pPr>
        <w:ind w:left="1440" w:hanging="360"/>
      </w:pPr>
    </w:lvl>
    <w:lvl w:ilvl="2" w:tplc="63641481" w:tentative="1">
      <w:start w:val="1"/>
      <w:numFmt w:val="lowerRoman"/>
      <w:lvlText w:val="%3."/>
      <w:lvlJc w:val="right"/>
      <w:pPr>
        <w:ind w:left="2160" w:hanging="180"/>
      </w:pPr>
    </w:lvl>
    <w:lvl w:ilvl="3" w:tplc="63641481" w:tentative="1">
      <w:start w:val="1"/>
      <w:numFmt w:val="decimal"/>
      <w:lvlText w:val="%4."/>
      <w:lvlJc w:val="left"/>
      <w:pPr>
        <w:ind w:left="2880" w:hanging="360"/>
      </w:pPr>
    </w:lvl>
    <w:lvl w:ilvl="4" w:tplc="63641481" w:tentative="1">
      <w:start w:val="1"/>
      <w:numFmt w:val="lowerLetter"/>
      <w:lvlText w:val="%5."/>
      <w:lvlJc w:val="left"/>
      <w:pPr>
        <w:ind w:left="3600" w:hanging="360"/>
      </w:pPr>
    </w:lvl>
    <w:lvl w:ilvl="5" w:tplc="63641481" w:tentative="1">
      <w:start w:val="1"/>
      <w:numFmt w:val="lowerRoman"/>
      <w:lvlText w:val="%6."/>
      <w:lvlJc w:val="right"/>
      <w:pPr>
        <w:ind w:left="4320" w:hanging="180"/>
      </w:pPr>
    </w:lvl>
    <w:lvl w:ilvl="6" w:tplc="63641481" w:tentative="1">
      <w:start w:val="1"/>
      <w:numFmt w:val="decimal"/>
      <w:lvlText w:val="%7."/>
      <w:lvlJc w:val="left"/>
      <w:pPr>
        <w:ind w:left="5040" w:hanging="360"/>
      </w:pPr>
    </w:lvl>
    <w:lvl w:ilvl="7" w:tplc="63641481" w:tentative="1">
      <w:start w:val="1"/>
      <w:numFmt w:val="lowerLetter"/>
      <w:lvlText w:val="%8."/>
      <w:lvlJc w:val="left"/>
      <w:pPr>
        <w:ind w:left="5760" w:hanging="360"/>
      </w:pPr>
    </w:lvl>
    <w:lvl w:ilvl="8" w:tplc="63641481" w:tentative="1">
      <w:start w:val="1"/>
      <w:numFmt w:val="lowerRoman"/>
      <w:lvlText w:val="%9."/>
      <w:lvlJc w:val="right"/>
      <w:pPr>
        <w:ind w:left="6480" w:hanging="180"/>
      </w:pPr>
    </w:lvl>
  </w:abstractNum>
  <w:abstractNum w:abstractNumId="85297768">
    <w:multiLevelType w:val="hybridMultilevel"/>
    <w:lvl w:ilvl="0" w:tplc="281132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297768">
    <w:abstractNumId w:val="85297768"/>
  </w:num>
  <w:num w:numId="85297769">
    <w:abstractNumId w:val="852977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6848220" Type="http://schemas.microsoft.com/office/2011/relationships/commentsExtended" Target="commentsExtended.xml"/><Relationship Id="rId371456875" Type="http://schemas.microsoft.com/office/2011/relationships/people" Target="people.xml"/><Relationship Id="rId71936a0d63ef77df9" Type="http://schemas.openxmlformats.org/officeDocument/2006/relationships/hyperlink" Target="https://gd.eppo.int/taxon/CRSPAN/" TargetMode="External"/><Relationship Id="rId82406a0d63ef77e66" Type="http://schemas.openxmlformats.org/officeDocument/2006/relationships/hyperlink" Target="https://gd.eppo.int/taxon/CRSPAN/categorization" TargetMode="External"/><Relationship Id="rId14186a0d63ef7a0bd" Type="http://schemas.openxmlformats.org/officeDocument/2006/relationships/hyperlink" Target="https://gd.eppo.int/taxon/CRSPAN/photos" TargetMode="External"/><Relationship Id="rId86516a0d63ef7be13" Type="http://schemas.openxmlformats.org/officeDocument/2006/relationships/hyperlink" Target="https://doi.org/10.1371/journal.pone.0082408" TargetMode="External"/><Relationship Id="rId92186a0d63ef7bfce" Type="http://schemas.openxmlformats.org/officeDocument/2006/relationships/hyperlink" Target="https://doi.org/10.1111/epp.13001" TargetMode="External"/><Relationship Id="rId47806a0d63ef7c328" Type="http://schemas.openxmlformats.org/officeDocument/2006/relationships/hyperlink" Target="https://doi.org/10.17660/ActaHortic.2023.1362.75" TargetMode="External"/><Relationship Id="rId58396a0d63ef7c3ff" Type="http://schemas.openxmlformats.org/officeDocument/2006/relationships/hyperlink" Target="https://doi.org/10.17660/ActaHortic.2018.1226.11" TargetMode="External"/><Relationship Id="rId14146a0d63ef7c493" Type="http://schemas.openxmlformats.org/officeDocument/2006/relationships/hyperlink" Target="https://doi.org/10.1094/PHYTO-06-18-0209-R" TargetMode="External"/><Relationship Id="rId13196a0d63ef7c4e7" Type="http://schemas.openxmlformats.org/officeDocument/2006/relationships/hyperlink" Target="https://pnwhandbooks.org/plantdisease/host-disease/hazelnut-corylus-avellana-eastern-filbert-blight" TargetMode="External"/><Relationship Id="rId67416a0d63ef7c7b3" Type="http://schemas.openxmlformats.org/officeDocument/2006/relationships/hyperlink" Target="https://gd.eppo.int" TargetMode="External"/><Relationship Id="rId95246a0d63ef79ed0" Type="http://schemas.openxmlformats.org/officeDocument/2006/relationships/image" Target="media/imgrId95246a0d63ef79ed0.jpg"/><Relationship Id="rId18236a0d63ef7b35c" Type="http://schemas.openxmlformats.org/officeDocument/2006/relationships/image" Target="media/imgrId18236a0d63ef7b35c.jpg"/><Relationship Id="rId50656a0d63ef7dfbf" Type="http://schemas.openxmlformats.org/officeDocument/2006/relationships/image" Target="media/imgrId50656a0d63ef7df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