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Anisogramma anomala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Anisogramma anomala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(Peck) E.Müller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Diaporthomycetidae: Diaporthales: Gnomoniaceae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Apioporthe anomala</w:t>
            </w:r>
            <w:r>
              <w:rPr>
                <w:rFonts w:ascii="Calibri" w:hAnsi="Calibri" w:eastAsia="Calibri" w:cs="Calibri"/>
                <w:color w:val="000000"/>
                <w:position w:val="-3"/>
                <w:sz w:val="22"/>
                <w:szCs w:val="22"/>
              </w:rPr>
              <w:t xml:space="preserve"> (Peck) von Höhnel, </w:t>
            </w:r>
            <w:r>
              <w:rPr>
                <w:rFonts w:ascii="Calibri" w:hAnsi="Calibri" w:eastAsia="Calibri" w:cs="Calibri"/>
                <w:i/>
                <w:iCs/>
                <w:color w:val="000000"/>
                <w:position w:val="-3"/>
                <w:sz w:val="22"/>
                <w:szCs w:val="22"/>
              </w:rPr>
              <w:t xml:space="preserve">Cryptosporella anomala</w:t>
            </w:r>
            <w:r>
              <w:rPr>
                <w:rFonts w:ascii="Calibri" w:hAnsi="Calibri" w:eastAsia="Calibri" w:cs="Calibri"/>
                <w:color w:val="000000"/>
                <w:position w:val="-3"/>
                <w:sz w:val="22"/>
                <w:szCs w:val="22"/>
              </w:rPr>
              <w:t xml:space="preserve"> (Peck) Saccardo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Eastern filbert blight, blight of hazel</w:t>
            </w:r>
            <w:hyperlink r:id="rId2543663de13e16d8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017663de13e16de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CRSPAN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093870" name="name1284663de13e175bb" descr="1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8.jpg"/>
                          <pic:cNvPicPr/>
                        </pic:nvPicPr>
                        <pic:blipFill>
                          <a:blip r:embed="rId6460663de13e175b9" cstate="print"/>
                          <a:stretch>
                            <a:fillRect/>
                          </a:stretch>
                        </pic:blipFill>
                        <pic:spPr>
                          <a:xfrm>
                            <a:off x="0" y="0"/>
                            <a:ext cx="2160000" cy="1281600"/>
                          </a:xfrm>
                          <a:prstGeom prst="rect">
                            <a:avLst/>
                          </a:prstGeom>
                          <a:ln w="0">
                            <a:noFill/>
                          </a:ln>
                        </pic:spPr>
                      </pic:pic>
                    </a:graphicData>
                  </a:graphic>
                </wp:inline>
              </w:drawing>
            </w:r>
            <w:hyperlink r:id="rId9426663de13e17719"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biotrophic parasite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can be grown in culture only with difficulty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Its native host is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a common understorey shrub of forests in the Eastern USA. It causes the severe stem canker disease Eastern filbert blight on cultivated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It has also been reported on other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colurna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heterophylla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Occurring naturally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americana</w:t>
      </w:r>
      <w:r>
        <w:rPr>
          <w:rFonts w:ascii="Calibri" w:hAnsi="Calibri" w:eastAsia="Calibri" w:cs="Calibri"/>
          <w:color w:val="000000"/>
          <w:sz w:val="22"/>
          <w:szCs w:val="22"/>
        </w:rPr>
        <w:t xml:space="preserve"> across its wide native range in the Eastern USA and Southern Canada (Barss, 1930),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spread to Washington in the 1960s (Cameron &amp; Gottwald, 1978), to Oregon in 1986, and from those states to British Columbia (Canada)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It is now found throughout the Willamette Valley of Oregon where 99% of the hazelnuts grown in the USA are produced.</w:t>
      </w:r>
    </w:p>
    <w:p>
      <w:r>
        <w:drawing>
          <wp:inline distT="0" distB="0" distL="0" distR="0">
            <wp:extent cx="6120000" cy="3067200"/>
            <wp:docPr id="14759942" name="name4939663de13e18737" descr="CRSPA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PAN_distribution_map.jpg"/>
                    <pic:cNvPicPr/>
                  </pic:nvPicPr>
                  <pic:blipFill>
                    <a:blip r:embed="rId8133663de13e1873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Nova Scotia, Ontario, Québec), United States of America (Connecticut, Delaware, Illinois, Iowa, Maine, Maryland, Massachusetts, Michigan, Minnesota, Missouri, New Jersey, New York, North Carolina, Ohio, Oregon, Pennsylvania,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is an obligate biotroph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Ascospores are the only known spore type; they are discharged from perithecia on diseased branches from autumn to late spring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Wetting of the stromata causes perithecial ostioles to open. Ascospores are ejected then transported by wind-driven rain and splash droplets within the canopy. Extended periods of rainfall are needed to release spores and infect trees. The ascospores actively infect young vegetative tissue in spring (Gottwald &amp; Cameron, 1980a), after budburst through leaf emergence and shoot elongation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Once established,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colonizes the cambial tissue with no immediate outward signs or symptoms. Stromata, containing perithecia, develop within cankers 16-18 months after initial infection (a cold period or a dormancy period is required to trigger canker development). Perithecia mature in late summer to early autumn, and although spores can be shed during rain events through the winter dormancy period, infection only occurs in the spring at budbreak. Stromata continue to form at the margins of existing cankers in successive years. Cankers expand at an average rate of 0.3 m per year (Gottwald &amp; Cameron, 1980a). Cankers girdle branches, causing dieback of tree canopies and death of mature trees in 5-15 years. Younger trees may be killed within 4-7 years or earlier as documented in the Eastern USA (Capik &amp; Molnar, 2012). New susceptible shoots may continue to emerge from the roots.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documented the exceptionally large genome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and Muehlbauer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documented significant genetic diversity in samples collected across North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signs appear 16-18 months after infection, in late spring to early summer, exhibited as slightly sunken cankers with young stromata swelling under the bark of stems. Some flagging of leaves may also be observed at this time. By late summer into early autumn, characteristic, elliptical dark stromata (2-3 mm long × 1-2 mm high) erupt through the bark. Stromata are fully formed by late autumn. Cankers are perennial and expand along the length of the branch and then laterally each year. They may coalesce when growing. Cankers continue expanding adding additional rows of stromata annually until the host stem eventually dies from disruption of its vascular tissue. Once enough stems die, the host tree dies. This process can take multiple years depending on disease pressure, climate, and the host’s response.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200 stromata are formed per canker, with 40-60 perithecia per stroma (Gottwald &amp; Cameron, 1980b). The perithecia are dispersed and immersed in the stroma, which is outlined by a blackened zone. Ostiolar necks erupt through the outer tissues of the host. Ascomal wall is two-layered. The asci are unitunicate, 8-spored with deliquescent base so that mature asci lie free in the perithecium at maturity. Ascospores are hyaline, bicellular, with two subequal cells (Hanlin, 1990). The morphology of the fungus is described by Gottwald &amp; Cameron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generally based on morphological examination of infected stems exhibiting cankers with characteristic stromata and microscopic examination of extracted ascospores.The morphological characters of this fungus are very specific and confusion with other fungi is not likely. This fungus cannot be cultured from infected tissues without sporulating perithecia and growth in culture is generally limited. Its short-lived hyphal colonies are similar to many other biotrophic fungi (Stone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Cai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TaqMan real-time PCR test targeting a ribosomal DNA internal transcribed spacer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may be performed to confirm the identity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details regarding detection and morphological identification of </w:t>
      </w:r>
      <w:r>
        <w:rPr>
          <w:rFonts w:ascii="Calibri" w:hAnsi="Calibri" w:eastAsia="Calibri" w:cs="Calibri"/>
          <w:i/>
          <w:iCs/>
          <w:color w:val="000000"/>
          <w:sz w:val="22"/>
          <w:szCs w:val="22"/>
        </w:rPr>
        <w:t xml:space="preserve">A. anomala, see </w:t>
      </w:r>
      <w:r>
        <w:rPr>
          <w:rFonts w:ascii="Calibri" w:hAnsi="Calibri" w:eastAsia="Calibri" w:cs="Calibri"/>
          <w:color w:val="000000"/>
          <w:sz w:val="22"/>
          <w:szCs w:val="22"/>
        </w:rPr>
        <w:t xml:space="preserve">EPPO Standard PM 7/90 (EPPO,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is by rain splash and wind-driven rain which is only over relatively short distances. However, the fungus can be spread long distances through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plants for planting. The latent period (16-18 months) with no external signs or symptoms enables the possibility of undetected spread though shipping and planting of infected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materials.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 originally had little economic importance when it remained confined to the eastern half of the USA on wild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which are highly tolerant. However, it was inadvertently introduced into South-West Washington state in the 1960s (Davison and Davidson, 1973). Nearly all orchards within a 10 km radius of the initial site of introduction were destroyed, and the disease continued to spread to the southwest. Since 1986, it spread to Oregon in the Willamette Valley, where today 99% of commercial hazelnuts in the USA are produced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the disease is widespread in Oregon and has negative impacts on all the production regions of hazelnuts in the USA. After several decades of breeding at Oregon State University in Corvallis, Oregon, USA, new disease resistant cultivars were developed, such as Yamhill, Jefferson, and Dorris, with many additional sources of resistance identified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Orchards of susceptible cultivars, such as Barcelona, are in the process of being replaced. New resistant cultivars have allowed for a significant increase in tree planting and production in Oregon after the orchard loss due to introduction of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Eradication was originally attempted in Washington and Oregon but was not feasible as volunteer hazelnut plants in adjacent woodlands and roadsides provided an unmanageable reservoir of inoculum. Today, management of Eastern filbert blight in Oregon, USA, primarily involves planting resistant cultivars. When managing orchards containing susceptible cultivars, recommendations include the removal of cankered limbs by scouting in winter then pruning, along with application of fungicides. Four applications of fungicides starting at bud swell through budbreak covering an 8-week period are currently recommended. Specific fungicide recommendations can be found in Pscheidt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only found in North America at the moment but, given its biology, it could be expected to survive, find suitable conditions for infection and be very damaging to wild populations and commercial plantations of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in the EPPO region. Studies have shown that most </w:t>
      </w:r>
      <w:r>
        <w:rPr>
          <w:rFonts w:ascii="Calibri" w:hAnsi="Calibri" w:eastAsia="Calibri" w:cs="Calibri"/>
          <w:i/>
          <w:iCs/>
          <w:color w:val="000000"/>
          <w:sz w:val="22"/>
          <w:szCs w:val="22"/>
        </w:rPr>
        <w:t xml:space="preserve">C. avellana</w:t>
      </w:r>
      <w:r>
        <w:rPr>
          <w:rFonts w:ascii="Calibri" w:hAnsi="Calibri" w:eastAsia="Calibri" w:cs="Calibri"/>
          <w:color w:val="000000"/>
          <w:sz w:val="22"/>
          <w:szCs w:val="22"/>
        </w:rPr>
        <w:t xml:space="preserve"> are highly susceptible although rare resistant and tolerant individuals exist across cultivated and native populations (Mehlenbacher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Capik and Molnar, 2012;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can be introduced with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harbouring latent infections. In the case of the USA, spread of the disease to the West is thought to have been due to the importation of infected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nursery stock or of wild </w:t>
      </w:r>
      <w:r>
        <w:rPr>
          <w:rFonts w:ascii="Calibri" w:hAnsi="Calibri" w:eastAsia="Calibri" w:cs="Calibri"/>
          <w:i/>
          <w:iCs/>
          <w:color w:val="000000"/>
          <w:sz w:val="22"/>
          <w:szCs w:val="22"/>
        </w:rPr>
        <w:t xml:space="preserve">C. americana</w:t>
      </w:r>
      <w:r>
        <w:rPr>
          <w:rFonts w:ascii="Calibri" w:hAnsi="Calibri" w:eastAsia="Calibri" w:cs="Calibri"/>
          <w:color w:val="000000"/>
          <w:sz w:val="22"/>
          <w:szCs w:val="22"/>
        </w:rPr>
        <w:t xml:space="preserve"> seedlings from the eastern regions. Planting material of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spp. should be imported only from areas free from </w:t>
      </w:r>
      <w:r>
        <w:rPr>
          <w:rFonts w:ascii="Calibri" w:hAnsi="Calibri" w:eastAsia="Calibri" w:cs="Calibri"/>
          <w:i/>
          <w:iCs/>
          <w:color w:val="000000"/>
          <w:sz w:val="22"/>
          <w:szCs w:val="22"/>
        </w:rPr>
        <w:t xml:space="preserve">A. anomala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Barss HP (1930) Eastern filbert blight. </w:t>
      </w:r>
      <w:r>
        <w:rPr>
          <w:rFonts w:ascii="Calibri" w:hAnsi="Calibri" w:eastAsia="Calibri" w:cs="Calibri"/>
          <w:i/>
          <w:iCs/>
          <w:color w:val="000000"/>
          <w:sz w:val="22"/>
          <w:szCs w:val="22"/>
        </w:rPr>
        <w:t xml:space="preserve">California Agriculture Department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489-490.</w:t>
      </w:r>
    </w:p>
    <w:p>
      <w:pPr>
        <w:widowControl w:val="on"/>
        <w:pBdr/>
        <w:spacing w:before="220" w:after="220" w:line="240" w:lineRule="auto"/>
        <w:ind w:left="0" w:right="0"/>
        <w:jc w:val="left"/>
      </w:pPr>
      <w:r>
        <w:rPr>
          <w:rFonts w:ascii="Calibri" w:hAnsi="Calibri" w:eastAsia="Calibri" w:cs="Calibri"/>
          <w:color w:val="000000"/>
          <w:sz w:val="22"/>
          <w:szCs w:val="22"/>
        </w:rPr>
        <w:t xml:space="preserve">Cameron HR &amp; Gottwald TR (1978) Progress report on Eastern filbert blight. </w:t>
      </w:r>
      <w:r>
        <w:rPr>
          <w:rFonts w:ascii="Calibri" w:hAnsi="Calibri" w:eastAsia="Calibri" w:cs="Calibri"/>
          <w:i/>
          <w:iCs/>
          <w:color w:val="000000"/>
          <w:sz w:val="22"/>
          <w:szCs w:val="22"/>
        </w:rPr>
        <w:t xml:space="preserve">Proceedings of the Nut Growers Society of Oregon, Washington and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Cai G, Leadbetter CW, Muehlbauer MF, Molnar TJ &amp; Hillman BI (2013) Genome-wide microsatellite identification in the fungus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using Illumina sequencing and genome assembly.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(11), e82408. </w:t>
      </w:r>
      <w:hyperlink r:id="rId8762663de13e19118" w:history="1">
        <w:r>
          <w:rPr>
            <w:rFonts w:ascii="Calibri" w:hAnsi="Calibri" w:eastAsia="Calibri" w:cs="Calibri"/>
            <w:color w:val="0000CC"/>
            <w:sz w:val="22"/>
            <w:szCs w:val="22"/>
            <w:u w:val="single"/>
          </w:rPr>
          <w:t xml:space="preserve">https://doi.org/10.1371/journal.pone.0082408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Capik JM &amp; Molnar TJ (2012) Assessment of host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resistance to Eastern filbert blight in New Jersey.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(3), 157-172.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Davison AD &amp; Davidson RM Jr (1973) </w:t>
      </w:r>
      <w:r>
        <w:rPr>
          <w:rFonts w:ascii="Calibri" w:hAnsi="Calibri" w:eastAsia="Calibri" w:cs="Calibri"/>
          <w:i/>
          <w:iCs/>
          <w:color w:val="000000"/>
          <w:sz w:val="22"/>
          <w:szCs w:val="22"/>
        </w:rPr>
        <w:t xml:space="preserve">Apioporthe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Monochaetia</w:t>
      </w:r>
      <w:r>
        <w:rPr>
          <w:rFonts w:ascii="Calibri" w:hAnsi="Calibri" w:eastAsia="Calibri" w:cs="Calibri"/>
          <w:color w:val="000000"/>
          <w:sz w:val="22"/>
          <w:szCs w:val="22"/>
        </w:rPr>
        <w:t xml:space="preserve"> cankers reported in Western Washington.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522-523.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Standards. Diagnostics. PM 7/90 (1) </w:t>
      </w:r>
      <w:r>
        <w:rPr>
          <w:rFonts w:ascii="Calibri" w:hAnsi="Calibri" w:eastAsia="Calibri" w:cs="Calibri"/>
          <w:i/>
          <w:iCs/>
          <w:color w:val="000000"/>
          <w:sz w:val="22"/>
          <w:szCs w:val="22"/>
        </w:rPr>
        <w:t xml:space="preserve">Anisogramma anomala.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293-297.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(1979) Morphology and life history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1107-1126.</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(1980a) Infection site, infection period and latent period of canker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1083-1087.</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&amp; Cameron HR (1980b) Disease increase and the dynamics of spread of cankers caused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European filbert in the Pacific Northwest.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1087-1092.</w:t>
      </w:r>
    </w:p>
    <w:p>
      <w:pPr>
        <w:widowControl w:val="on"/>
        <w:pBdr/>
        <w:spacing w:before="220" w:after="220" w:line="240" w:lineRule="auto"/>
        <w:ind w:left="0" w:right="0"/>
        <w:jc w:val="left"/>
      </w:pPr>
      <w:r>
        <w:rPr>
          <w:rFonts w:ascii="Calibri" w:hAnsi="Calibri" w:eastAsia="Calibri" w:cs="Calibri"/>
          <w:color w:val="000000"/>
          <w:sz w:val="22"/>
          <w:szCs w:val="22"/>
        </w:rPr>
        <w:t xml:space="preserve">Hanlin RT (1990) </w:t>
      </w:r>
      <w:r>
        <w:rPr>
          <w:rFonts w:ascii="Calibri" w:hAnsi="Calibri" w:eastAsia="Calibri" w:cs="Calibri"/>
          <w:i/>
          <w:iCs/>
          <w:color w:val="000000"/>
          <w:sz w:val="22"/>
          <w:szCs w:val="22"/>
        </w:rPr>
        <w:t xml:space="preserve">Illustrated genera of Ascomycetes</w:t>
      </w:r>
      <w:r>
        <w:rPr>
          <w:rFonts w:ascii="Calibri" w:hAnsi="Calibri" w:eastAsia="Calibri" w:cs="Calibri"/>
          <w:color w:val="000000"/>
          <w:sz w:val="22"/>
          <w:szCs w:val="22"/>
        </w:rPr>
        <w:t xml:space="preserve">, pp. 136-137. APS Press,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KB, Pinkerton JN, Gaudreault SM &amp; Stone JK (1994) Infection of European hazelnut by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site of infection and effect of host developmental stage.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1465-1470.</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Pinkerton JN, Johnson KB &amp; Pscheidt JW (1994) Eastern filbert blight in Oregon.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351</w:t>
      </w:r>
      <w:r>
        <w:rPr>
          <w:rFonts w:ascii="Calibri" w:hAnsi="Calibri" w:eastAsia="Calibri" w:cs="Calibri"/>
          <w:color w:val="000000"/>
          <w:sz w:val="22"/>
          <w:szCs w:val="22"/>
        </w:rPr>
        <w:t xml:space="preserve">, 551-557.</w:t>
      </w:r>
    </w:p>
    <w:p>
      <w:pPr>
        <w:widowControl w:val="on"/>
        <w:pBdr/>
        <w:spacing w:before="220" w:after="220" w:line="240" w:lineRule="auto"/>
        <w:ind w:left="0" w:right="0"/>
        <w:jc w:val="left"/>
      </w:pPr>
      <w:r>
        <w:rPr>
          <w:rFonts w:ascii="Calibri" w:hAnsi="Calibri" w:eastAsia="Calibri" w:cs="Calibri"/>
          <w:color w:val="000000"/>
          <w:sz w:val="22"/>
          <w:szCs w:val="22"/>
        </w:rPr>
        <w:t xml:space="preserve">Mehlenbacher SA, Heilsnis BJ, Mooneyham RT &amp; Snelling JW (2023) Breeding hazelnuts resistant to Eastern filbert blight.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1362</w:t>
      </w:r>
      <w:r>
        <w:rPr>
          <w:rFonts w:ascii="Calibri" w:hAnsi="Calibri" w:eastAsia="Calibri" w:cs="Calibri"/>
          <w:color w:val="000000"/>
          <w:sz w:val="22"/>
          <w:szCs w:val="22"/>
        </w:rPr>
        <w:t xml:space="preserve">, 557-562. </w:t>
      </w:r>
      <w:hyperlink r:id="rId7828663de13e1957f" w:history="1">
        <w:r>
          <w:rPr>
            <w:rFonts w:ascii="Calibri" w:hAnsi="Calibri" w:eastAsia="Calibri" w:cs="Calibri"/>
            <w:color w:val="0000CC"/>
            <w:sz w:val="22"/>
            <w:szCs w:val="22"/>
            <w:u w:val="single"/>
          </w:rPr>
          <w:t xml:space="preserve">https://doi.org/10.17660/ActaHortic.2023.1362.75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Molnar TJ, Walsh E, Capik JM, Sathuvalli V, Mehlenbacher SA, Rossman AY &amp; Zhang N (2013) A real-time PCR assay for early detection of Eastern filbert blight.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813-818.</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TJ, Lombardoni JJ, Muehlbauer MF, Honig JA, Mehlenbacher SA &amp; Capik JM (2018) Progress breeding for resistance to eastern filbert blight in the eastern United States.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1226</w:t>
      </w:r>
      <w:r>
        <w:rPr>
          <w:rFonts w:ascii="Calibri" w:hAnsi="Calibri" w:eastAsia="Calibri" w:cs="Calibri"/>
          <w:color w:val="000000"/>
          <w:sz w:val="22"/>
          <w:szCs w:val="22"/>
        </w:rPr>
        <w:t xml:space="preserve">, 79-85. </w:t>
      </w:r>
      <w:hyperlink r:id="rId3588663de13e1964d" w:history="1">
        <w:r>
          <w:rPr>
            <w:rFonts w:ascii="Calibri" w:hAnsi="Calibri" w:eastAsia="Calibri" w:cs="Calibri"/>
            <w:color w:val="0000CC"/>
            <w:sz w:val="22"/>
            <w:szCs w:val="22"/>
            <w:u w:val="single"/>
          </w:rPr>
          <w:t xml:space="preserve">https://doi.org/10.17660/ActaHortic.2018.1226.11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Muehlbauer MF, Tobia J, Honig JA, Zhang N, Hillman BI, Gold KM, &amp; Molnar TJ (2019) Population differentiation within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in North America.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1074–1082. </w:t>
      </w:r>
      <w:hyperlink r:id="rId3119663de13e196dd" w:history="1">
        <w:r>
          <w:rPr>
            <w:rFonts w:ascii="Calibri" w:hAnsi="Calibri" w:eastAsia="Calibri" w:cs="Calibri"/>
            <w:color w:val="0000CC"/>
            <w:sz w:val="22"/>
            <w:szCs w:val="22"/>
            <w:u w:val="single"/>
          </w:rPr>
          <w:t xml:space="preserve">https://doi.org/10.1094/PHYTO-06-18-0209-R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Pscheidt J (2023) Hazelnut (</w:t>
      </w:r>
      <w:r>
        <w:rPr>
          <w:rFonts w:ascii="Calibri" w:hAnsi="Calibri" w:eastAsia="Calibri" w:cs="Calibri"/>
          <w:i/>
          <w:iCs/>
          <w:color w:val="000000"/>
          <w:sz w:val="22"/>
          <w:szCs w:val="22"/>
        </w:rPr>
        <w:t xml:space="preserve">Corylus avellana</w:t>
      </w:r>
      <w:r>
        <w:rPr>
          <w:rFonts w:ascii="Calibri" w:hAnsi="Calibri" w:eastAsia="Calibri" w:cs="Calibri"/>
          <w:color w:val="000000"/>
          <w:sz w:val="22"/>
          <w:szCs w:val="22"/>
        </w:rPr>
        <w:t xml:space="preserve">) - Eastern Filbert Blight. In: Pscheidt JW &amp; Ocamb CM (eds) Pacific Northwest Plant Disease Management Handbook. Corvallis, OR: Oregon State University. </w:t>
      </w:r>
      <w:hyperlink r:id="rId2310663de13e1972f" w:history="1">
        <w:r>
          <w:rPr>
            <w:rFonts w:ascii="Calibri" w:hAnsi="Calibri" w:eastAsia="Calibri" w:cs="Calibri"/>
            <w:color w:val="0000CC"/>
            <w:sz w:val="22"/>
            <w:szCs w:val="22"/>
            <w:u w:val="single"/>
          </w:rPr>
          <w:t xml:space="preserve">https://pnwhandbooks.org/plantdisease/host-disease/hazelnut-corylus-avellana-eastern-filbert-blight</w:t>
        </w:r>
      </w:hyperlink>
      <w:r>
        <w:rPr>
          <w:rFonts w:ascii="Calibri" w:hAnsi="Calibri" w:eastAsia="Calibri" w:cs="Calibri"/>
          <w:color w:val="000000"/>
          <w:sz w:val="22"/>
          <w:szCs w:val="22"/>
        </w:rPr>
        <w:t xml:space="preserve"> (accessed 31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Stone JK &amp; Pscheidt JW (1990) Ascospore discharge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under field and controlled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1031.</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Johnson KB, Theiling KM &amp; Griesbach JA (1992) Distribution and characterization of the Eastern filbert blight epidemic in Western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1179-1182.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Johnson KB, Pinkerton JN &amp; Pscheidt JW (1992) Natural infection period and susceptibility of vegetative seedlings of European hazelnut to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348-352.</w:t>
      </w:r>
    </w:p>
    <w:p>
      <w:pPr>
        <w:widowControl w:val="on"/>
        <w:pBdr/>
        <w:spacing w:before="220" w:after="220" w:line="240" w:lineRule="auto"/>
        <w:ind w:left="0" w:right="0"/>
        <w:jc w:val="left"/>
      </w:pPr>
      <w:r>
        <w:rPr>
          <w:rFonts w:ascii="Calibri" w:hAnsi="Calibri" w:eastAsia="Calibri" w:cs="Calibri"/>
          <w:color w:val="000000"/>
          <w:sz w:val="22"/>
          <w:szCs w:val="22"/>
        </w:rPr>
        <w:t xml:space="preserve">Stone JK, Pinkerton JN &amp; Johnson KB (1994) Axenic culture of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evidence for self-inhibition of ascospore germination and colony growth.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674-683.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Thomas Molnar, Department of Plant Biology, Rutgers University, New Brunswick, New Jersey, USA. His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Anisogramma anomala</w:t>
      </w:r>
      <w:r>
        <w:rPr>
          <w:rFonts w:ascii="Calibri" w:hAnsi="Calibri" w:eastAsia="Calibri" w:cs="Calibri"/>
          <w:color w:val="000000"/>
          <w:sz w:val="22"/>
          <w:szCs w:val="22"/>
        </w:rPr>
        <w:t xml:space="preserve">. EPPO datasheets on pests recommended for regulation. Available online. </w:t>
      </w:r>
      <w:hyperlink r:id="rId4728663de13e199d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91412450" name="name9240663de13e19da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53663de13e19da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232833">
    <w:multiLevelType w:val="hybridMultilevel"/>
    <w:lvl w:ilvl="0" w:tplc="64528516">
      <w:start w:val="1"/>
      <w:numFmt w:val="decimal"/>
      <w:lvlText w:val="%1."/>
      <w:lvlJc w:val="left"/>
      <w:pPr>
        <w:ind w:left="720" w:hanging="360"/>
      </w:pPr>
    </w:lvl>
    <w:lvl w:ilvl="1" w:tplc="64528516" w:tentative="1">
      <w:start w:val="1"/>
      <w:numFmt w:val="lowerLetter"/>
      <w:lvlText w:val="%2."/>
      <w:lvlJc w:val="left"/>
      <w:pPr>
        <w:ind w:left="1440" w:hanging="360"/>
      </w:pPr>
    </w:lvl>
    <w:lvl w:ilvl="2" w:tplc="64528516" w:tentative="1">
      <w:start w:val="1"/>
      <w:numFmt w:val="lowerRoman"/>
      <w:lvlText w:val="%3."/>
      <w:lvlJc w:val="right"/>
      <w:pPr>
        <w:ind w:left="2160" w:hanging="180"/>
      </w:pPr>
    </w:lvl>
    <w:lvl w:ilvl="3" w:tplc="64528516" w:tentative="1">
      <w:start w:val="1"/>
      <w:numFmt w:val="decimal"/>
      <w:lvlText w:val="%4."/>
      <w:lvlJc w:val="left"/>
      <w:pPr>
        <w:ind w:left="2880" w:hanging="360"/>
      </w:pPr>
    </w:lvl>
    <w:lvl w:ilvl="4" w:tplc="64528516" w:tentative="1">
      <w:start w:val="1"/>
      <w:numFmt w:val="lowerLetter"/>
      <w:lvlText w:val="%5."/>
      <w:lvlJc w:val="left"/>
      <w:pPr>
        <w:ind w:left="3600" w:hanging="360"/>
      </w:pPr>
    </w:lvl>
    <w:lvl w:ilvl="5" w:tplc="64528516" w:tentative="1">
      <w:start w:val="1"/>
      <w:numFmt w:val="lowerRoman"/>
      <w:lvlText w:val="%6."/>
      <w:lvlJc w:val="right"/>
      <w:pPr>
        <w:ind w:left="4320" w:hanging="180"/>
      </w:pPr>
    </w:lvl>
    <w:lvl w:ilvl="6" w:tplc="64528516" w:tentative="1">
      <w:start w:val="1"/>
      <w:numFmt w:val="decimal"/>
      <w:lvlText w:val="%7."/>
      <w:lvlJc w:val="left"/>
      <w:pPr>
        <w:ind w:left="5040" w:hanging="360"/>
      </w:pPr>
    </w:lvl>
    <w:lvl w:ilvl="7" w:tplc="64528516" w:tentative="1">
      <w:start w:val="1"/>
      <w:numFmt w:val="lowerLetter"/>
      <w:lvlText w:val="%8."/>
      <w:lvlJc w:val="left"/>
      <w:pPr>
        <w:ind w:left="5760" w:hanging="360"/>
      </w:pPr>
    </w:lvl>
    <w:lvl w:ilvl="8" w:tplc="64528516" w:tentative="1">
      <w:start w:val="1"/>
      <w:numFmt w:val="lowerRoman"/>
      <w:lvlText w:val="%9."/>
      <w:lvlJc w:val="right"/>
      <w:pPr>
        <w:ind w:left="6480" w:hanging="180"/>
      </w:pPr>
    </w:lvl>
  </w:abstractNum>
  <w:abstractNum w:abstractNumId="73232832">
    <w:multiLevelType w:val="hybridMultilevel"/>
    <w:lvl w:ilvl="0" w:tplc="320392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232832">
    <w:abstractNumId w:val="73232832"/>
  </w:num>
  <w:num w:numId="73232833">
    <w:abstractNumId w:val="732328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3819089" Type="http://schemas.microsoft.com/office/2011/relationships/commentsExtended" Target="commentsExtended.xml"/><Relationship Id="rId110828190" Type="http://schemas.microsoft.com/office/2011/relationships/people" Target="people.xml"/><Relationship Id="rId2543663de13e16d82" Type="http://schemas.openxmlformats.org/officeDocument/2006/relationships/hyperlink" Target="https://gd.eppo.int/taxon/CRSPAN/" TargetMode="External"/><Relationship Id="rId9017663de13e16dec" Type="http://schemas.openxmlformats.org/officeDocument/2006/relationships/hyperlink" Target="https://gd.eppo.int/taxon/CRSPAN/categorization" TargetMode="External"/><Relationship Id="rId9426663de13e17719" Type="http://schemas.openxmlformats.org/officeDocument/2006/relationships/hyperlink" Target="https://gd.eppo.int/taxon/CRSPAN/photos" TargetMode="External"/><Relationship Id="rId8762663de13e19118" Type="http://schemas.openxmlformats.org/officeDocument/2006/relationships/hyperlink" Target="https://doi.org/10.1371/journal.pone.0082408" TargetMode="External"/><Relationship Id="rId7828663de13e1957f" Type="http://schemas.openxmlformats.org/officeDocument/2006/relationships/hyperlink" Target="https://doi.org/10.17660/ActaHortic.2023.1362.75" TargetMode="External"/><Relationship Id="rId3588663de13e1964d" Type="http://schemas.openxmlformats.org/officeDocument/2006/relationships/hyperlink" Target="https://doi.org/10.17660/ActaHortic.2018.1226.11" TargetMode="External"/><Relationship Id="rId3119663de13e196dd" Type="http://schemas.openxmlformats.org/officeDocument/2006/relationships/hyperlink" Target="https://doi.org/10.1094/PHYTO-06-18-0209-R" TargetMode="External"/><Relationship Id="rId2310663de13e1972f" Type="http://schemas.openxmlformats.org/officeDocument/2006/relationships/hyperlink" Target="https://pnwhandbooks.org/plantdisease/host-disease/hazelnut-corylus-avellana-eastern-filbert-blight" TargetMode="External"/><Relationship Id="rId4728663de13e199d5" Type="http://schemas.openxmlformats.org/officeDocument/2006/relationships/hyperlink" Target="https://gd.eppo.int" TargetMode="External"/><Relationship Id="rId6460663de13e175b9" Type="http://schemas.openxmlformats.org/officeDocument/2006/relationships/image" Target="media/imgrId6460663de13e175b9.jpg"/><Relationship Id="rId8133663de13e18734" Type="http://schemas.openxmlformats.org/officeDocument/2006/relationships/image" Target="media/imgrId8133663de13e18734.jpg"/><Relationship Id="rId7453663de13e19daa" Type="http://schemas.openxmlformats.org/officeDocument/2006/relationships/image" Target="media/imgrId7453663de13e19da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