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Cronartium fusiforme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2024-09-16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Cronartium fusiforme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Peck ex Hedgcock &amp; N.R. Hunt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Cronartiaceae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Cronartium quercuum f. sp. fusiforme</w:t>
            </w:r>
            <w:r>
              <w:rPr>
                <w:rFonts w:ascii="Calibri" w:hAnsi="Calibri" w:eastAsia="Calibri" w:cs="Calibri"/>
                <w:color w:val="000000"/>
                <w:position w:val="-3"/>
                <w:sz w:val="22"/>
                <w:szCs w:val="22"/>
              </w:rPr>
              <w:t xml:space="preserve"> Burdsall &amp; Snow, </w:t>
            </w:r>
            <w:r>
              <w:rPr>
                <w:rFonts w:ascii="Calibri" w:hAnsi="Calibri" w:eastAsia="Calibri" w:cs="Calibri"/>
                <w:i/>
                <w:iCs/>
                <w:color w:val="000000"/>
                <w:position w:val="-3"/>
                <w:sz w:val="22"/>
                <w:szCs w:val="22"/>
              </w:rPr>
              <w:t xml:space="preserve">Peridermium fusiforme</w:t>
            </w:r>
            <w:r>
              <w:rPr>
                <w:rFonts w:ascii="Calibri" w:hAnsi="Calibri" w:eastAsia="Calibri" w:cs="Calibri"/>
                <w:color w:val="000000"/>
                <w:position w:val="-3"/>
                <w:sz w:val="22"/>
                <w:szCs w:val="22"/>
              </w:rPr>
              <w:t xml:space="preserve"> Arthur &amp; F. Kern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Southern fusiform rust of pine, fusiform rust of Southern pines, fusiform rust of pine, rust of oak</w:t>
            </w:r>
            <w:hyperlink r:id="rId43066ad1efbce8a4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77586ad1efbce8a8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CRONFU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9728237" name="name16396ad1efbce9180" descr="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1.jpg"/>
                          <pic:cNvPicPr/>
                        </pic:nvPicPr>
                        <pic:blipFill>
                          <a:blip r:embed="rId83766ad1efbce917e" cstate="print"/>
                          <a:stretch>
                            <a:fillRect/>
                          </a:stretch>
                        </pic:blipFill>
                        <pic:spPr>
                          <a:xfrm>
                            <a:off x="0" y="0"/>
                            <a:ext cx="2160000" cy="1281600"/>
                          </a:xfrm>
                          <a:prstGeom prst="rect">
                            <a:avLst/>
                          </a:prstGeom>
                          <a:ln w="0">
                            <a:noFill/>
                          </a:ln>
                        </pic:spPr>
                      </pic:pic>
                    </a:graphicData>
                  </a:graphic>
                </wp:inline>
              </w:drawing>
            </w:r>
            <w:hyperlink r:id="rId93276ad1efbce92c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Peck ex Hedgc. &amp; N.R. Hunt is validly published as '(Peck) Hedgc. and Hunt., comb. nov.', by reference to the description of </w:t>
      </w:r>
      <w:r>
        <w:rPr>
          <w:rFonts w:ascii="Calibri" w:hAnsi="Calibri" w:eastAsia="Calibri" w:cs="Calibri"/>
          <w:i/>
          <w:iCs/>
          <w:color w:val="000000"/>
          <w:sz w:val="22"/>
          <w:szCs w:val="22"/>
        </w:rPr>
        <w:t xml:space="preserve">Peridermium fusiforme</w:t>
      </w:r>
      <w:r>
        <w:rPr>
          <w:rFonts w:ascii="Calibri" w:hAnsi="Calibri" w:eastAsia="Calibri" w:cs="Calibri"/>
          <w:color w:val="000000"/>
          <w:sz w:val="22"/>
          <w:szCs w:val="22"/>
        </w:rPr>
        <w:t xml:space="preserve"> Arthur &amp; F. Kern (Arthur and Kern, 1906). The validation made by Cummins (1956) as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Cummins, is not appropriate and should be considered as a synonym.</w:t>
      </w:r>
    </w:p>
    <w:p>
      <w:pPr>
        <w:widowControl w:val="on"/>
        <w:pBdr/>
        <w:spacing w:before="220" w:after="220" w:line="240" w:lineRule="auto"/>
        <w:ind w:left="0" w:right="0"/>
        <w:jc w:val="both"/>
      </w:pPr>
      <w:r>
        <w:rPr>
          <w:rFonts w:ascii="Calibri" w:hAnsi="Calibri" w:eastAsia="Calibri" w:cs="Calibri"/>
          <w:color w:val="000000"/>
          <w:sz w:val="22"/>
          <w:szCs w:val="22"/>
        </w:rPr>
        <w:t xml:space="preserve">Over the years, different names have been used for the causal agent of fusiform rust. In 1977, Burdsall and Snow concluded that, as the fungus was primarily pathogenic on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(loblolly pine) and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(slash pine), and no consistent morphological difference could be found between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(Berk.) Miyabe ex Shirai and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the latter should be considered as a </w:t>
      </w:r>
      <w:r>
        <w:rPr>
          <w:rFonts w:ascii="Calibri" w:hAnsi="Calibri" w:eastAsia="Calibri" w:cs="Calibri"/>
          <w:i/>
          <w:iCs/>
          <w:color w:val="000000"/>
          <w:sz w:val="22"/>
          <w:szCs w:val="22"/>
        </w:rPr>
        <w:t xml:space="preserve">forma specialis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As clarified by Hiratsuka (1995), the term </w:t>
      </w:r>
      <w:r>
        <w:rPr>
          <w:rFonts w:ascii="Calibri" w:hAnsi="Calibri" w:eastAsia="Calibri" w:cs="Calibri"/>
          <w:i/>
          <w:iCs/>
          <w:color w:val="000000"/>
          <w:sz w:val="22"/>
          <w:szCs w:val="22"/>
        </w:rPr>
        <w:t xml:space="preserve">forma specialis</w:t>
      </w:r>
      <w:r>
        <w:rPr>
          <w:rFonts w:ascii="Calibri" w:hAnsi="Calibri" w:eastAsia="Calibri" w:cs="Calibri"/>
          <w:color w:val="000000"/>
          <w:sz w:val="22"/>
          <w:szCs w:val="22"/>
        </w:rPr>
        <w:t xml:space="preserve"> can be used when no morphological differences exist, but host specificities are different. However, Kuhlman and Kaneko (1991) found minor morphological differences among the different </w:t>
      </w:r>
      <w:r>
        <w:rPr>
          <w:rFonts w:ascii="Calibri" w:hAnsi="Calibri" w:eastAsia="Calibri" w:cs="Calibri"/>
          <w:i/>
          <w:iCs/>
          <w:color w:val="000000"/>
          <w:sz w:val="22"/>
          <w:szCs w:val="22"/>
        </w:rPr>
        <w:t xml:space="preserve">formae speciales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More recently,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observed unique morphological features for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and multigene molecular phylogeny analysis showed that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formed a well-supported clade distinct from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thus supporting the fact that the fungus should not be considered as a </w:t>
      </w:r>
      <w:r>
        <w:rPr>
          <w:rFonts w:ascii="Calibri" w:hAnsi="Calibri" w:eastAsia="Calibri" w:cs="Calibri"/>
          <w:i/>
          <w:iCs/>
          <w:color w:val="000000"/>
          <w:sz w:val="22"/>
          <w:szCs w:val="22"/>
        </w:rPr>
        <w:t xml:space="preserve">forma specialis</w:t>
      </w:r>
      <w:r>
        <w:rPr>
          <w:rFonts w:ascii="Calibri" w:hAnsi="Calibri" w:eastAsia="Calibri" w:cs="Calibri"/>
          <w:color w:val="000000"/>
          <w:sz w:val="22"/>
          <w:szCs w:val="22"/>
        </w:rPr>
        <w:t xml:space="preserve">, but as a distinct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To complete its life cycle,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alternates between its aecial hosts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 primary hosts), and telial hosts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 secondary 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aecial hosts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are two- ­and three-needled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of which the most economically important in North America are the Southeastern species slash pine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and loblolly pine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Other species that are occasionally attacked include pitch pine (</w:t>
      </w:r>
      <w:r>
        <w:rPr>
          <w:rFonts w:ascii="Calibri" w:hAnsi="Calibri" w:eastAsia="Calibri" w:cs="Calibri"/>
          <w:i/>
          <w:iCs/>
          <w:color w:val="000000"/>
          <w:sz w:val="22"/>
          <w:szCs w:val="22"/>
        </w:rPr>
        <w:t xml:space="preserve">P. rigida</w:t>
      </w:r>
      <w:r>
        <w:rPr>
          <w:rFonts w:ascii="Calibri" w:hAnsi="Calibri" w:eastAsia="Calibri" w:cs="Calibri"/>
          <w:color w:val="000000"/>
          <w:sz w:val="22"/>
          <w:szCs w:val="22"/>
        </w:rPr>
        <w:t xml:space="preserve">) and pond pine (</w:t>
      </w:r>
      <w:r>
        <w:rPr>
          <w:rFonts w:ascii="Calibri" w:hAnsi="Calibri" w:eastAsia="Calibri" w:cs="Calibri"/>
          <w:i/>
          <w:iCs/>
          <w:color w:val="000000"/>
          <w:sz w:val="22"/>
          <w:szCs w:val="22"/>
        </w:rPr>
        <w:t xml:space="preserve">P. serotina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some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are resistant (e.g. red pine,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jack pine, </w:t>
      </w:r>
      <w:r>
        <w:rPr>
          <w:rFonts w:ascii="Calibri" w:hAnsi="Calibri" w:eastAsia="Calibri" w:cs="Calibri"/>
          <w:i/>
          <w:iCs/>
          <w:color w:val="000000"/>
          <w:sz w:val="22"/>
          <w:szCs w:val="22"/>
        </w:rPr>
        <w:t xml:space="preserve">P. banksiana</w:t>
      </w:r>
      <w:r>
        <w:rPr>
          <w:rFonts w:ascii="Calibri" w:hAnsi="Calibri" w:eastAsia="Calibri" w:cs="Calibri"/>
          <w:color w:val="000000"/>
          <w:sz w:val="22"/>
          <w:szCs w:val="22"/>
        </w:rPr>
        <w:t xml:space="preserve">), practically all can be experimentally infected to a certain extent. In an experimental study of seedlings of 45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from North America, Central America, the Caribbean, Asia and the Euro-Mediterranean region, all but one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showed some infection, and 12 species were more susceptible than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(Tainter &amp; Anderson, 1993). Of particular interest for the EPPO region was the fact that the fairly widely planted North American species lodgepole pine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western yellow pine (</w:t>
      </w:r>
      <w:r>
        <w:rPr>
          <w:rFonts w:ascii="Calibri" w:hAnsi="Calibri" w:eastAsia="Calibri" w:cs="Calibri"/>
          <w:i/>
          <w:iCs/>
          <w:color w:val="000000"/>
          <w:sz w:val="22"/>
          <w:szCs w:val="22"/>
        </w:rPr>
        <w:t xml:space="preserve">P. ponderosa</w:t>
      </w:r>
      <w:r>
        <w:rPr>
          <w:rFonts w:ascii="Calibri" w:hAnsi="Calibri" w:eastAsia="Calibri" w:cs="Calibri"/>
          <w:color w:val="000000"/>
          <w:sz w:val="22"/>
          <w:szCs w:val="22"/>
        </w:rPr>
        <w:t xml:space="preserve">) and Monterey pine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were all susceptible. Important European species which were relatively susceptible included Canary island pine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Aleppo pine (</w:t>
      </w:r>
      <w:r>
        <w:rPr>
          <w:rFonts w:ascii="Calibri" w:hAnsi="Calibri" w:eastAsia="Calibri" w:cs="Calibri"/>
          <w:i/>
          <w:iCs/>
          <w:color w:val="000000"/>
          <w:sz w:val="22"/>
          <w:szCs w:val="22"/>
        </w:rPr>
        <w:t xml:space="preserve">P. halepensis</w:t>
      </w:r>
      <w:r>
        <w:rPr>
          <w:rFonts w:ascii="Calibri" w:hAnsi="Calibri" w:eastAsia="Calibri" w:cs="Calibri"/>
          <w:color w:val="000000"/>
          <w:sz w:val="22"/>
          <w:szCs w:val="22"/>
        </w:rPr>
        <w:t xml:space="preserve">), some forms of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and umbrella pine (</w:t>
      </w:r>
      <w:r>
        <w:rPr>
          <w:rFonts w:ascii="Calibri" w:hAnsi="Calibri" w:eastAsia="Calibri" w:cs="Calibri"/>
          <w:i/>
          <w:iCs/>
          <w:color w:val="000000"/>
          <w:sz w:val="22"/>
          <w:szCs w:val="22"/>
        </w:rPr>
        <w:t xml:space="preserve">P. pinea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Mountain pine (</w:t>
      </w:r>
      <w:r>
        <w:rPr>
          <w:rFonts w:ascii="Calibri" w:hAnsi="Calibri" w:eastAsia="Calibri" w:cs="Calibri"/>
          <w:i/>
          <w:iCs/>
          <w:color w:val="000000"/>
          <w:sz w:val="22"/>
          <w:szCs w:val="22"/>
        </w:rPr>
        <w:t xml:space="preserve">P. mugo</w:t>
      </w:r>
      <w:r>
        <w:rPr>
          <w:rFonts w:ascii="Calibri" w:hAnsi="Calibri" w:eastAsia="Calibri" w:cs="Calibri"/>
          <w:color w:val="000000"/>
          <w:sz w:val="22"/>
          <w:szCs w:val="22"/>
        </w:rPr>
        <w:t xml:space="preserve">) and maritime pine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were less susceptible. Scots pine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was not tested in these experiments, but is considered as a host by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Species from Central America, the Caribbean and Asia were also susceptible.</w:t>
      </w:r>
    </w:p>
    <w:p>
      <w:pPr>
        <w:widowControl w:val="on"/>
        <w:pBdr/>
        <w:spacing w:before="220" w:after="220" w:line="240" w:lineRule="auto"/>
        <w:ind w:left="0" w:right="0"/>
        <w:jc w:val="both"/>
      </w:pPr>
      <w:r>
        <w:rPr>
          <w:rFonts w:ascii="Calibri" w:hAnsi="Calibri" w:eastAsia="Calibri" w:cs="Calibri"/>
          <w:color w:val="000000"/>
          <w:sz w:val="22"/>
          <w:szCs w:val="22"/>
        </w:rPr>
        <w:t xml:space="preserve">The telial hosts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are mainly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of the red oak group and generally not the white oak group. Typical host species are water oak (</w:t>
      </w:r>
      <w:r>
        <w:rPr>
          <w:rFonts w:ascii="Calibri" w:hAnsi="Calibri" w:eastAsia="Calibri" w:cs="Calibri"/>
          <w:i/>
          <w:iCs/>
          <w:color w:val="000000"/>
          <w:sz w:val="22"/>
          <w:szCs w:val="22"/>
        </w:rPr>
        <w:t xml:space="preserve">Q. nigra</w:t>
      </w:r>
      <w:r>
        <w:rPr>
          <w:rFonts w:ascii="Calibri" w:hAnsi="Calibri" w:eastAsia="Calibri" w:cs="Calibri"/>
          <w:color w:val="000000"/>
          <w:sz w:val="22"/>
          <w:szCs w:val="22"/>
        </w:rPr>
        <w:t xml:space="preserve">) and willow oak (</w:t>
      </w:r>
      <w:r>
        <w:rPr>
          <w:rFonts w:ascii="Calibri" w:hAnsi="Calibri" w:eastAsia="Calibri" w:cs="Calibri"/>
          <w:i/>
          <w:iCs/>
          <w:color w:val="000000"/>
          <w:sz w:val="22"/>
          <w:szCs w:val="22"/>
        </w:rPr>
        <w:t xml:space="preserve">Q. phellos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North American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spp. (such as </w:t>
      </w:r>
      <w:r>
        <w:rPr>
          <w:rFonts w:ascii="Calibri" w:hAnsi="Calibri" w:eastAsia="Calibri" w:cs="Calibri"/>
          <w:i/>
          <w:iCs/>
          <w:color w:val="000000"/>
          <w:sz w:val="22"/>
          <w:szCs w:val="22"/>
        </w:rPr>
        <w:t xml:space="preserve">C. dentata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Castanopsis</w:t>
      </w:r>
      <w:r>
        <w:rPr>
          <w:rFonts w:ascii="Calibri" w:hAnsi="Calibri" w:eastAsia="Calibri" w:cs="Calibri"/>
          <w:color w:val="000000"/>
          <w:sz w:val="22"/>
          <w:szCs w:val="22"/>
        </w:rPr>
        <w:t xml:space="preserve"> spp. have also been recorded as hosts from the USA (MyCoPortal, 2024), but their host status needs to be further verified considering the more recent changes in taxonomy.</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Spaulding (1956, 1961), Boyce (1961), USDA (1963), Davidson &amp; Prentice (1967), Peterson (1967), Hepting (1971), Ziller (1974),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caribaea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cooperi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massoniana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pseudostrobus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emoryi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fabri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kelloggii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lyrata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pagoda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phellos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variabilis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Vincetoxicum nigrum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is endemic to the South-Eastern United States and is the most economically damaging fungal disease of pine trees in this region. The fungus has recently been found on old herbarium specimens from East Asia (China, Japan) and Northern Europe (Sweden on </w:t>
      </w:r>
      <w:r>
        <w:rPr>
          <w:rFonts w:ascii="Calibri" w:hAnsi="Calibri" w:eastAsia="Calibri" w:cs="Calibri"/>
          <w:i/>
          <w:iCs/>
          <w:color w:val="000000"/>
          <w:sz w:val="22"/>
          <w:szCs w:val="22"/>
        </w:rPr>
        <w:t xml:space="preserve">Vincetoxicum nigrum</w:t>
      </w:r>
      <w:r>
        <w:rPr>
          <w:rFonts w:ascii="Calibri" w:hAnsi="Calibri" w:eastAsia="Calibri" w:cs="Calibri"/>
          <w:color w:val="000000"/>
          <w:sz w:val="22"/>
          <w:szCs w:val="22"/>
        </w:rPr>
        <w:t xml:space="preserv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the presence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in those countries still needs to be confirmed.</w:t>
      </w:r>
    </w:p>
    <w:p>
      <w:r>
        <w:drawing>
          <wp:inline distT="0" distB="0" distL="0" distR="0">
            <wp:extent cx="6120000" cy="3067200"/>
            <wp:docPr id="55587844" name="name85496ad1efbceaa43" descr="CRONF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NFU_distribution_map.jpg"/>
                    <pic:cNvPicPr/>
                  </pic:nvPicPr>
                  <pic:blipFill>
                    <a:blip r:embed="rId73186ad1efbceaa4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Arkansas, District of Columbia, Florida, Georgia, Indiana, Louisiana, Maryland, Mississippi, North Carolina, South Carolina, Tennessee, Texas, Virginia, West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Spermogonia and aecia are produced in the spring and early summer, one to several years after infection of the aecial hosts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Aeciospores, produced in the aecia, are windborne and may be carried over long distances. These spores cannot re-infect the aecial host on which they are produced but can infect the telial host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Approximately two weeks after infection of the telial host by aeciospores, uredinia develop on the abaxial leaf surface. Uredinia are produced throughout the summer and urediniospores produced therein reinfect the telial hosts. Urediniospores are windborne and may be carried over long distances. Telia are produced in late summer and the teliospores germinate in place to produce basidiospores (Sinclair and Lyon, 2005). Basidiospores are sensitive to drying and solar radiation and mostly released during night time (Sinclair and Lyon, 2005). Dispersal is usually limited to an area within 1.5 km of the telial host.</w:t>
      </w:r>
    </w:p>
    <w:p>
      <w:pPr>
        <w:widowControl w:val="on"/>
        <w:pBdr/>
        <w:spacing w:before="220" w:after="220" w:line="240" w:lineRule="auto"/>
        <w:ind w:left="0" w:right="0"/>
        <w:jc w:val="both"/>
      </w:pPr>
      <w:r>
        <w:rPr>
          <w:rFonts w:ascii="Calibri" w:hAnsi="Calibri" w:eastAsia="Calibri" w:cs="Calibri"/>
          <w:color w:val="000000"/>
          <w:sz w:val="22"/>
          <w:szCs w:val="22"/>
        </w:rPr>
        <w:t xml:space="preserve">The windborne basidiospores infect the first-year pine needles during summer and autumn (Sinclair and Lyon, 2005). Host infection occurs by direct penetration of the branches or stems, following basidiospore germination. This results in the production of spindle, or fusiform, shaped swellings that are typical for this rust. The time between infection of the aecial hosts and the formation of spermogonia ranges from several weeks to more than two years. Cross-fertilisation of the spermogonia occurs through hyphal anastomoses (Schmidt and Miller, 1999) or by insects (Sinclair and Lyon, 2005). Spermogonia on the aecial hosts are produced on the galls on branches and stems. After several weeks (up to one year), aecia are produced where spermogonia previously appeared, producing yellow to orange aeciospores (Sinclair and Lyon, 2005). The aeciospores have thick walls, tolerate U.V. light and desiccation and can disperse over long distances.</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overwinters in branches, stems and galls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The fungus is perennial in pine tissue after infection and grows into the outer rings of sapwood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experiments, basidiospores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demonstrated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germination within a 24-hour timeframe at temperatures ranging from 8 to 32°C. Notably, at 32°C, only short germ tubes were observed. Germination was observed between 12 to 28°C, with 90% of maximum germination occurring at temperatures spanning 14.6 to 29.6°C. When subjected to moist incubation for 24 hours at 11.6 to 23.4°C, a 90% maximum infection rate was achieved in susceptible pine seedlings. The basidiospores exhibited the ability to initiate infections across a broad temperature spectrum of 8 to 28°C during the 24-hour period of moist incubation (Kuhlman and Pepper, 1994).</w:t>
      </w:r>
    </w:p>
    <w:p>
      <w:pPr>
        <w:widowControl w:val="on"/>
        <w:pBdr/>
        <w:spacing w:before="220" w:after="220" w:line="240" w:lineRule="auto"/>
        <w:ind w:left="0" w:right="0"/>
        <w:jc w:val="both"/>
      </w:pPr>
      <w:r>
        <w:rPr>
          <w:rFonts w:ascii="Calibri" w:hAnsi="Calibri" w:eastAsia="Calibri" w:cs="Calibri"/>
          <w:color w:val="000000"/>
          <w:sz w:val="22"/>
          <w:szCs w:val="22"/>
        </w:rPr>
        <w:t xml:space="preserve">Artificial inoculation of </w:t>
      </w:r>
      <w:r>
        <w:rPr>
          <w:rFonts w:ascii="Calibri" w:hAnsi="Calibri" w:eastAsia="Calibri" w:cs="Calibri"/>
          <w:i/>
          <w:iCs/>
          <w:color w:val="000000"/>
          <w:sz w:val="22"/>
          <w:szCs w:val="22"/>
        </w:rPr>
        <w:t xml:space="preserve">P. eliliotii</w:t>
      </w:r>
      <w:r>
        <w:rPr>
          <w:rFonts w:ascii="Calibri" w:hAnsi="Calibri" w:eastAsia="Calibri" w:cs="Calibri"/>
          <w:color w:val="000000"/>
          <w:sz w:val="22"/>
          <w:szCs w:val="22"/>
        </w:rPr>
        <w:t xml:space="preserve"> (slash pine) seedlings with basidiospores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showed that the fungal hyphae produced an infection peg that penetrated through cuticle and cell walls of epidermal cells of hypocotyls, cotyledons, stems and primary and secondary needles. Appressoria were rarely formed by the fungus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Following penetration, there is rapid and profuse colonization of the mesophyll and endodermis, resulting in partial to complete host-cell dissolution. Schmidt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have analysed the site factors which favour fusiform rust in young plantations and found that rust incidence was greatest on sites well-drained soils than poorly drained. The widely distributed and much studied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has similar 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Genomic resources are now available for fusiform rust. The complete genome was sequenced and revealed gene gain and gene losses associated with the biotrophic lifestyle of the pathogen (Pendleton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typical spindle-shaped, elongate stem and branch galls form, growing at a rate of 7-12 cm annually. Old infections develop into sunken cankers, while seedling infection results in a witches' broom appearance. On the alternate host,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inconspicuous leaf spots occur and telia can be observed. Only in cases of extremely severe infection will oak leaf abscission be observed.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Aecia caulicolous, erumpent from the bark, on trunks or branches, usually with spindle-shaped or variously elongated galls, partial bark collars presence at the edge of galls, peridia are two to several cells thick, peridial cells ellipsoid or linear, 58–117 × 15–27 μm, wall coarsely verrucose, aeciospores subglobose, ellipsoid, oblong, or fusoid, or sometimes pointed 17–45 × 15–27 μm (average dimensions 28 × 19), walls are 2.5–6.5 μm thick (mostly 3–5 μm), coarsely verrucose, warts annulate, 1–2 annuli, variable in shape, cylindrical, or joined to form ridges or appearing labyrinthine, with small bumps on top. Uredinia hypophyllous, minute, scattered, 0.2–0.4 mm in diameter, uredinial paraphyses present, urediniospores oval, broadly ellipsoid, obovate, 14–33 × 13–22 μm, wall hyaline, 2–2.5 (–3) μm thick, echinulate, germ pores mostly scattered, inconspicuous. Telia hypophyllous, cylindrical to filiformis (with hair-like columns), 1.2–3.5 mm long, straight or slightly curved, bright yellow, cross-section of telia with 7–10 teliospores, teliospores oblong, 25–54 × 10–21 μm, catenulate, wall colorless, 2.5–5.5 μm thick, without surface ornamentation (Cummins 1956; Peterson 1967,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Random amplified polymorphic DNA markers may be used to "fingerprint" individual isolates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(Doudrick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1993a; 1993b). In a phylogenetic tree based on three nuclear ribosomal RNA gene regions, i.e., the internal transcribed spacer regions and intervening 5.8S nrRNA gene (ITS), the large subunit (LSU) and the small subunit (SSU) rDNA,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formed a well-supported clade distant from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Two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genus PCR assays can be used for the detection of multiple species of phytosanitary concern, including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coleosporioides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comandrae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comptoniae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ribicola </w:t>
      </w:r>
      <w:r>
        <w:rPr>
          <w:rFonts w:ascii="Calibri" w:hAnsi="Calibri" w:eastAsia="Calibri" w:cs="Calibri"/>
          <w:color w:val="000000"/>
          <w:sz w:val="22"/>
          <w:szCs w:val="22"/>
        </w:rPr>
        <w:t xml:space="preserve">(Bergeron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can be carried over considerable distances as wind-borne aeciospores (e.g. more than 400 km for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Maloy, 2003) and can survive considerable periods in the airborne state (Chang &amp; Blenis, 1989). More importantly, these rusts can be carried to new areas on plants for planting of their coniferous hosts, as has occurred in parts of the USA. The long incubation periods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rusts mean that latent infections easily go undetected unless post-entry quarantine is applied. As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require live host tissues to survive, the risks associated with movement of non-squared coniferous wood seems to be limited (EFSA, 2018). As the alternate hosts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are deciduous and infection is restricted to the leaves, there should be no risk in shipment of dormant material. Similarly, there is no known risk in movement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seeds or pollen.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rusts cause very important diseases throughout the world, resulting in malformation, reduced vigour and death of trees and seedlings. However, their abundance depends primarily on the abundance of the telial host (Gross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causes the most serious forest-tree disease in the Southern USA, especially on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attacking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immediately after germination onwards (damage to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is insignificant). Stem-girdling galls are particularly damaging (Walkinshaw &amp; Roland, 1990). The disease can kill young pines (1-to 5-year-old), and increases potential wind breakage of older trees. Much more information is published on this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species than on all the North American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of conifers put together. Fusiform rusts infection on economically valuable loblolly pine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slash pine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in South-Eastern US cause over 140 million USD annual estimated economic losses (Wijesinghe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Equations have been developed to predict survival of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infected by fusiform rust (Devine &amp; Clutter, 1985). For more information on the pest significance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see also Boyce (1961), Peterson &amp; Jewell (1968), Ziller (1974), Sinclair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best control strategy for fusiform rust is through breeding and selection for resistance. Fortunately, genetic rust resistance is relatively abundant in the commercially important slash and loblolly pines in the USA. This has become the foundation for the management of the disease (Schmidt, 2003). Rust resistant parents are established in seed orchards seedlings from open-pollinated resistant parent trees or from control matings (full-sibs) have been deployed over millions of acres of forest plantations, especially in high-rust-hazard areas. A variety of options are available to land managers who can utilize some unique resistant genotypes in very large plantings (narrow genetic base, but durable resistance) in relatively short rotations (Sniezko, 2014). Additional control measures include the removal of infected material, in particular in nurseries. Eradicating the alternate host is not a practical possibility. Nurseries should be located away from possible infection sources. Chemicals can be used as seed treatments or as sprays (Runion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Carey &amp; Kelley, 1994; Haywood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Research into resistant cultivars and systemic fungicides has led to successful control, especially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in forest nurseries (Powers, 1984). Triadimefon fungicide treatments significantly minimized rust-related damage in pine plantations. This led to increased survival rates, a reduced occurrence of stem galls in trees, fewer galls below 5 feet of tree height (1.5 m), a decreased presence of trees with galls encircling 76-100% of the stem, higher total volume per acre, and a smaller volume among trees affected by the infection (CABI, 2019). Carey and Kelley (1994) examined the effectiveness of cyproconazole seed treatment and foliar sprays in managing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on loblolly pine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seedlings. The investigation involved greenhouse trials in North Carolina and nursery trials in Alabama. Results from the nursery trials revealed a significant percentage (54%) of untreated seedlings exhibiting gall formation at lifting. Conversely, no galls developed on seedlings treated with the lowest rate of cyproconazole foliar spray without the seed treatment, and only 0.1% of seedlings treated solely with the seed treatment exhibited gall formation. Laboratory inoculations demonstrated that cyproconazole seed treatments remained effective for at least 20 and 30 days, respectively, while foliar sprays were effective for 14 days but not for 21 days.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presented by non-European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to the EPPO region is classically exemplified by reference to the quarantine pest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(Phillips, 1988), which has made it almost impossible to grow </w:t>
      </w:r>
      <w:r>
        <w:rPr>
          <w:rFonts w:ascii="Calibri" w:hAnsi="Calibri" w:eastAsia="Calibri" w:cs="Calibri"/>
          <w:i/>
          <w:iCs/>
          <w:color w:val="000000"/>
          <w:sz w:val="22"/>
          <w:szCs w:val="22"/>
        </w:rPr>
        <w:t xml:space="preserve">P. strobus</w:t>
      </w:r>
      <w:r>
        <w:rPr>
          <w:rFonts w:ascii="Calibri" w:hAnsi="Calibri" w:eastAsia="Calibri" w:cs="Calibri"/>
          <w:color w:val="000000"/>
          <w:sz w:val="22"/>
          <w:szCs w:val="22"/>
        </w:rPr>
        <w:t xml:space="preserve"> commercially in most areas in Europe and North America to which the fungus was introduced from Asia.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is the most important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 on Southern pines (</w:t>
      </w:r>
      <w:r>
        <w:rPr>
          <w:rFonts w:ascii="Calibri" w:hAnsi="Calibri" w:eastAsia="Calibri" w:cs="Calibri"/>
          <w:i/>
          <w:iCs/>
          <w:color w:val="000000"/>
          <w:sz w:val="22"/>
          <w:szCs w:val="22"/>
        </w:rPr>
        <w:t xml:space="preserve">P. elliottii, P. taeda</w:t>
      </w:r>
      <w:r>
        <w:rPr>
          <w:rFonts w:ascii="Calibri" w:hAnsi="Calibri" w:eastAsia="Calibri" w:cs="Calibri"/>
          <w:color w:val="000000"/>
          <w:sz w:val="22"/>
          <w:szCs w:val="22"/>
        </w:rPr>
        <w:t xml:space="preserve">) in North America at the present time, and though its main North American hosts are not grown commercially in the EPPO region, other North American hosts are widely planted in parts of the EPPO region. Some European, and especially Mediterranean,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have proved experimentally susceptible.</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however, be stressed that the potential risk from introduced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to pines is much affected by the prevalence of the telial hosts, mainly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No information seems to be available on the susceptibility of European species of these genera. The most widespread European oak species are "white oaks" (subgenus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and thus belong to the group which is not susceptible to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in North America. North American red oaks are planted to a limited extent in Europe (e.g.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but not the main southeastern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European evergreen oaks (e.g. </w:t>
      </w:r>
      <w:r>
        <w:rPr>
          <w:rFonts w:ascii="Calibri" w:hAnsi="Calibri" w:eastAsia="Calibri" w:cs="Calibri"/>
          <w:i/>
          <w:iCs/>
          <w:color w:val="000000"/>
          <w:sz w:val="22"/>
          <w:szCs w:val="22"/>
        </w:rPr>
        <w:t xml:space="preserve">Q. ilex</w:t>
      </w:r>
      <w:r>
        <w:rPr>
          <w:rFonts w:ascii="Calibri" w:hAnsi="Calibri" w:eastAsia="Calibri" w:cs="Calibri"/>
          <w:color w:val="000000"/>
          <w:sz w:val="22"/>
          <w:szCs w:val="22"/>
        </w:rPr>
        <w:t xml:space="preserve">) could be susceptible, but there is no direct evidence of this. Kuhlman &amp; Matthews (1993) mention propagation of single-aeciospore isolates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on the Asian species </w:t>
      </w:r>
      <w:r>
        <w:rPr>
          <w:rFonts w:ascii="Calibri" w:hAnsi="Calibri" w:eastAsia="Calibri" w:cs="Calibri"/>
          <w:i/>
          <w:iCs/>
          <w:color w:val="000000"/>
          <w:sz w:val="22"/>
          <w:szCs w:val="22"/>
        </w:rPr>
        <w:t xml:space="preserve">Q. acutissima</w:t>
      </w:r>
      <w:r>
        <w:rPr>
          <w:rFonts w:ascii="Calibri" w:hAnsi="Calibri" w:eastAsia="Calibri" w:cs="Calibri"/>
          <w:color w:val="000000"/>
          <w:sz w:val="22"/>
          <w:szCs w:val="22"/>
        </w:rPr>
        <w:t xml:space="preserve">. Tainter &amp; Anderson (1993) mention that the Californian </w:t>
      </w:r>
      <w:r>
        <w:rPr>
          <w:rFonts w:ascii="Calibri" w:hAnsi="Calibri" w:eastAsia="Calibri" w:cs="Calibri"/>
          <w:i/>
          <w:iCs/>
          <w:color w:val="000000"/>
          <w:sz w:val="22"/>
          <w:szCs w:val="22"/>
        </w:rPr>
        <w:t xml:space="preserve">Q. kelloggii</w:t>
      </w:r>
      <w:r>
        <w:rPr>
          <w:rFonts w:ascii="Calibri" w:hAnsi="Calibri" w:eastAsia="Calibri" w:cs="Calibri"/>
          <w:color w:val="000000"/>
          <w:sz w:val="22"/>
          <w:szCs w:val="22"/>
        </w:rPr>
        <w:t xml:space="preserve"> is as susceptible as the Southeastern </w:t>
      </w:r>
      <w:r>
        <w:rPr>
          <w:rFonts w:ascii="Calibri" w:hAnsi="Calibri" w:eastAsia="Calibri" w:cs="Calibri"/>
          <w:i/>
          <w:iCs/>
          <w:color w:val="000000"/>
          <w:sz w:val="22"/>
          <w:szCs w:val="22"/>
        </w:rPr>
        <w:t xml:space="preserve">Q. nigra</w:t>
      </w:r>
      <w:r>
        <w:rPr>
          <w:rFonts w:ascii="Calibri" w:hAnsi="Calibri" w:eastAsia="Calibri" w:cs="Calibri"/>
          <w:color w:val="000000"/>
          <w:sz w:val="22"/>
          <w:szCs w:val="22"/>
        </w:rPr>
        <w:t xml:space="preserve">, and imply that the propensity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to attack "exotic" aecial hosts could be matched by a similar propensity to attack "exotic" telial 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is a very serious disease in North America. Several European species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have been experimentally shown to be susceptible (but not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and only to a limited extent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Several widely planted North American species are susceptible. No European species have been specifically recorded as a telial host and North American red oaks are planted in Europe to only a rather limited extent. Accordingly,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can be considered to present a risk for the EPPO region, but one which would be much more clearly defined if the status of European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as potential telial hosts were systematically examined.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symptoms may not be apparent for many years after infection, the only practical safeguard is to prohibit entry of the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hosts plants for planting from countries where </w:t>
      </w:r>
      <w:r>
        <w:rPr>
          <w:rFonts w:ascii="Calibri" w:hAnsi="Calibri" w:eastAsia="Calibri" w:cs="Calibri"/>
          <w:i/>
          <w:iCs/>
          <w:color w:val="000000"/>
          <w:sz w:val="22"/>
          <w:szCs w:val="22"/>
        </w:rPr>
        <w:t xml:space="preserve">C. fusiform</w:t>
      </w:r>
      <w:r>
        <w:rPr>
          <w:rFonts w:ascii="Calibri" w:hAnsi="Calibri" w:eastAsia="Calibri" w:cs="Calibri"/>
          <w:color w:val="000000"/>
          <w:sz w:val="22"/>
          <w:szCs w:val="22"/>
        </w:rPr>
        <w:t xml:space="preserve"> occurs. Other phytosanitary measures could require that these plants are produced in pest-free areas or pest free places of production (with their immediate vicinity also free from the pests during the last growing season) (EPPO, 2010, 2017a &amp; 2017b).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should only be imported in a dormant state, without leaves. Wood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should originate from pest-free areas, or should be debarked or should have been appropriated treated (EPPO 2017ab,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Amerson HV, Frampton LJ Jr &amp; Mort RL (1985) In vitro methods for the study of fusiform rust in association with loblolly pine, pp. 103-123. In: Proceedings of the IUFRO Conference Rusts of Hard Pines. Athens, Ga. 331 pp.</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RL, McClure JP, Cost N &amp; Uhler RJ (1986) Estimating fusiform rust losses in five southeast states. </w:t>
      </w:r>
      <w:r>
        <w:rPr>
          <w:rFonts w:ascii="Calibri" w:hAnsi="Calibri" w:eastAsia="Calibri" w:cs="Calibri"/>
          <w:i/>
          <w:iCs/>
          <w:color w:val="000000"/>
          <w:sz w:val="22"/>
          <w:szCs w:val="22"/>
        </w:rPr>
        <w:t xml:space="preserve">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237-240.</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RL, McCartney TC, Cost ND, Devine H &amp; Botkin M (1988) Fusiform-rust-hazard maps for loblolly and slash pines. </w:t>
      </w:r>
      <w:r>
        <w:rPr>
          <w:rFonts w:ascii="Calibri" w:hAnsi="Calibri" w:eastAsia="Calibri" w:cs="Calibri"/>
          <w:i/>
          <w:iCs/>
          <w:color w:val="000000"/>
          <w:sz w:val="22"/>
          <w:szCs w:val="22"/>
        </w:rPr>
        <w:t xml:space="preserve">Research note - Southeastern Forest Experiment Station, USDA Forest Service</w:t>
      </w:r>
      <w:r>
        <w:rPr>
          <w:rFonts w:ascii="Calibri" w:hAnsi="Calibri" w:eastAsia="Calibri" w:cs="Calibri"/>
          <w:color w:val="000000"/>
          <w:sz w:val="22"/>
          <w:szCs w:val="22"/>
        </w:rPr>
        <w:t xml:space="preserve"> No. SE-351, 7 pp.</w:t>
      </w:r>
    </w:p>
    <w:p>
      <w:pPr>
        <w:widowControl w:val="on"/>
        <w:pBdr/>
        <w:spacing w:before="220" w:after="220" w:line="240" w:lineRule="auto"/>
        <w:ind w:left="0" w:right="0"/>
        <w:jc w:val="left"/>
      </w:pPr>
      <w:r>
        <w:rPr>
          <w:rFonts w:ascii="Calibri" w:hAnsi="Calibri" w:eastAsia="Calibri" w:cs="Calibri"/>
          <w:color w:val="000000"/>
          <w:sz w:val="22"/>
          <w:szCs w:val="22"/>
        </w:rPr>
        <w:t xml:space="preserve">Arthur JC &amp; Kern FD (1906) North American species of </w:t>
      </w:r>
      <w:r>
        <w:rPr>
          <w:rFonts w:ascii="Calibri" w:hAnsi="Calibri" w:eastAsia="Calibri" w:cs="Calibri"/>
          <w:i/>
          <w:iCs/>
          <w:color w:val="000000"/>
          <w:sz w:val="22"/>
          <w:szCs w:val="22"/>
        </w:rPr>
        <w:t xml:space="preserve">Peridermium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Torrey Botanical Club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403-438.</w:t>
      </w:r>
    </w:p>
    <w:p>
      <w:pPr>
        <w:widowControl w:val="on"/>
        <w:pBdr/>
        <w:spacing w:before="220" w:after="220" w:line="240" w:lineRule="auto"/>
        <w:ind w:left="0" w:right="0"/>
        <w:jc w:val="left"/>
      </w:pPr>
      <w:r>
        <w:rPr>
          <w:rFonts w:ascii="Calibri" w:hAnsi="Calibri" w:eastAsia="Calibri" w:cs="Calibri"/>
          <w:color w:val="000000"/>
          <w:sz w:val="22"/>
          <w:szCs w:val="22"/>
        </w:rPr>
        <w:t xml:space="preserve">Bergeron M-J, Feau N, Stewart D, Tanguay P &amp; Hamelin RC (2019) Genome-enhanced detection and identification of fungal pathogens responsible for pine and poplar rust diseases.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(2), e0210952. </w:t>
      </w:r>
      <w:hyperlink r:id="rId45276ad1efbcebc61" w:history="1">
        <w:r>
          <w:rPr>
            <w:rFonts w:ascii="Calibri" w:hAnsi="Calibri" w:eastAsia="Calibri" w:cs="Calibri"/>
            <w:color w:val="0000CC"/>
            <w:sz w:val="22"/>
            <w:szCs w:val="22"/>
            <w:u w:val="single"/>
          </w:rPr>
          <w:t xml:space="preserve">https://doi.org/10.1371/journal.pone.0210952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Boyce JS (1961)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(3rd edition), pp. 201-217. McGraw-Hill Book Co.,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Burdsall HH Jr &amp; Snow GA (1977) Taxonomy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503-508.</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w:t>
      </w: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(Southern fusiform rust) CABI Compendium. </w:t>
      </w:r>
      <w:hyperlink r:id="rId69476ad1efbcebd98" w:history="1">
        <w:r>
          <w:rPr>
            <w:rFonts w:ascii="Calibri" w:hAnsi="Calibri" w:eastAsia="Calibri" w:cs="Calibri"/>
            <w:color w:val="0000CC"/>
            <w:sz w:val="22"/>
            <w:szCs w:val="22"/>
            <w:u w:val="single"/>
          </w:rPr>
          <w:t xml:space="preserve">https://www.cabidigitallibrary.org/doi/10.1079/cabicompendium.16151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Carey WA &amp; Kelley WD (1994) Cyproconazole for control of fusiform rust on loblolly pine seedlings.</w:t>
      </w:r>
      <w:r>
        <w:rPr>
          <w:rFonts w:ascii="Calibri" w:hAnsi="Calibri" w:eastAsia="Calibri" w:cs="Calibri"/>
          <w:i/>
          <w:iCs/>
          <w:color w:val="000000"/>
          <w:sz w:val="22"/>
          <w:szCs w:val="22"/>
        </w:rPr>
        <w:t xml:space="preserve"> 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101-104.</w:t>
      </w:r>
    </w:p>
    <w:p>
      <w:pPr>
        <w:widowControl w:val="on"/>
        <w:pBdr/>
        <w:spacing w:before="220" w:after="220" w:line="240" w:lineRule="auto"/>
        <w:ind w:left="0" w:right="0"/>
        <w:jc w:val="left"/>
      </w:pPr>
      <w:r>
        <w:rPr>
          <w:rFonts w:ascii="Calibri" w:hAnsi="Calibri" w:eastAsia="Calibri" w:cs="Calibri"/>
          <w:color w:val="000000"/>
          <w:sz w:val="22"/>
          <w:szCs w:val="22"/>
        </w:rPr>
        <w:t xml:space="preserve">Chang KF &amp; Blenis PV (1989) Survival of </w:t>
      </w:r>
      <w:r>
        <w:rPr>
          <w:rFonts w:ascii="Calibri" w:hAnsi="Calibri" w:eastAsia="Calibri" w:cs="Calibri"/>
          <w:i/>
          <w:iCs/>
          <w:color w:val="000000"/>
          <w:sz w:val="22"/>
          <w:szCs w:val="22"/>
        </w:rPr>
        <w:t xml:space="preserve">Endocronartium harknessii</w:t>
      </w:r>
      <w:r>
        <w:rPr>
          <w:rFonts w:ascii="Calibri" w:hAnsi="Calibri" w:eastAsia="Calibri" w:cs="Calibri"/>
          <w:color w:val="000000"/>
          <w:sz w:val="22"/>
          <w:szCs w:val="22"/>
        </w:rPr>
        <w:t xml:space="preserve"> teliospores in a simulated airborne state.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928-932.</w:t>
      </w:r>
    </w:p>
    <w:p>
      <w:pPr>
        <w:widowControl w:val="on"/>
        <w:pBdr/>
        <w:spacing w:before="220" w:after="220" w:line="240" w:lineRule="auto"/>
        <w:ind w:left="0" w:right="0"/>
        <w:jc w:val="left"/>
      </w:pPr>
      <w:r>
        <w:rPr>
          <w:rFonts w:ascii="Calibri" w:hAnsi="Calibri" w:eastAsia="Calibri" w:cs="Calibri"/>
          <w:color w:val="000000"/>
          <w:sz w:val="22"/>
          <w:szCs w:val="22"/>
        </w:rPr>
        <w:t xml:space="preserve">CMI (1977) </w:t>
      </w:r>
      <w:r>
        <w:rPr>
          <w:rFonts w:ascii="Calibri" w:hAnsi="Calibri" w:eastAsia="Calibri" w:cs="Calibri"/>
          <w:i/>
          <w:iCs/>
          <w:color w:val="000000"/>
          <w:sz w:val="22"/>
          <w:szCs w:val="22"/>
        </w:rPr>
        <w:t xml:space="preserve">Distribution Maps of Plant Diseases</w:t>
      </w:r>
      <w:r>
        <w:rPr>
          <w:rFonts w:ascii="Calibri" w:hAnsi="Calibri" w:eastAsia="Calibri" w:cs="Calibri"/>
          <w:color w:val="000000"/>
          <w:sz w:val="22"/>
          <w:szCs w:val="22"/>
        </w:rPr>
        <w:t xml:space="preserve"> No. 475 (edition 2).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Cummins GB (1956) Nomenclatural changes for some North American Uredinales.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601-608.</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AG &amp; Prentice RM (1967) Important forest insects and diseases of mutual concern to Canada, the United States and Mexico. </w:t>
      </w:r>
      <w:r>
        <w:rPr>
          <w:rFonts w:ascii="Calibri" w:hAnsi="Calibri" w:eastAsia="Calibri" w:cs="Calibri"/>
          <w:i/>
          <w:iCs/>
          <w:color w:val="000000"/>
          <w:sz w:val="22"/>
          <w:szCs w:val="22"/>
        </w:rPr>
        <w:t xml:space="preserve">Department of Forest and Rural Development, Canada Publication</w:t>
      </w:r>
      <w:r>
        <w:rPr>
          <w:rFonts w:ascii="Calibri" w:hAnsi="Calibri" w:eastAsia="Calibri" w:cs="Calibri"/>
          <w:color w:val="000000"/>
          <w:sz w:val="22"/>
          <w:szCs w:val="22"/>
        </w:rPr>
        <w:t xml:space="preserve"> No. 1180.</w:t>
      </w:r>
    </w:p>
    <w:p>
      <w:pPr>
        <w:widowControl w:val="on"/>
        <w:pBdr/>
        <w:spacing w:before="220" w:after="220" w:line="240" w:lineRule="auto"/>
        <w:ind w:left="0" w:right="0"/>
        <w:jc w:val="left"/>
      </w:pPr>
      <w:r>
        <w:rPr>
          <w:rFonts w:ascii="Calibri" w:hAnsi="Calibri" w:eastAsia="Calibri" w:cs="Calibri"/>
          <w:color w:val="000000"/>
          <w:sz w:val="22"/>
          <w:szCs w:val="22"/>
        </w:rPr>
        <w:t xml:space="preserve">Devine OW &amp; Clutter JL (1985) Prediction of survival in slash pine plantations infected with fusiform rust.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88-94.</w:t>
      </w:r>
    </w:p>
    <w:p>
      <w:pPr>
        <w:widowControl w:val="on"/>
        <w:pBdr/>
        <w:spacing w:before="220" w:after="220" w:line="240" w:lineRule="auto"/>
        <w:ind w:left="0" w:right="0"/>
        <w:jc w:val="left"/>
      </w:pPr>
      <w:r>
        <w:rPr>
          <w:rFonts w:ascii="Calibri" w:hAnsi="Calibri" w:eastAsia="Calibri" w:cs="Calibri"/>
          <w:color w:val="000000"/>
          <w:sz w:val="22"/>
          <w:szCs w:val="22"/>
        </w:rPr>
        <w:t xml:space="preserve">Doudrick RL, Nelson CD &amp; Nance WL (1993a) Genetic analysis of a single urediniospore culture of </w:t>
      </w:r>
      <w:r>
        <w:rPr>
          <w:rFonts w:ascii="Calibri" w:hAnsi="Calibri" w:eastAsia="Calibri" w:cs="Calibri"/>
          <w:i/>
          <w:iCs/>
          <w:color w:val="000000"/>
          <w:sz w:val="22"/>
          <w:szCs w:val="22"/>
        </w:rPr>
        <w:t xml:space="preserve">Cronartium quercuum </w:t>
      </w:r>
      <w:r>
        <w:rPr>
          <w:rFonts w:ascii="Calibri" w:hAnsi="Calibri" w:eastAsia="Calibri" w:cs="Calibri"/>
          <w:color w:val="000000"/>
          <w:sz w:val="22"/>
          <w:szCs w:val="22"/>
        </w:rPr>
        <w:t xml:space="preserve">f.sp.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using random amplified polymorphic DNA markers.</w:t>
      </w:r>
      <w:r>
        <w:rPr>
          <w:rFonts w:ascii="Calibri" w:hAnsi="Calibri" w:eastAsia="Calibri" w:cs="Calibri"/>
          <w:i/>
          <w:iCs/>
          <w:color w:val="000000"/>
          <w:sz w:val="22"/>
          <w:szCs w:val="22"/>
        </w:rPr>
        <w:t xml:space="preserve"> 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902-911.</w:t>
      </w:r>
    </w:p>
    <w:p>
      <w:pPr>
        <w:widowControl w:val="on"/>
        <w:pBdr/>
        <w:spacing w:before="220" w:after="220" w:line="240" w:lineRule="auto"/>
        <w:ind w:left="0" w:right="0"/>
        <w:jc w:val="left"/>
      </w:pPr>
      <w:r>
        <w:rPr>
          <w:rFonts w:ascii="Calibri" w:hAnsi="Calibri" w:eastAsia="Calibri" w:cs="Calibri"/>
          <w:color w:val="000000"/>
          <w:sz w:val="22"/>
          <w:szCs w:val="22"/>
        </w:rPr>
        <w:t xml:space="preserve">Doudrick RL, Nance WL, Nelson CD, Snow GA &amp; Hamelin RC (1993b) Detection of DNA polymorphisms in a single urediniospore-derived culture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f.sp.</w:t>
      </w:r>
      <w:r>
        <w:rPr>
          <w:rFonts w:ascii="Calibri" w:hAnsi="Calibri" w:eastAsia="Calibri" w:cs="Calibri"/>
          <w:i/>
          <w:iCs/>
          <w:color w:val="000000"/>
          <w:sz w:val="22"/>
          <w:szCs w:val="22"/>
        </w:rPr>
        <w:t xml:space="preserve"> 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388-392.</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(non‐EU).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(12), e05511. </w:t>
      </w:r>
      <w:hyperlink r:id="rId52766ad1efbcec194" w:history="1">
        <w:r>
          <w:rPr>
            <w:rFonts w:ascii="Calibri" w:hAnsi="Calibri" w:eastAsia="Calibri" w:cs="Calibri"/>
            <w:color w:val="0000CC"/>
            <w:sz w:val="22"/>
            <w:szCs w:val="22"/>
            <w:u w:val="single"/>
          </w:rPr>
          <w:t xml:space="preserve">https://doi.org/10.2903/j.efsa.2018.5511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(2010) PM 8/2 (3) </w:t>
      </w:r>
      <w:r>
        <w:rPr>
          <w:rFonts w:ascii="Calibri" w:hAnsi="Calibri" w:eastAsia="Calibri" w:cs="Calibri"/>
          <w:i/>
          <w:iCs/>
          <w:color w:val="000000"/>
          <w:sz w:val="22"/>
          <w:szCs w:val="22"/>
        </w:rPr>
        <w:t xml:space="preserve">Coniferae.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PM 8/4 (1)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445–451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PM 8/5 (1)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Gross HL, Ek AR &amp; Patton RF (1983) Site character and infection hazard for the sweetfern rust disease in northern Ontario.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771-778.</w:t>
      </w:r>
    </w:p>
    <w:p>
      <w:pPr>
        <w:widowControl w:val="on"/>
        <w:pBdr/>
        <w:spacing w:before="220" w:after="220" w:line="240" w:lineRule="auto"/>
        <w:ind w:left="0" w:right="0"/>
        <w:jc w:val="left"/>
      </w:pPr>
      <w:r>
        <w:rPr>
          <w:rFonts w:ascii="Calibri" w:hAnsi="Calibri" w:eastAsia="Calibri" w:cs="Calibri"/>
          <w:color w:val="000000"/>
          <w:sz w:val="22"/>
          <w:szCs w:val="22"/>
        </w:rPr>
        <w:t xml:space="preserve">Haywood JD, Tiarks AE &amp; Snow GA (1994) Combinations of fungicide and cultural practices influence the incidence and impact of fusiform rust in slash pine plantations.</w:t>
      </w:r>
      <w:r>
        <w:rPr>
          <w:rFonts w:ascii="Calibri" w:hAnsi="Calibri" w:eastAsia="Calibri" w:cs="Calibri"/>
          <w:i/>
          <w:iCs/>
          <w:color w:val="000000"/>
          <w:sz w:val="22"/>
          <w:szCs w:val="22"/>
        </w:rPr>
        <w:t xml:space="preserve"> 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53-59.</w:t>
      </w:r>
    </w:p>
    <w:p>
      <w:pPr>
        <w:widowControl w:val="on"/>
        <w:pBdr/>
        <w:spacing w:before="220" w:after="220" w:line="240" w:lineRule="auto"/>
        <w:ind w:left="0" w:right="0"/>
        <w:jc w:val="left"/>
      </w:pPr>
      <w:r>
        <w:rPr>
          <w:rFonts w:ascii="Calibri" w:hAnsi="Calibri" w:eastAsia="Calibri" w:cs="Calibri"/>
          <w:color w:val="000000"/>
          <w:sz w:val="22"/>
          <w:szCs w:val="22"/>
        </w:rPr>
        <w:t xml:space="preserve">Hedden RL, Belanger RP, Powers HR &amp; Miller T (1991) Relation of Nantucket pine tip moth attack and fusiform rust infection in loblolly pine families. </w:t>
      </w:r>
      <w:r>
        <w:rPr>
          <w:rFonts w:ascii="Calibri" w:hAnsi="Calibri" w:eastAsia="Calibri" w:cs="Calibri"/>
          <w:i/>
          <w:iCs/>
          <w:color w:val="000000"/>
          <w:sz w:val="22"/>
          <w:szCs w:val="22"/>
        </w:rPr>
        <w:t xml:space="preserve">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204-208.</w:t>
      </w:r>
    </w:p>
    <w:p>
      <w:pPr>
        <w:widowControl w:val="on"/>
        <w:pBdr/>
        <w:spacing w:before="220" w:after="220" w:line="240" w:lineRule="auto"/>
        <w:ind w:left="0" w:right="0"/>
        <w:jc w:val="left"/>
      </w:pPr>
      <w:r>
        <w:rPr>
          <w:rFonts w:ascii="Calibri" w:hAnsi="Calibri" w:eastAsia="Calibri" w:cs="Calibri"/>
          <w:color w:val="000000"/>
          <w:sz w:val="22"/>
          <w:szCs w:val="22"/>
        </w:rPr>
        <w:t xml:space="preserve">Hepting GH (1971) Diseases of forest and shade trees of the United States. </w:t>
      </w:r>
      <w:r>
        <w:rPr>
          <w:rFonts w:ascii="Calibri" w:hAnsi="Calibri" w:eastAsia="Calibri" w:cs="Calibri"/>
          <w:i/>
          <w:iCs/>
          <w:color w:val="000000"/>
          <w:sz w:val="22"/>
          <w:szCs w:val="22"/>
        </w:rPr>
        <w:t xml:space="preserve">Agricultural Handbook, Forest Service, US Department of Agriculture</w:t>
      </w:r>
      <w:r>
        <w:rPr>
          <w:rFonts w:ascii="Calibri" w:hAnsi="Calibri" w:eastAsia="Calibri" w:cs="Calibri"/>
          <w:color w:val="000000"/>
          <w:sz w:val="22"/>
          <w:szCs w:val="22"/>
        </w:rPr>
        <w:t xml:space="preserve"> No. 386, pp. 287-370.</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Y (1995) Pine stem rust of the world–frame work for a monograph. In Kaneko S, Katsuya K, Kakishima M, Ono Y (eds). Proceedings of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IUFRO Rusts of Pines Working Party Conference. Oct. 1994, Tsukuba, Japan, pp 1-8.</w:t>
      </w:r>
    </w:p>
    <w:p>
      <w:pPr>
        <w:widowControl w:val="on"/>
        <w:pBdr/>
        <w:spacing w:before="220" w:after="220" w:line="240" w:lineRule="auto"/>
        <w:ind w:left="0" w:right="0"/>
        <w:jc w:val="left"/>
      </w:pPr>
      <w:r>
        <w:rPr>
          <w:rFonts w:ascii="Calibri" w:hAnsi="Calibri" w:eastAsia="Calibri" w:cs="Calibri"/>
          <w:color w:val="000000"/>
          <w:sz w:val="22"/>
          <w:szCs w:val="22"/>
        </w:rPr>
        <w:t xml:space="preserve">Hollis CA, Schmidt RA &amp; Kimbrough JW. (1972). Axenic culture of </w:t>
      </w:r>
      <w:r>
        <w:rPr>
          <w:rFonts w:ascii="Calibri" w:hAnsi="Calibri" w:eastAsia="Calibri" w:cs="Calibri"/>
          <w:i/>
          <w:iCs/>
          <w:color w:val="000000"/>
          <w:sz w:val="22"/>
          <w:szCs w:val="22"/>
        </w:rPr>
        <w:t xml:space="preserve">Cronartiurn fusiforrne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1417-1419.</w:t>
      </w:r>
    </w:p>
    <w:p>
      <w:pPr>
        <w:widowControl w:val="on"/>
        <w:pBdr/>
        <w:spacing w:before="220" w:after="220" w:line="240" w:lineRule="auto"/>
        <w:ind w:left="0" w:right="0"/>
        <w:jc w:val="left"/>
      </w:pPr>
      <w:r>
        <w:rPr>
          <w:rFonts w:ascii="Calibri" w:hAnsi="Calibri" w:eastAsia="Calibri" w:cs="Calibri"/>
          <w:color w:val="000000"/>
          <w:sz w:val="22"/>
          <w:szCs w:val="22"/>
        </w:rPr>
        <w:t xml:space="preserve">Hu A, Amerson HV &amp; Frampton LJ Jr (1994) Isolation and growth of single genotype axenic cultures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using hyphal fragments from multi-genotype stock colonies. </w:t>
      </w:r>
      <w:r>
        <w:rPr>
          <w:rFonts w:ascii="Calibri" w:hAnsi="Calibri" w:eastAsia="Calibri" w:cs="Calibri"/>
          <w:i/>
          <w:iCs/>
          <w:color w:val="000000"/>
          <w:sz w:val="22"/>
          <w:szCs w:val="22"/>
        </w:rPr>
        <w:t xml:space="preserve">NewForests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299-308.</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Kaneko S (1991) Comparisons of basidiospores and urediniospores of formae speciales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440-445.</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Matthews FR (1993) Variation in virulence among single-aeciospore isolates from single-gall isolates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67-71.</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Pepper WD (1994) Temperature effects on basidiospore germination and on infection of slash pine seedlings by </w:t>
      </w:r>
      <w:r>
        <w:rPr>
          <w:rFonts w:ascii="Calibri" w:hAnsi="Calibri" w:eastAsia="Calibri" w:cs="Calibri"/>
          <w:i/>
          <w:iCs/>
          <w:color w:val="000000"/>
          <w:sz w:val="22"/>
          <w:szCs w:val="22"/>
        </w:rPr>
        <w:t xml:space="preserve">Cronartium quercuum </w:t>
      </w:r>
      <w:r>
        <w:rPr>
          <w:rFonts w:ascii="Calibri" w:hAnsi="Calibri" w:eastAsia="Calibri" w:cs="Calibri"/>
          <w:color w:val="000000"/>
          <w:sz w:val="22"/>
          <w:szCs w:val="22"/>
        </w:rPr>
        <w:t xml:space="preserve">f.sp.</w:t>
      </w:r>
      <w:r>
        <w:rPr>
          <w:rFonts w:ascii="Calibri" w:hAnsi="Calibri" w:eastAsia="Calibri" w:cs="Calibri"/>
          <w:i/>
          <w:iCs/>
          <w:color w:val="000000"/>
          <w:sz w:val="22"/>
          <w:szCs w:val="22"/>
        </w:rPr>
        <w:t xml:space="preserve"> fusiforme.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(7),735-739.</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Powers HR (1988) Resistance response in half-sib loblolly pine progenies after inoculation with </w:t>
      </w:r>
      <w:r>
        <w:rPr>
          <w:rFonts w:ascii="Calibri" w:hAnsi="Calibri" w:eastAsia="Calibri" w:cs="Calibri"/>
          <w:i/>
          <w:iCs/>
          <w:color w:val="000000"/>
          <w:sz w:val="22"/>
          <w:szCs w:val="22"/>
        </w:rPr>
        <w:t xml:space="preserve">Cronartium quercuum </w:t>
      </w:r>
      <w:r>
        <w:rPr>
          <w:rFonts w:ascii="Calibri" w:hAnsi="Calibri" w:eastAsia="Calibri" w:cs="Calibri"/>
          <w:color w:val="000000"/>
          <w:sz w:val="22"/>
          <w:szCs w:val="22"/>
        </w:rPr>
        <w:t xml:space="preserve">f.sp.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484-487.</w:t>
      </w:r>
    </w:p>
    <w:p>
      <w:pPr>
        <w:widowControl w:val="on"/>
        <w:pBdr/>
        <w:spacing w:before="220" w:after="220" w:line="240" w:lineRule="auto"/>
        <w:ind w:left="0" w:right="0"/>
        <w:jc w:val="left"/>
      </w:pPr>
      <w:r>
        <w:rPr>
          <w:rFonts w:ascii="Calibri" w:hAnsi="Calibri" w:eastAsia="Calibri" w:cs="Calibri"/>
          <w:color w:val="000000"/>
          <w:sz w:val="22"/>
          <w:szCs w:val="22"/>
        </w:rPr>
        <w:t xml:space="preserve">Maloy OC (2003) White pine blister rust. Plant Health Instructor (APS), 3. Available from: </w:t>
      </w:r>
      <w:hyperlink r:id="rId64476ad1efbcec849" w:history="1">
        <w:r>
          <w:rPr>
            <w:rFonts w:ascii="Calibri" w:hAnsi="Calibri" w:eastAsia="Calibri" w:cs="Calibri"/>
            <w:color w:val="0000CC"/>
            <w:sz w:val="22"/>
            <w:szCs w:val="22"/>
            <w:u w:val="single"/>
          </w:rPr>
          <w:t xml:space="preserve">https://doi.org/10.1094/PHI-I-2003-0908-01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Miller, T, Patton, RF &amp; Powers HR Jr (1980) Mode of Infection and early colonization of slash pine seedlings by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1206-1208.</w:t>
      </w:r>
    </w:p>
    <w:p>
      <w:pPr>
        <w:widowControl w:val="on"/>
        <w:pBdr/>
        <w:spacing w:before="220" w:after="220" w:line="240" w:lineRule="auto"/>
        <w:ind w:left="0" w:right="0"/>
        <w:jc w:val="left"/>
      </w:pPr>
      <w:r>
        <w:rPr>
          <w:rFonts w:ascii="Calibri" w:hAnsi="Calibri" w:eastAsia="Calibri" w:cs="Calibri"/>
          <w:color w:val="000000"/>
          <w:sz w:val="22"/>
          <w:szCs w:val="22"/>
        </w:rPr>
        <w:t xml:space="preserve">MyCoPortal (2024) </w:t>
      </w:r>
      <w:hyperlink r:id="rId57426ad1efbcec920" w:history="1">
        <w:r>
          <w:rPr>
            <w:rFonts w:ascii="Calibri" w:hAnsi="Calibri" w:eastAsia="Calibri" w:cs="Calibri"/>
            <w:color w:val="0000CC"/>
            <w:sz w:val="22"/>
            <w:szCs w:val="22"/>
            <w:u w:val="single"/>
          </w:rPr>
          <w:t xml:space="preserve">http://www.mycoportal.org/portal/index.php</w:t>
        </w:r>
      </w:hyperlink>
      <w:r>
        <w:rPr>
          <w:rFonts w:ascii="Calibri" w:hAnsi="Calibri" w:eastAsia="Calibri" w:cs="Calibri"/>
          <w:color w:val="000000"/>
          <w:sz w:val="22"/>
          <w:szCs w:val="22"/>
        </w:rPr>
        <w:t xml:space="preserve">. Accessed on January 2024.</w:t>
      </w:r>
    </w:p>
    <w:p>
      <w:pPr>
        <w:widowControl w:val="on"/>
        <w:pBdr/>
        <w:spacing w:before="220" w:after="220" w:line="240" w:lineRule="auto"/>
        <w:ind w:left="0" w:right="0"/>
        <w:jc w:val="left"/>
      </w:pPr>
      <w:r>
        <w:rPr>
          <w:rFonts w:ascii="Calibri" w:hAnsi="Calibri" w:eastAsia="Calibri" w:cs="Calibri"/>
          <w:color w:val="000000"/>
          <w:sz w:val="22"/>
          <w:szCs w:val="22"/>
        </w:rPr>
        <w:t xml:space="preserve">Pendleton AL, Smith KE, Feau N, Martin FM, Grigoriev IV, Hamelin R, Nelson CD, Burleigh JG &amp; Davis JM (2014) Duplications and losses in gene families of rust pathogens highlight putative effectors.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299. </w:t>
      </w:r>
      <w:hyperlink r:id="rId53506ad1efbcec9a2" w:history="1">
        <w:r>
          <w:rPr>
            <w:rFonts w:ascii="Calibri" w:hAnsi="Calibri" w:eastAsia="Calibri" w:cs="Calibri"/>
            <w:color w:val="0000CC"/>
            <w:sz w:val="22"/>
            <w:szCs w:val="22"/>
            <w:u w:val="single"/>
          </w:rPr>
          <w:t xml:space="preserve">https://doi.org/10.3389/fpls.2014.00299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(1967) The </w:t>
      </w:r>
      <w:r>
        <w:rPr>
          <w:rFonts w:ascii="Calibri" w:hAnsi="Calibri" w:eastAsia="Calibri" w:cs="Calibri"/>
          <w:i/>
          <w:iCs/>
          <w:color w:val="000000"/>
          <w:sz w:val="22"/>
          <w:szCs w:val="22"/>
        </w:rPr>
        <w:t xml:space="preserve">Peridermium</w:t>
      </w:r>
      <w:r>
        <w:rPr>
          <w:rFonts w:ascii="Calibri" w:hAnsi="Calibri" w:eastAsia="Calibri" w:cs="Calibri"/>
          <w:color w:val="000000"/>
          <w:sz w:val="22"/>
          <w:szCs w:val="22"/>
        </w:rPr>
        <w:t xml:space="preserve"> species on pine stems. </w:t>
      </w:r>
      <w:r>
        <w:rPr>
          <w:rFonts w:ascii="Calibri" w:hAnsi="Calibri" w:eastAsia="Calibri" w:cs="Calibri"/>
          <w:i/>
          <w:iCs/>
          <w:color w:val="000000"/>
          <w:sz w:val="22"/>
          <w:szCs w:val="22"/>
        </w:rPr>
        <w:t xml:space="preserve">Bulletin of the Torrey Botanical Club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511-542.</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(1973) Studies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(Uredinales). </w:t>
      </w:r>
      <w:r>
        <w:rPr>
          <w:rFonts w:ascii="Calibri" w:hAnsi="Calibri" w:eastAsia="Calibri" w:cs="Calibri"/>
          <w:i/>
          <w:iCs/>
          <w:color w:val="000000"/>
          <w:sz w:val="22"/>
          <w:szCs w:val="22"/>
        </w:rPr>
        <w:t xml:space="preserve">Reports of the Tottori Mycological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203-223.</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&amp; Jewell RR (1968) Status of American rusts of pine.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23-40.</w:t>
      </w:r>
    </w:p>
    <w:p>
      <w:pPr>
        <w:widowControl w:val="on"/>
        <w:pBdr/>
        <w:spacing w:before="220" w:after="220" w:line="240" w:lineRule="auto"/>
        <w:ind w:left="0" w:right="0"/>
        <w:jc w:val="left"/>
      </w:pPr>
      <w:r>
        <w:rPr>
          <w:rFonts w:ascii="Calibri" w:hAnsi="Calibri" w:eastAsia="Calibri" w:cs="Calibri"/>
          <w:color w:val="000000"/>
          <w:sz w:val="22"/>
          <w:szCs w:val="22"/>
        </w:rPr>
        <w:t xml:space="preserve">Phelps WR &amp; Chellman CW (1975) Impact of </w:t>
      </w: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in Northern Florida slash pine plantations.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481.</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DH (1988) </w:t>
      </w:r>
      <w:r>
        <w:rPr>
          <w:rFonts w:ascii="Calibri" w:hAnsi="Calibri" w:eastAsia="Calibri" w:cs="Calibri"/>
          <w:i/>
          <w:iCs/>
          <w:color w:val="000000"/>
          <w:sz w:val="22"/>
          <w:szCs w:val="22"/>
        </w:rPr>
        <w:t xml:space="preserve">Cronartium ribicola</w:t>
      </w:r>
      <w:r>
        <w:rPr>
          <w:rFonts w:ascii="Calibri" w:hAnsi="Calibri" w:eastAsia="Calibri" w:cs="Calibri"/>
          <w:color w:val="000000"/>
          <w:sz w:val="22"/>
          <w:szCs w:val="22"/>
        </w:rPr>
        <w:t xml:space="preserve">. In Smith IM, Dunez J, Lelliot RA, Phillips DH, Archer SA (eds) European Handbook of Plant Diseases. Blackwell Scientific Publications, Oxford (GB), pp. 477-478.</w:t>
      </w:r>
    </w:p>
    <w:p>
      <w:pPr>
        <w:widowControl w:val="on"/>
        <w:pBdr/>
        <w:spacing w:before="220" w:after="220" w:line="240" w:lineRule="auto"/>
        <w:ind w:left="0" w:right="0"/>
        <w:jc w:val="left"/>
      </w:pPr>
      <w:r>
        <w:rPr>
          <w:rFonts w:ascii="Calibri" w:hAnsi="Calibri" w:eastAsia="Calibri" w:cs="Calibri"/>
          <w:color w:val="000000"/>
          <w:sz w:val="22"/>
          <w:szCs w:val="22"/>
        </w:rPr>
        <w:t xml:space="preserve">Powers HR (1984) Control of fusiform rust of southern pines in the USA.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426-431.</w:t>
      </w:r>
    </w:p>
    <w:p>
      <w:pPr>
        <w:widowControl w:val="on"/>
        <w:pBdr/>
        <w:spacing w:before="220" w:after="220" w:line="240" w:lineRule="auto"/>
        <w:ind w:left="0" w:right="0"/>
        <w:jc w:val="left"/>
      </w:pPr>
      <w:r>
        <w:rPr>
          <w:rFonts w:ascii="Calibri" w:hAnsi="Calibri" w:eastAsia="Calibri" w:cs="Calibri"/>
          <w:color w:val="000000"/>
          <w:sz w:val="22"/>
          <w:szCs w:val="22"/>
        </w:rPr>
        <w:t xml:space="preserve">Runion GB, Kelley WD &amp; Land DH (1991) Effects of triadimefon and thiram seed treatments on emergence of southern pines. </w:t>
      </w:r>
      <w:r>
        <w:rPr>
          <w:rFonts w:ascii="Calibri" w:hAnsi="Calibri" w:eastAsia="Calibri" w:cs="Calibri"/>
          <w:i/>
          <w:iCs/>
          <w:color w:val="000000"/>
          <w:sz w:val="22"/>
          <w:szCs w:val="22"/>
        </w:rPr>
        <w:t xml:space="preserve">Seed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57-66.</w:t>
      </w:r>
    </w:p>
    <w:p>
      <w:pPr>
        <w:widowControl w:val="on"/>
        <w:pBdr/>
        <w:spacing w:before="220" w:after="220" w:line="240" w:lineRule="auto"/>
        <w:ind w:left="0" w:right="0"/>
        <w:jc w:val="left"/>
      </w:pPr>
      <w:r>
        <w:rPr>
          <w:rFonts w:ascii="Calibri" w:hAnsi="Calibri" w:eastAsia="Calibri" w:cs="Calibri"/>
          <w:color w:val="000000"/>
          <w:sz w:val="22"/>
          <w:szCs w:val="22"/>
        </w:rPr>
        <w:t xml:space="preserve">Schmidt RA, Miller T, Holley RC, Belanger RP &amp; Allen JE (1988) Relation of site factors to fusiform rust incidence in young slash and loblolly pine plantations in the Coastal Plain of Florida and Georgia</w:t>
      </w:r>
      <w:r>
        <w:rPr>
          <w:rFonts w:ascii="Calibri" w:hAnsi="Calibri" w:eastAsia="Calibri" w:cs="Calibri"/>
          <w:i/>
          <w:iCs/>
          <w:color w:val="000000"/>
          <w:sz w:val="22"/>
          <w:szCs w:val="22"/>
        </w:rPr>
        <w:t xml:space="preserve">.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710-714.</w:t>
      </w:r>
    </w:p>
    <w:p>
      <w:pPr>
        <w:widowControl w:val="on"/>
        <w:pBdr/>
        <w:spacing w:before="220" w:after="220" w:line="240" w:lineRule="auto"/>
        <w:ind w:left="0" w:right="0"/>
        <w:jc w:val="left"/>
      </w:pPr>
      <w:r>
        <w:rPr>
          <w:rFonts w:ascii="Calibri" w:hAnsi="Calibri" w:eastAsia="Calibri" w:cs="Calibri"/>
          <w:color w:val="000000"/>
          <w:sz w:val="22"/>
          <w:szCs w:val="22"/>
        </w:rPr>
        <w:t xml:space="preserve">Schmidt RA &amp; Miller T (1999) Influence of inoculum concentration on production of spermogonia and aecia on pine seedlings infected by basidiospores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(4), 367-370.</w:t>
      </w:r>
    </w:p>
    <w:p>
      <w:pPr>
        <w:widowControl w:val="on"/>
        <w:pBdr/>
        <w:spacing w:before="220" w:after="220" w:line="240" w:lineRule="auto"/>
        <w:ind w:left="0" w:right="0"/>
        <w:jc w:val="left"/>
      </w:pPr>
      <w:r>
        <w:rPr>
          <w:rFonts w:ascii="Calibri" w:hAnsi="Calibri" w:eastAsia="Calibri" w:cs="Calibri"/>
          <w:color w:val="000000"/>
          <w:sz w:val="22"/>
          <w:szCs w:val="22"/>
        </w:rPr>
        <w:t xml:space="preserve">Schmidt RA (2003) Fusiform rust of southern pines: a major success for forest disease management.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(8), 1048-1051.</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In: </w:t>
      </w:r>
      <w:r>
        <w:rPr>
          <w:rFonts w:ascii="Calibri" w:hAnsi="Calibri" w:eastAsia="Calibri" w:cs="Calibri"/>
          <w:i/>
          <w:iCs/>
          <w:color w:val="000000"/>
          <w:sz w:val="22"/>
          <w:szCs w:val="22"/>
        </w:rPr>
        <w:t xml:space="preserve">Diseases of trees and shrubs</w:t>
      </w:r>
      <w:r>
        <w:rPr>
          <w:rFonts w:ascii="Calibri" w:hAnsi="Calibri" w:eastAsia="Calibri" w:cs="Calibri"/>
          <w:color w:val="000000"/>
          <w:sz w:val="22"/>
          <w:szCs w:val="22"/>
        </w:rPr>
        <w:t xml:space="preserve">, second edition, 660 pp. Comstock Publishing Associates, Ithaca, USA.</w:t>
      </w:r>
    </w:p>
    <w:p>
      <w:pPr>
        <w:widowControl w:val="on"/>
        <w:pBdr/>
        <w:spacing w:before="220" w:after="220" w:line="240" w:lineRule="auto"/>
        <w:ind w:left="0" w:right="0"/>
        <w:jc w:val="left"/>
      </w:pPr>
      <w:r>
        <w:rPr>
          <w:rFonts w:ascii="Calibri" w:hAnsi="Calibri" w:eastAsia="Calibri" w:cs="Calibri"/>
          <w:color w:val="000000"/>
          <w:sz w:val="22"/>
          <w:szCs w:val="22"/>
        </w:rPr>
        <w:t xml:space="preserve">Sniezko RA, Smith J, Liu JJ &amp; Hamelin RC (2014) Genetic resistance to fusiform rust in southern pines and white pine blister rust in white pines—a contrasting tale of two rust pathosystems—current status and future prospects.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(9), 2050-2083.</w:t>
      </w:r>
    </w:p>
    <w:p>
      <w:pPr>
        <w:widowControl w:val="on"/>
        <w:pBdr/>
        <w:spacing w:before="220" w:after="220" w:line="240" w:lineRule="auto"/>
        <w:ind w:left="0" w:right="0"/>
        <w:jc w:val="left"/>
      </w:pPr>
      <w:r>
        <w:rPr>
          <w:rFonts w:ascii="Calibri" w:hAnsi="Calibri" w:eastAsia="Calibri" w:cs="Calibri"/>
          <w:color w:val="000000"/>
          <w:sz w:val="22"/>
          <w:szCs w:val="22"/>
        </w:rPr>
        <w:t xml:space="preserve">Spaulding P (1956) Diseases of North American forest trees planted abroad. An annotated list. </w:t>
      </w:r>
      <w:r>
        <w:rPr>
          <w:rFonts w:ascii="Calibri" w:hAnsi="Calibri" w:eastAsia="Calibri" w:cs="Calibri"/>
          <w:i/>
          <w:iCs/>
          <w:color w:val="000000"/>
          <w:sz w:val="22"/>
          <w:szCs w:val="22"/>
        </w:rPr>
        <w:t xml:space="preserve">Agricultural Handbook, Forest Service, US Department of Agriculture</w:t>
      </w:r>
      <w:r>
        <w:rPr>
          <w:rFonts w:ascii="Calibri" w:hAnsi="Calibri" w:eastAsia="Calibri" w:cs="Calibri"/>
          <w:color w:val="000000"/>
          <w:sz w:val="22"/>
          <w:szCs w:val="22"/>
        </w:rPr>
        <w:t xml:space="preserve"> No. 100, p. 11.</w:t>
      </w:r>
    </w:p>
    <w:p>
      <w:pPr>
        <w:widowControl w:val="on"/>
        <w:pBdr/>
        <w:spacing w:before="220" w:after="220" w:line="240" w:lineRule="auto"/>
        <w:ind w:left="0" w:right="0"/>
        <w:jc w:val="left"/>
      </w:pPr>
      <w:r>
        <w:rPr>
          <w:rFonts w:ascii="Calibri" w:hAnsi="Calibri" w:eastAsia="Calibri" w:cs="Calibri"/>
          <w:color w:val="000000"/>
          <w:sz w:val="22"/>
          <w:szCs w:val="22"/>
        </w:rPr>
        <w:t xml:space="preserve">Spaulding P (1961) Foreign diseases of forest trees of the world. An annotated list. </w:t>
      </w:r>
      <w:r>
        <w:rPr>
          <w:rFonts w:ascii="Calibri" w:hAnsi="Calibri" w:eastAsia="Calibri" w:cs="Calibri"/>
          <w:i/>
          <w:iCs/>
          <w:color w:val="000000"/>
          <w:sz w:val="22"/>
          <w:szCs w:val="22"/>
        </w:rPr>
        <w:t xml:space="preserve">Agricultural Handbook, Forest Service, US Department of Agriculture</w:t>
      </w:r>
      <w:r>
        <w:rPr>
          <w:rFonts w:ascii="Calibri" w:hAnsi="Calibri" w:eastAsia="Calibri" w:cs="Calibri"/>
          <w:color w:val="000000"/>
          <w:sz w:val="22"/>
          <w:szCs w:val="22"/>
        </w:rPr>
        <w:t xml:space="preserve"> No. 197, pp. 74, 183.</w:t>
      </w:r>
    </w:p>
    <w:p>
      <w:pPr>
        <w:widowControl w:val="on"/>
        <w:pBdr/>
        <w:spacing w:before="220" w:after="220" w:line="240" w:lineRule="auto"/>
        <w:ind w:left="0" w:right="0"/>
        <w:jc w:val="left"/>
      </w:pPr>
      <w:r>
        <w:rPr>
          <w:rFonts w:ascii="Calibri" w:hAnsi="Calibri" w:eastAsia="Calibri" w:cs="Calibri"/>
          <w:color w:val="000000"/>
          <w:sz w:val="22"/>
          <w:szCs w:val="22"/>
        </w:rPr>
        <w:t xml:space="preserve">USDA (1963) Internationally dangerous forest tree diseases. </w:t>
      </w:r>
      <w:r>
        <w:rPr>
          <w:rFonts w:ascii="Calibri" w:hAnsi="Calibri" w:eastAsia="Calibri" w:cs="Calibri"/>
          <w:i/>
          <w:iCs/>
          <w:color w:val="000000"/>
          <w:sz w:val="22"/>
          <w:szCs w:val="22"/>
        </w:rPr>
        <w:t xml:space="preserve">Miscellaneous Publications, Forest Service, US Department of Agriculture</w:t>
      </w:r>
      <w:r>
        <w:rPr>
          <w:rFonts w:ascii="Calibri" w:hAnsi="Calibri" w:eastAsia="Calibri" w:cs="Calibri"/>
          <w:color w:val="000000"/>
          <w:sz w:val="22"/>
          <w:szCs w:val="22"/>
        </w:rPr>
        <w:t xml:space="preserve"> No. 939, pp. 54, 56-57, 73-74, 92-96.</w:t>
      </w:r>
    </w:p>
    <w:p>
      <w:pPr>
        <w:widowControl w:val="on"/>
        <w:pBdr/>
        <w:spacing w:before="220" w:after="220" w:line="240" w:lineRule="auto"/>
        <w:ind w:left="0" w:right="0"/>
        <w:jc w:val="left"/>
      </w:pPr>
      <w:r>
        <w:rPr>
          <w:rFonts w:ascii="Calibri" w:hAnsi="Calibri" w:eastAsia="Calibri" w:cs="Calibri"/>
          <w:color w:val="000000"/>
          <w:sz w:val="22"/>
          <w:szCs w:val="22"/>
        </w:rPr>
        <w:t xml:space="preserve">Walkinshaw CH &amp; Roland TA (1990) Incidence and histology of stem-girdling galls caused by fusiform rust.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(3), 251-255.</w:t>
      </w:r>
    </w:p>
    <w:p>
      <w:pPr>
        <w:widowControl w:val="on"/>
        <w:pBdr/>
        <w:spacing w:before="220" w:after="220" w:line="240" w:lineRule="auto"/>
        <w:ind w:left="0" w:right="0"/>
        <w:jc w:val="left"/>
      </w:pPr>
      <w:r>
        <w:rPr>
          <w:rFonts w:ascii="Calibri" w:hAnsi="Calibri" w:eastAsia="Calibri" w:cs="Calibri"/>
          <w:color w:val="000000"/>
          <w:sz w:val="22"/>
          <w:szCs w:val="22"/>
        </w:rPr>
        <w:t xml:space="preserve">Wijesinghe SN, McKenzie E, Wanasinghe DN, Boonmee S &amp; Jayawardena RS (2019) The genus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revisited. </w:t>
      </w:r>
      <w:r>
        <w:rPr>
          <w:rFonts w:ascii="Calibri" w:hAnsi="Calibri" w:eastAsia="Calibri" w:cs="Calibri"/>
          <w:i/>
          <w:iCs/>
          <w:color w:val="000000"/>
          <w:sz w:val="22"/>
          <w:szCs w:val="22"/>
        </w:rPr>
        <w:t xml:space="preserve">Plant Pathology &amp; Quarantine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219–238.</w:t>
      </w:r>
    </w:p>
    <w:p>
      <w:pPr>
        <w:widowControl w:val="on"/>
        <w:pBdr/>
        <w:spacing w:before="220" w:after="220" w:line="240" w:lineRule="auto"/>
        <w:ind w:left="0" w:right="0"/>
        <w:jc w:val="left"/>
      </w:pPr>
      <w:r>
        <w:rPr>
          <w:rFonts w:ascii="Calibri" w:hAnsi="Calibri" w:eastAsia="Calibri" w:cs="Calibri"/>
          <w:color w:val="000000"/>
          <w:sz w:val="22"/>
          <w:szCs w:val="22"/>
        </w:rPr>
        <w:t xml:space="preserve">Zhao P, Liu F, Huang JE, Zhou X, Duan WJ &amp; Cai L (2022)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 (Pucciniales, Cronartiaceae): species delineation, diversity and host alternation. </w:t>
      </w:r>
      <w:r>
        <w:rPr>
          <w:rFonts w:ascii="Calibri" w:hAnsi="Calibri" w:eastAsia="Calibri" w:cs="Calibri"/>
          <w:i/>
          <w:iCs/>
          <w:color w:val="000000"/>
          <w:sz w:val="22"/>
          <w:szCs w:val="22"/>
        </w:rPr>
        <w:t xml:space="preserve">Mycosphere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672–723.</w:t>
      </w:r>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(1974) The tree rusts of Western Canada. </w:t>
      </w:r>
      <w:r>
        <w:rPr>
          <w:rFonts w:ascii="Calibri" w:hAnsi="Calibri" w:eastAsia="Calibri" w:cs="Calibri"/>
          <w:i/>
          <w:iCs/>
          <w:color w:val="000000"/>
          <w:sz w:val="22"/>
          <w:szCs w:val="22"/>
        </w:rPr>
        <w:t xml:space="preserve">Forest Service, British Columbia, Canada Publication</w:t>
      </w:r>
      <w:r>
        <w:rPr>
          <w:rFonts w:ascii="Calibri" w:hAnsi="Calibri" w:eastAsia="Calibri" w:cs="Calibri"/>
          <w:color w:val="000000"/>
          <w:sz w:val="22"/>
          <w:szCs w:val="22"/>
        </w:rPr>
        <w:t xml:space="preserve"> No. 1329, pp. 78-100.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Richard C. Hamelin (University of British Columbia) and Mehrdad Abbasi (University of British Columbia).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EPPO datasheets on pests recommended for regulation. Available online. </w:t>
      </w:r>
      <w:hyperlink r:id="rId86436ad1efbced1c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(as part of the non-European </w:t>
      </w:r>
      <w:r>
        <w:rPr>
          <w:rFonts w:ascii="Calibri" w:hAnsi="Calibri" w:eastAsia="Calibri" w:cs="Calibri"/>
          <w:i/>
          <w:iCs/>
          <w:color w:val="000000"/>
          <w:sz w:val="22"/>
          <w:szCs w:val="22"/>
        </w:rPr>
        <w:t xml:space="preserve">Cronartium </w:t>
      </w:r>
      <w:r>
        <w:rPr>
          <w:rFonts w:ascii="Calibri" w:hAnsi="Calibri" w:eastAsia="Calibri" w:cs="Calibri"/>
          <w:color w:val="000000"/>
          <w:sz w:val="22"/>
          <w:szCs w:val="22"/>
        </w:rPr>
        <w:t xml:space="preserve">spp.)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9,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47-60. </w:t>
      </w:r>
      <w:hyperlink r:id="rId36616ad1efbced37d" w:history="1">
        <w:r>
          <w:rPr>
            <w:rFonts w:ascii="Calibri" w:hAnsi="Calibri" w:eastAsia="Calibri" w:cs="Calibri"/>
            <w:color w:val="0000CC"/>
            <w:sz w:val="22"/>
            <w:szCs w:val="22"/>
            <w:u w:val="single"/>
          </w:rPr>
          <w:t xml:space="preserve">https://doi.org/10.1111/j.1365-2338.1979.tb02450.x</w:t>
        </w:r>
      </w:hyperlink>
    </w:p>
    <w:p>
      <w:r>
        <w:drawing>
          <wp:inline distT="0" distB="0" distL="0" distR="0">
            <wp:extent cx="1800000" cy="604800"/>
            <wp:docPr id="71051791" name="name97896ad1efbced41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8346ad1efbced41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18480">
    <w:multiLevelType w:val="hybridMultilevel"/>
    <w:lvl w:ilvl="0" w:tplc="90459946">
      <w:start w:val="1"/>
      <w:numFmt w:val="decimal"/>
      <w:lvlText w:val="%1."/>
      <w:lvlJc w:val="left"/>
      <w:pPr>
        <w:ind w:left="720" w:hanging="360"/>
      </w:pPr>
    </w:lvl>
    <w:lvl w:ilvl="1" w:tplc="90459946" w:tentative="1">
      <w:start w:val="1"/>
      <w:numFmt w:val="lowerLetter"/>
      <w:lvlText w:val="%2."/>
      <w:lvlJc w:val="left"/>
      <w:pPr>
        <w:ind w:left="1440" w:hanging="360"/>
      </w:pPr>
    </w:lvl>
    <w:lvl w:ilvl="2" w:tplc="90459946" w:tentative="1">
      <w:start w:val="1"/>
      <w:numFmt w:val="lowerRoman"/>
      <w:lvlText w:val="%3."/>
      <w:lvlJc w:val="right"/>
      <w:pPr>
        <w:ind w:left="2160" w:hanging="180"/>
      </w:pPr>
    </w:lvl>
    <w:lvl w:ilvl="3" w:tplc="90459946" w:tentative="1">
      <w:start w:val="1"/>
      <w:numFmt w:val="decimal"/>
      <w:lvlText w:val="%4."/>
      <w:lvlJc w:val="left"/>
      <w:pPr>
        <w:ind w:left="2880" w:hanging="360"/>
      </w:pPr>
    </w:lvl>
    <w:lvl w:ilvl="4" w:tplc="90459946" w:tentative="1">
      <w:start w:val="1"/>
      <w:numFmt w:val="lowerLetter"/>
      <w:lvlText w:val="%5."/>
      <w:lvlJc w:val="left"/>
      <w:pPr>
        <w:ind w:left="3600" w:hanging="360"/>
      </w:pPr>
    </w:lvl>
    <w:lvl w:ilvl="5" w:tplc="90459946" w:tentative="1">
      <w:start w:val="1"/>
      <w:numFmt w:val="lowerRoman"/>
      <w:lvlText w:val="%6."/>
      <w:lvlJc w:val="right"/>
      <w:pPr>
        <w:ind w:left="4320" w:hanging="180"/>
      </w:pPr>
    </w:lvl>
    <w:lvl w:ilvl="6" w:tplc="90459946" w:tentative="1">
      <w:start w:val="1"/>
      <w:numFmt w:val="decimal"/>
      <w:lvlText w:val="%7."/>
      <w:lvlJc w:val="left"/>
      <w:pPr>
        <w:ind w:left="5040" w:hanging="360"/>
      </w:pPr>
    </w:lvl>
    <w:lvl w:ilvl="7" w:tplc="90459946" w:tentative="1">
      <w:start w:val="1"/>
      <w:numFmt w:val="lowerLetter"/>
      <w:lvlText w:val="%8."/>
      <w:lvlJc w:val="left"/>
      <w:pPr>
        <w:ind w:left="5760" w:hanging="360"/>
      </w:pPr>
    </w:lvl>
    <w:lvl w:ilvl="8" w:tplc="90459946" w:tentative="1">
      <w:start w:val="1"/>
      <w:numFmt w:val="lowerRoman"/>
      <w:lvlText w:val="%9."/>
      <w:lvlJc w:val="right"/>
      <w:pPr>
        <w:ind w:left="6480" w:hanging="180"/>
      </w:pPr>
    </w:lvl>
  </w:abstractNum>
  <w:abstractNum w:abstractNumId="60918479">
    <w:multiLevelType w:val="hybridMultilevel"/>
    <w:lvl w:ilvl="0" w:tplc="14253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18479">
    <w:abstractNumId w:val="60918479"/>
  </w:num>
  <w:num w:numId="60918480">
    <w:abstractNumId w:val="6091848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6343164" Type="http://schemas.microsoft.com/office/2011/relationships/commentsExtended" Target="commentsExtended.xml"/><Relationship Id="rId765480479" Type="http://schemas.microsoft.com/office/2011/relationships/people" Target="people.xml"/><Relationship Id="rId43066ad1efbce8a41" Type="http://schemas.openxmlformats.org/officeDocument/2006/relationships/hyperlink" Target="https://gd.eppo.int/taxon/CRONFU/" TargetMode="External"/><Relationship Id="rId77586ad1efbce8a87" Type="http://schemas.openxmlformats.org/officeDocument/2006/relationships/hyperlink" Target="https://gd.eppo.int/taxon/CRONFU/categorization" TargetMode="External"/><Relationship Id="rId93276ad1efbce92c9" Type="http://schemas.openxmlformats.org/officeDocument/2006/relationships/hyperlink" Target="https://gd.eppo.int/taxon/CRONFU/photos" TargetMode="External"/><Relationship Id="rId45276ad1efbcebc61" Type="http://schemas.openxmlformats.org/officeDocument/2006/relationships/hyperlink" Target="https://doi.org/10.1371/journal.pone.0210952" TargetMode="External"/><Relationship Id="rId69476ad1efbcebd98" Type="http://schemas.openxmlformats.org/officeDocument/2006/relationships/hyperlink" Target="https://www.cabidigitallibrary.org/doi/10.1079/cabicompendium.16151" TargetMode="External"/><Relationship Id="rId52766ad1efbcec194" Type="http://schemas.openxmlformats.org/officeDocument/2006/relationships/hyperlink" Target="https://doi.org/10.2903/j.efsa.2018.5511" TargetMode="External"/><Relationship Id="rId64476ad1efbcec849" Type="http://schemas.openxmlformats.org/officeDocument/2006/relationships/hyperlink" Target="https://doi.org/10.1094/PHI-I-2003-0908-01" TargetMode="External"/><Relationship Id="rId57426ad1efbcec920" Type="http://schemas.openxmlformats.org/officeDocument/2006/relationships/hyperlink" Target="http://www.mycoportal.org/portal/index.php" TargetMode="External"/><Relationship Id="rId53506ad1efbcec9a2" Type="http://schemas.openxmlformats.org/officeDocument/2006/relationships/hyperlink" Target="https://doi.org/10.3389/fpls.2014.00299" TargetMode="External"/><Relationship Id="rId86436ad1efbced1c2" Type="http://schemas.openxmlformats.org/officeDocument/2006/relationships/hyperlink" Target="https://gd.eppo.int" TargetMode="External"/><Relationship Id="rId36616ad1efbced37d" Type="http://schemas.openxmlformats.org/officeDocument/2006/relationships/hyperlink" Target="https://doi.org/10.1111/j.1365-2338.1979.tb02450.x" TargetMode="External"/><Relationship Id="rId83766ad1efbce917e" Type="http://schemas.openxmlformats.org/officeDocument/2006/relationships/image" Target="media/imgrId83766ad1efbce917e.jpg"/><Relationship Id="rId73186ad1efbceaa41" Type="http://schemas.openxmlformats.org/officeDocument/2006/relationships/image" Target="media/imgrId73186ad1efbceaa41.jpg"/><Relationship Id="rId68346ad1efbced411" Type="http://schemas.openxmlformats.org/officeDocument/2006/relationships/image" Target="media/imgrId68346ad1efbced41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