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sepedonicus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sepedonicus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(Spieckermann &amp; Kotthoff)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sepedonicum</w:t>
            </w:r>
            <w:r>
              <w:rPr>
                <w:rFonts w:ascii="Calibri" w:hAnsi="Calibri" w:eastAsia="Calibri" w:cs="Calibri"/>
                <w:color w:val="000000"/>
                <w:position w:val="-3"/>
                <w:sz w:val="22"/>
                <w:szCs w:val="22"/>
              </w:rPr>
              <w:t xml:space="preserve"> Spieckermann &amp; Kotthoff, </w:t>
            </w:r>
            <w:r>
              <w:rPr>
                <w:rFonts w:ascii="Calibri" w:hAnsi="Calibri" w:eastAsia="Calibri" w:cs="Calibri"/>
                <w:i/>
                <w:iCs/>
                <w:color w:val="000000"/>
                <w:position w:val="-3"/>
                <w:sz w:val="22"/>
                <w:szCs w:val="22"/>
              </w:rPr>
              <w:t xml:space="preserve">Clavibacter michiganensis subsp. sepedonicus</w:t>
            </w:r>
            <w:r>
              <w:rPr>
                <w:rFonts w:ascii="Calibri" w:hAnsi="Calibri" w:eastAsia="Calibri" w:cs="Calibri"/>
                <w:color w:val="000000"/>
                <w:position w:val="-3"/>
                <w:sz w:val="22"/>
                <w:szCs w:val="22"/>
              </w:rPr>
              <w:t xml:space="preserve"> (Spiekermann &amp; Kotthoff) Davis et al., </w:t>
            </w:r>
            <w:r>
              <w:rPr>
                <w:rFonts w:ascii="Calibri" w:hAnsi="Calibri" w:eastAsia="Calibri" w:cs="Calibri"/>
                <w:i/>
                <w:iCs/>
                <w:color w:val="000000"/>
                <w:position w:val="-3"/>
                <w:sz w:val="22"/>
                <w:szCs w:val="22"/>
              </w:rPr>
              <w:t xml:space="preserve">Corynebacterium michiganense subsp. sepedonicum</w:t>
            </w:r>
            <w:r>
              <w:rPr>
                <w:rFonts w:ascii="Calibri" w:hAnsi="Calibri" w:eastAsia="Calibri" w:cs="Calibri"/>
                <w:color w:val="000000"/>
                <w:position w:val="-3"/>
                <w:sz w:val="22"/>
                <w:szCs w:val="22"/>
              </w:rPr>
              <w:t xml:space="preserve"> (Spiekermann &amp; Kotthoff) Carlson &amp; Vidaver, </w:t>
            </w:r>
            <w:r>
              <w:rPr>
                <w:rFonts w:ascii="Calibri" w:hAnsi="Calibri" w:eastAsia="Calibri" w:cs="Calibri"/>
                <w:i/>
                <w:iCs/>
                <w:color w:val="000000"/>
                <w:position w:val="-3"/>
                <w:sz w:val="22"/>
                <w:szCs w:val="22"/>
              </w:rPr>
              <w:t xml:space="preserve">Corynebacterium sepedonicum</w:t>
            </w:r>
            <w:r>
              <w:rPr>
                <w:rFonts w:ascii="Calibri" w:hAnsi="Calibri" w:eastAsia="Calibri" w:cs="Calibri"/>
                <w:color w:val="000000"/>
                <w:position w:val="-3"/>
                <w:sz w:val="22"/>
                <w:szCs w:val="22"/>
              </w:rPr>
              <w:t xml:space="preserve"> (Spiekermann &amp; Kotthoff) Skaptason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ring rot of potato, ring rot of potato, vascular wilt of potato</w:t>
            </w:r>
            <w:hyperlink r:id="rId7257698c26573c13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9796698c26573c19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757172" name="name6056698c26573c93f" descr="9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08.jpg"/>
                          <pic:cNvPicPr/>
                        </pic:nvPicPr>
                        <pic:blipFill>
                          <a:blip r:embed="rId8858698c26573c93d" cstate="print"/>
                          <a:stretch>
                            <a:fillRect/>
                          </a:stretch>
                        </pic:blipFill>
                        <pic:spPr>
                          <a:xfrm>
                            <a:off x="0" y="0"/>
                            <a:ext cx="2160000" cy="1281600"/>
                          </a:xfrm>
                          <a:prstGeom prst="rect">
                            <a:avLst/>
                          </a:prstGeom>
                          <a:ln w="0">
                            <a:noFill/>
                          </a:ln>
                        </pic:spPr>
                      </pic:pic>
                    </a:graphicData>
                  </a:graphic>
                </wp:inline>
              </w:drawing>
            </w:r>
            <w:hyperlink r:id="rId4384698c26573ca8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the only known major and significant host of </w:t>
      </w:r>
      <w:r>
        <w:rPr>
          <w:rFonts w:ascii="Calibri" w:hAnsi="Calibri" w:eastAsia="Calibri" w:cs="Calibri"/>
          <w:i/>
          <w:iCs/>
          <w:color w:val="000000"/>
          <w:sz w:val="22"/>
          <w:szCs w:val="22"/>
        </w:rPr>
        <w:t xml:space="preserve">Clavibacter sepedonicus. </w:t>
      </w:r>
      <w:r>
        <w:rPr>
          <w:rFonts w:ascii="Calibri" w:hAnsi="Calibri" w:eastAsia="Calibri" w:cs="Calibri"/>
          <w:color w:val="000000"/>
          <w:sz w:val="22"/>
          <w:szCs w:val="22"/>
        </w:rPr>
        <w:t xml:space="preserve">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isolated from symptomatic and asymptomatic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However, these findings are rare and appear to depend on the sugar beet variety (Bugbee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Ignatov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also been isolated once from naturally infected tomato plants (Van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Upon artificial inoculation, many members of the Solanaceae family (e.g.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also other plant species (e.g.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were found to be susceptible to</w:t>
      </w:r>
      <w:r>
        <w:rPr>
          <w:rFonts w:ascii="Calibri" w:hAnsi="Calibri" w:eastAsia="Calibri" w:cs="Calibri"/>
          <w:i/>
          <w:iCs/>
          <w:color w:val="000000"/>
          <w:sz w:val="22"/>
          <w:szCs w:val="22"/>
        </w:rPr>
        <w:t xml:space="preserve"> C. sepedonicus</w:t>
      </w:r>
      <w:r>
        <w:rPr>
          <w:rFonts w:ascii="Calibri" w:hAnsi="Calibri" w:eastAsia="Calibri" w:cs="Calibri"/>
          <w:color w:val="000000"/>
          <w:sz w:val="22"/>
          <w:szCs w:val="22"/>
        </w:rPr>
        <w:t xml:space="preserve"> (Knorr, 1948;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was first described in Northern Europe and used to be found mainly in regions with a temperate climate in the northern hemisphere. Within the EPPO region, the climate in North, North-West and Central Europe is favorable to the disease. In the Southern part of the EPPO region, climatic conditions are not suitable for the establishment of ring rot except, in mountainous areas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the EPPO region,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often reported with restricted distribution, and is only considered widespread in Russia, Ukraine and on the island of Crete (Greece).</w:t>
      </w:r>
    </w:p>
    <w:p>
      <w:r>
        <w:drawing>
          <wp:inline distT="0" distB="0" distL="0" distR="0">
            <wp:extent cx="6120000" cy="3067200"/>
            <wp:docPr id="12156039" name="name9693698c26573dc1d" descr="CORB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SE_distribution_map.jpg"/>
                    <pic:cNvPicPr/>
                  </pic:nvPicPr>
                  <pic:blipFill>
                    <a:blip r:embed="rId5980698c26573dc1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Bulgaria, Czechia, Estonia, Finland, Georgia, Germany, Greece (mainland, Kriti), Hungary, Kazakhstan, Latvia, Lithuania, Norway, Poland, Portugal (mainland, Mainland Portugal), Romania, Russian Federation (Central Russia, Eastern Siberia, Northern Russia, Western Siberia), Slovakia, Spain (mainland), Sweden,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Heilongjiang, Henan, Jiangsu, Ningxia, Shaanxi, Yunnan, Zhejiang), Japan, Kazakhstan, Korea, Democratic People's Republic of, Korea, Republic of, Nepal, Pakistan, Taiwan,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(Colorado, Idaho, Kansas, Maine, New York, North Dakota,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pathway of introduction of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through infected seed potatoes. True potato seeds might also be a source of infection if they come in contact with contaminated tools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After a diseased seed potato is planted, the bacteria multiply very rapidly and pass along the vascular strands into the stems and petioles. From there they reach the roots and maturing daughter tubers, sometimes within 8 weeks after planting. The daughter tubers may themselves be used as seed potatoes and perpetuate the disease.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does generally not survive in the soil during winter. The bacterium can, however, survive and remain infectious on potato bags, barn walls, machinery and other equipment and in volunteer plants from an infected crop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Survival is longest in cold dry conditions.</w:t>
      </w:r>
      <w:r>
        <w:rPr>
          <w:rFonts w:ascii="Calibri" w:hAnsi="Calibri" w:eastAsia="Calibri" w:cs="Calibri"/>
          <w:i/>
          <w:iCs/>
          <w:color w:val="000000"/>
          <w:sz w:val="22"/>
          <w:szCs w:val="22"/>
        </w:rPr>
        <w:t xml:space="preserve"> C</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is relatively vulnerable to higher temperatures (&gt;55°C) suggesting that compost may not be a major inoculum source. However, survival of the bacterium inside protective plant tissue during the composting process might occur and the use of residues from potato processing in agriculture is therefore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The bacterium remains infectious at and above freezing temperatures for at least 18 months on burlap and for 63 months in infected potato stems (Nelson, 1985). If volunteer plants from a previously infected crop are lifted with an otherwise healthy seed potato crop, that crop can be infected.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has a relatively low optimal growth temperature (21-23°C) and therefore it is mainly confined to cooler areas of the world (see Geographical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shown by infected plants are rather variable and, because they usually appear late in the growing season, may be mistaken for late blight (</w:t>
      </w:r>
      <w:r>
        <w:rPr>
          <w:rFonts w:ascii="Calibri" w:hAnsi="Calibri" w:eastAsia="Calibri" w:cs="Calibri"/>
          <w:i/>
          <w:iCs/>
          <w:color w:val="000000"/>
          <w:sz w:val="22"/>
          <w:szCs w:val="22"/>
        </w:rPr>
        <w:t xml:space="preserve">Phytophthora infestans</w:t>
      </w:r>
      <w:r>
        <w:rPr>
          <w:rFonts w:ascii="Calibri" w:hAnsi="Calibri" w:eastAsia="Calibri" w:cs="Calibri"/>
          <w:color w:val="000000"/>
          <w:sz w:val="22"/>
          <w:szCs w:val="22"/>
        </w:rPr>
        <w:t xml:space="preserve">), Verticillium wilt (</w:t>
      </w:r>
      <w:r>
        <w:rPr>
          <w:rFonts w:ascii="Calibri" w:hAnsi="Calibri" w:eastAsia="Calibri" w:cs="Calibri"/>
          <w:i/>
          <w:iCs/>
          <w:color w:val="000000"/>
          <w:sz w:val="22"/>
          <w:szCs w:val="22"/>
        </w:rPr>
        <w:t xml:space="preserve">Verticillium albo-atrum, Verticillium dahliae</w:t>
      </w:r>
      <w:r>
        <w:rPr>
          <w:rFonts w:ascii="Calibri" w:hAnsi="Calibri" w:eastAsia="Calibri" w:cs="Calibri"/>
          <w:color w:val="000000"/>
          <w:sz w:val="22"/>
          <w:szCs w:val="22"/>
        </w:rPr>
        <w:t xml:space="preserve">), stem canker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or those caused by drought. The first symptoms of wilting develop in lower leaves, either all around the plant or only on one side of one stem. The margins of the leaves roll inwards and upwards and the surface loses its light shiny appearance. Leaves become progressively dull light-green, then grey-green with occasional mottling, then yellow and finally brown and necrotic. When infected stems are cut across, discoloration of vascular tissue is not obvious. Symptom formation is enhanced by hot, dry weather conditions (De Boer &amp; Slack, 1984;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Tuber symptoms may be confused with those caused by the bacterium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(EFSA, 2019). Tuber infection occurs through the stolon. Early infections can be observed, when the tuber is cut across the heel end, as narrow glassy to cream-yellow zones along the vascular tissue near the stolon end. In the case of more advanced infections this narrow yellowish to light-brown zone surrounds all the vascular tissue. In later stages the vascular ring and the discoloured zone become soft. Characteristically, upon squeezing, the tissue outside the vascular ring is easily separated from the inner tissues and creamy, cheese-like ribbons of odourless bacterial ooze with macerated tissue are expelled. In these advanced stages, external symptoms may also be observed, consisting of reddish to brown blotches around the eyes. The skin shows irregular, often star-shaped cracks. These cracked tubers are very susceptible to secondary soft-rot micro-organisms which obscure the ring rot symptoms (De Boer &amp; Slack, 1984;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Mild infections in both susceptible and tolerant potato cultivars may cause so-called latent infections of daughter tubers. Latent infections can only be traced by laboratory testing (see Detection and inspection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non-spore forming, non-motile, Gram-positive rod-shaped bacterium that forms white mucoid colonies (Hayward &amp; Waterston, 1964;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for the presence of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in a country or area not known to have potato ring rot, is usually based on a systematic detection survey. Specific guidance on the sampling of potato tubers in store or in the field (shortly before harvest) is given in the EPPO Standards PM 9/2 National regulatory control systems for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(EPPO, 2011),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(EPPO, 2019a) and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Additionally, samples may be inspected visually by cutting tubers at the stolon end, and growing potato crops may be visually inspected at appropriate times for typical signs and symptoms of the disease. It should be considered that under European climatic conditions, above ground symptoms are rarely found and then often only at the end of the season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symptoms of ring rot are variable and sometimes masked by other diseases, and because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often is present without causing symptoms, ring rot can be confirmed only by laboratory testing.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slow-growing bacterium and therefore when isolating the bacterium an enrichment step is often necessary to prevent it being overgrown by other bacteria. This can be done by inoculating specific eggplant varieties with potato extracts so the bacterium can multiply inside this plant. Subsequent isolation and purification steps are strongly facilitated by this step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color w:val="000000"/>
          <w:sz w:val="22"/>
          <w:szCs w:val="22"/>
        </w:rPr>
        <w:t xml:space="preserve">An immunofluorescence test and several molecular tests have been widely implemented in diagnostic laboratories to detect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Due to specificity problems observed in some cases, it is important to use a second test for detection, based on a different biological principle or on a different part of the genome, to confirm a positive result in the first detection test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The conventional PCR based test by Pastrik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several real-time PCR tests have been shown to perform well in recent test performance studies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Among the real time PCR tests the one of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well as the more recently developed real time PCR tests (Gudmestad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Massart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exhibit high analytical sensitivity and analytical specificity and have been implemented in diagnostic laboratories. </w:t>
      </w:r>
    </w:p>
    <w:p>
      <w:pPr>
        <w:widowControl w:val="on"/>
        <w:pBdr/>
        <w:spacing w:before="220" w:after="220" w:line="240" w:lineRule="auto"/>
        <w:ind w:left="0" w:right="0"/>
        <w:jc w:val="both"/>
      </w:pPr>
      <w:r>
        <w:rPr>
          <w:rFonts w:ascii="Calibri" w:hAnsi="Calibri" w:eastAsia="Calibri" w:cs="Calibri"/>
          <w:color w:val="000000"/>
          <w:sz w:val="22"/>
          <w:szCs w:val="22"/>
        </w:rPr>
        <w:t xml:space="preserve">An updated version of the EPPO diagnostic protocol for the bacterium, providing details on the detection and identification tests is availabel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 means of spread are the planting of infected seed potatoes and contamination of containers, equipment and premises. When seed potatoes are cut before planting the cutting knife is an important dispersal unit: after cutting an infected tuber, 20-30 healthy tubers may be infected. Planters and graders which have been contaminated by bacteria from a few highly infected potatoes are also a potent infection source. Spread in the field from plant to plant is usually very low, but there is experimental evidence that some insects, including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leafhoppers and aphids can transmit the disease (Christie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Duncan &amp; Généreux, 1960; Mansfeld-Giese,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destruction of vascular tissues and subsequent wilting and dying of plants and secondary rotting of tubers. In the past crop losses have been mainly reported from North America (up to 50%; Easton, 1979) and Russia (15-30% of plants infected, up to 47% crop loss; Muller &amp; Ficke, 1974). Where ring rot occurs in the EPPO region, the disease appears more sporadically and at low levels of infection. However, a single infected tuber can already have a large economic impact. The economic impact can be caused by direct crop losses, by rejection of infected lots and by loss of (potential) export markets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moment there is no method of direct chemical or biological control available. Breeding for resistance produced in the past some tolerant cultivars, which are not used much (Manzer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Manzer &amp; McKenzie, 1988). The most important methods of control are production of disease-free seed potatoes following strict certification and testing schemes (Nelson, 1985; EPPO, 1999) and sanitation (Lynch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crop rotation and weed/volunteer control are important preventive measures (EFSA, 2019; EPPO, 2020).  Since the bacterium might be present in mixed soil from potato handling facilities, soil should only be returned to agricultural fields if the risk is considered acceptable. Conditions for returning soil to a place of production used to grow potatoes are described in draft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in press).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Since the bacterium might survive inside protective plant tissue during the composting process, the use of residues from potato processing in agriculture is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is not part of routine hygiene measures but is obligatory after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been detected. EPPO developed a Standard that describes the cleaning and disinfection procedures in the potato production chain (EPPO, 2006). The efficacy of several chemical disinfection methods on different surfaces has been investigated (Howard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More specifically, disinfection of wooden potato crates with a product containing sodium-</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-toluenesulfochloramide has been shown to be effective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seed-potato-producing countries in the EPPO region are free from the pest, as well as most Mediterranean countries exporting ware potatoes towards Northern European countries. The pathogen is likely to be able to establish wherever climatic conditions are favorable for the pathogen and potatoes are grown and to become increasingly widespread. While the direct economic impact of ring rot may only be moderate, especially with modern production systems, it would constitute a major extra constraint on seed potato production in countries where it does not occur, with considerable indirect effects on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can occur at low levels in potato production systems and can cause latent infection of tubers. Therefore, phytosanitary measures focusing on potato consignments only are inadequate. Measures have to be implemented for the whole production system, i.e. on the material from which potato consignments are derived and at the place/site or area of production. For seed potatoes, in particular, they involve a series of multiple checks, each of which is considered by itself insufficient.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or which have implemented eradication or containment measures according to PM 9/2 (EPPO, 2011),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2019b), or the exporting country should have implemented an official regulatory control system according to EPPO Standard PM 9/2 (EPPO, 2011). If potatoes are imported from a country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the absence should be confirmed by a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2018). In addition, post-entry quarantine programs are established to allow safe movement of potato germplasm for research and breeding purposes (EPPO, 2019c).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WM, Gudmestad NC, Secor GA &amp; Nolte P (1987) Sugar beet as a symptomless host for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765-770.</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Christie RD, Sumalde AC, Schulz JT &amp; Gudmestad NC (1991) Insect transmission of the bacterial ring rot pathogen.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&amp; Harris RW (1984)</w:t>
      </w:r>
      <w:r>
        <w:rPr>
          <w:rFonts w:ascii="Calibri" w:hAnsi="Calibri" w:eastAsia="Calibri" w:cs="Calibri"/>
          <w:i/>
          <w:iCs/>
          <w:color w:val="000000"/>
          <w:sz w:val="22"/>
          <w:szCs w:val="22"/>
        </w:rPr>
        <w:t xml:space="preserve"> 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De Boer SH &amp; Slack SA (1984) Current status and prospects for detecting and controlling bacterial ring rot of potatoes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841-844.</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 &amp; Généreux H (1960) La transmission par les insectes de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Easton GD (1979) The biology and epidemiology of potato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EFSA Panel on Plant Health: Bragard C, Dehnen‐Schmutz K, Di Serio F, Gonthier P, Jaques Miret JA, Justesen AF, Macleod A, Magnusson CS, Milonas P, Navas‐Cortes J, Parnell S, Potting R, Reignault PL, Thulke HH, Van Der Werf W, Vicent Civera A, Yuen J, Zappalà L, Van Der Wolf J, Kaluski T, Pautasso M &amp; Jacques M. Pest categorisation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9964698c26573ec64"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Diagnostics. EPPO Standard PM 7/59 (2) </w:t>
      </w:r>
      <w:r>
        <w:rPr>
          <w:rFonts w:ascii="Calibri" w:hAnsi="Calibri" w:eastAsia="Calibri" w:cs="Calibri"/>
          <w:i/>
          <w:iCs/>
          <w:color w:val="000000"/>
          <w:sz w:val="22"/>
          <w:szCs w:val="22"/>
        </w:rPr>
        <w:t xml:space="preserve">Clavibacter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262–285. Available at </w:t>
      </w:r>
      <w:hyperlink r:id="rId3883698c26573ed0a"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Phytosanitary treatments. EPPO Standard PM 10/1 (1) Disinfection procedures in potato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463-466. Available at </w:t>
      </w:r>
      <w:hyperlink r:id="rId3400698c26573ed87" w:history="1">
        <w:r>
          <w:rPr>
            <w:rFonts w:ascii="Calibri" w:hAnsi="Calibri" w:eastAsia="Calibri" w:cs="Calibri"/>
            <w:color w:val="0000CC"/>
            <w:sz w:val="22"/>
            <w:szCs w:val="22"/>
            <w:u w:val="single"/>
          </w:rPr>
          <w:t xml:space="preserve">https://gd.eppo.int/standards/PM10/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EPPO Standard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4432698c26573ee20"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National regulatory control systems. EPPO Standard PM 9/2 (2)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385-388. Available at </w:t>
      </w:r>
      <w:hyperlink r:id="rId3149698c26573eed6"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3065698c26573ef51" w:history="1">
        <w:r>
          <w:rPr>
            <w:rFonts w:ascii="Calibri" w:hAnsi="Calibri" w:eastAsia="Calibri" w:cs="Calibri"/>
            <w:color w:val="0000CC"/>
            <w:sz w:val="22"/>
            <w:szCs w:val="22"/>
            <w:u w:val="single"/>
          </w:rPr>
          <w:t xml:space="preserve">https://gd.eppo.int/taxon/CORBSE/documents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EPPO Standard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423-424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3460698c26573f004"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6416698c26573f068"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Phytosanitary procedures.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2205698c26573f0ef"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Phytosanitary procedures.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8532698c26573f160"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Diagnostics. EPPO Standard PM 7/59(2)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Phytosanitary procedures. EPPO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Gudmestad NC, Mallik I, Pasche JS, Anderson NR &amp; Kinzer K (2009) A Real-Time PCR assay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based on the cellulase A gene sequence.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649-659.</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Corynebacterium sepedonicum. </w:t>
      </w:r>
      <w:r>
        <w:rPr>
          <w:rFonts w:ascii="Calibri" w:hAnsi="Calibri" w:eastAsia="Calibri" w:cs="Calibri"/>
          <w:i/>
          <w:iCs/>
          <w:color w:val="000000"/>
          <w:sz w:val="22"/>
          <w:szCs w:val="22"/>
        </w:rPr>
        <w:t xml:space="preserve">IMI Description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RJ, Harding MW, Daniels GC, Mobbs SL, Lisowski SLI &amp; De Boer SH (2015) Efficacy of agricultural disinfectants on biofilms of the bacterial ring rot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Ignatov AN, Panycheva JS, Spechenkova N &amp; Taliansky M (2018) First report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infecting sugar beet in Russia.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2634.</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6 Surveillance. Rome, IPPC, FAO. Available at </w:t>
      </w:r>
      <w:hyperlink r:id="rId5792698c26573f49a"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(1948) Suscept range of the potato ring rot bacterium.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361-371.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DR, Nelson GA &amp; Kulcsar F (1989) Elimination of bacterial ring rot (</w:t>
      </w:r>
      <w:r>
        <w:rPr>
          <w:rFonts w:ascii="Calibri" w:hAnsi="Calibri" w:eastAsia="Calibri" w:cs="Calibri"/>
          <w:i/>
          <w:iCs/>
          <w:color w:val="000000"/>
          <w:sz w:val="22"/>
          <w:szCs w:val="22"/>
        </w:rPr>
        <w:t xml:space="preserve">Corynebacterium sepedonicum </w:t>
      </w:r>
      <w:r>
        <w:rPr>
          <w:rFonts w:ascii="Calibri" w:hAnsi="Calibri" w:eastAsia="Calibri" w:cs="Calibri"/>
          <w:color w:val="000000"/>
          <w:sz w:val="22"/>
          <w:szCs w:val="22"/>
        </w:rPr>
        <w:t xml:space="preserve">[Spieck. and Kotth.] Skapt. and Burkh.) by in vitro culture of sprout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Mansfeld-Giese K (1997) Plant-to-plant transmission of the bacterial ring rot pathogen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Gudmestad NC &amp; Nelson GA (1987) Factors affecting infection, disease development, and symptom expression of bacterial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671-676.</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&amp; McKenzie AR (1988) Cultivar response to bacterial ring rot infection in Maine.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Massart S, Nagy C &amp; Jijakli MH (2014) Development of the simultaneous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and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a multiplex real-time PCR assay.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HJ &amp; Ficke W (1974) [Bacterial ring rot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a dangerous quarantine disease for potato cultivation.].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159-160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GA (1985) Survival of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in potato stems and on surfaces held at freezing and above-freezing temperatures.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Pastrik KH (2000)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multiplex PCR with coamplification of host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Berthier-Schaad Y, Sechler A &amp; Knorr D (1999)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BIO-PCR and an automated real-time fluorescence detection 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1095-1100.</w:t>
      </w:r>
    </w:p>
    <w:p>
      <w:pPr>
        <w:widowControl w:val="on"/>
        <w:pBdr/>
        <w:spacing w:before="220" w:after="220" w:line="240" w:lineRule="auto"/>
        <w:ind w:left="0" w:right="0"/>
        <w:jc w:val="left"/>
      </w:pPr>
      <w:r>
        <w:rPr>
          <w:rFonts w:ascii="Calibri" w:hAnsi="Calibri" w:eastAsia="Calibri" w:cs="Calibri"/>
          <w:color w:val="000000"/>
          <w:sz w:val="22"/>
          <w:szCs w:val="22"/>
        </w:rPr>
        <w:t xml:space="preserve">Steinmöller S, Müller P, Bandte M &amp; Büttner C (2013) Risk of dissemination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with potato waste.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573-584.</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Lamers JG, Van Der Zouwen PS, Mendes O, Van Den Berg W, Tjou-Tam-Sin NNA, Jilesen CJTJ, Spoorenberg PM &amp; Van Der Wolf JM (2017) Chemical eradication of the ring rot bacterium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on potato storage crates.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Tom JY, van der Zouwen PS, Mendes O, Poleij LM &amp; van der Wolf JM (2021) Effect of temperature treatments on the viability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in infected potato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Müller P, Elphinstone JG, Vreeburg RAM &amp; Janse JD (2017) Euphresco inter‐laboratory comparison (2009–2012) on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proposal to inc.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24-32.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(2015) Pest Risk Analysis EU internal movement of true potato seed (TPS) of registered TPS varieties: probability of association of regulated pests and analysis of risk reduction options. </w:t>
      </w:r>
      <w:r>
        <w:rPr>
          <w:rFonts w:ascii="Calibri" w:hAnsi="Calibri" w:eastAsia="Calibri" w:cs="Calibri"/>
          <w:i/>
          <w:iCs/>
          <w:color w:val="000000"/>
          <w:sz w:val="22"/>
          <w:szCs w:val="22"/>
        </w:rPr>
        <w:t xml:space="preserve">Netherlands Food and Consumer Product Safety Authority</w:t>
      </w:r>
      <w:r>
        <w:rPr>
          <w:rFonts w:ascii="Calibri" w:hAnsi="Calibri" w:eastAsia="Calibri" w:cs="Calibri"/>
          <w:color w:val="000000"/>
          <w:sz w:val="22"/>
          <w:szCs w:val="22"/>
        </w:rPr>
        <w:t xml:space="preserve">, 1-41. Available at </w:t>
      </w:r>
      <w:hyperlink r:id="rId7896698c26573fe92" w:history="1">
        <w:r>
          <w:rPr>
            <w:rFonts w:ascii="Calibri" w:hAnsi="Calibri" w:eastAsia="Calibri" w:cs="Calibri"/>
            <w:color w:val="0000CC"/>
            <w:sz w:val="22"/>
            <w:szCs w:val="22"/>
            <w:u w:val="single"/>
          </w:rPr>
          <w:t xml:space="preserve">https://pra.eppo.int/getfile/40de6c9d-aa1d-4a0d-93f8-8b420ba1ddff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Beckhoven JRCM, Hukkanen A, Karjalainen R &amp; Muller P (2005a) Fate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the causal organism of bacterial ring rot of potato, in weeds and field crops.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358-365.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Elphinstone JG, Stead DE, Metzler M, Müller P, Hukkanen A &amp; Karjalainen R (2005b) Epidemiology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relation to control of bacterial ring rot. </w:t>
      </w:r>
      <w:r>
        <w:rPr>
          <w:rFonts w:ascii="Calibri" w:hAnsi="Calibri" w:eastAsia="Calibri" w:cs="Calibri"/>
          <w:i/>
          <w:iCs/>
          <w:color w:val="000000"/>
          <w:sz w:val="22"/>
          <w:szCs w:val="22"/>
        </w:rPr>
        <w:t xml:space="preserve">Plant Research International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1-44.</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De Paepe B, Hoedekie A, Van Malderghem C, Zaluga J, De Vos P &amp; Maes M (2016) Natural infection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Bergsma-Vlami M, Bollema RM, De Haan EG, Kooman-Gersmann M, Smits-Mastebroek L, Tameling WIL, Tjou-Tam-Sin NNA, Van De Vossenberg BTLH &amp; Janse JD (2016) Performance of real-time PCR and immunofluorescence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in routine testing.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112-121.</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Zendman AJW, Pol A, Verheij E, Nas M &amp; Kooman-Gersmann M (2018) Validation of four real-time TaqMan PCRs for the detection of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Ralstonia pseudosolanacearum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using a statistical regression approach.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86-96.</w:t>
      </w:r>
    </w:p>
    <w:p>
      <w:pPr>
        <w:widowControl w:val="on"/>
        <w:pBdr/>
        <w:spacing w:before="220" w:after="220" w:line="240" w:lineRule="auto"/>
        <w:ind w:left="0" w:right="0"/>
        <w:jc w:val="left"/>
      </w:pPr>
      <w:r>
        <w:rPr>
          <w:rFonts w:ascii="Calibri" w:hAnsi="Calibri" w:eastAsia="Calibri" w:cs="Calibri"/>
          <w:color w:val="000000"/>
          <w:sz w:val="22"/>
          <w:szCs w:val="22"/>
        </w:rPr>
        <w:t xml:space="preserve">Whitworth JL, Selstedt RA, Westra AAG, Nolte P, Duellman K, Yellareddygari SKR &amp; Gudmestad NC (2019) Symptom expression of mainstream and specialty potato cultivars to bacterial ring rot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and evaluation of in-field detection.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427-444.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t>
      </w:r>
      <w:hyperlink r:id="rId4971698c2657406da" w:history="1">
        <w:r>
          <w:rPr>
            <w:rFonts w:ascii="Calibri" w:hAnsi="Calibri" w:eastAsia="Calibri" w:cs="Calibri"/>
            <w:color w:val="0000CC"/>
            <w:sz w:val="22"/>
            <w:szCs w:val="22"/>
            <w:u w:val="single"/>
          </w:rPr>
          <w:t xml:space="preserve">https://doi.org/10.2903/sp.efsa.2019.EN-1569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EPPO datasheets on pests recommended for regulation. Available online. </w:t>
      </w:r>
      <w:hyperlink r:id="rId9702698c2657407d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51: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25-29. </w:t>
      </w:r>
      <w:hyperlink r:id="rId3028698c265740968" w:history="1">
        <w:r>
          <w:rPr>
            <w:rFonts w:ascii="Calibri" w:hAnsi="Calibri" w:eastAsia="Calibri" w:cs="Calibri"/>
            <w:color w:val="0000CC"/>
            <w:sz w:val="22"/>
            <w:szCs w:val="22"/>
            <w:u w:val="single"/>
          </w:rPr>
          <w:t xml:space="preserve">https://doi.org/10.1111/j.1365-2338.1978.tb02765.x</w:t>
        </w:r>
      </w:hyperlink>
      <w:r>
        <w:rPr>
          <w:rFonts w:ascii="Calibri" w:hAnsi="Calibri" w:eastAsia="Calibri" w:cs="Calibri"/>
          <w:color w:val="000000"/>
          <w:sz w:val="22"/>
          <w:szCs w:val="22"/>
        </w:rPr>
        <w:t xml:space="preserve"> </w:t>
      </w:r>
    </w:p>
    <w:p>
      <w:r>
        <w:drawing>
          <wp:inline distT="0" distB="0" distL="0" distR="0">
            <wp:extent cx="1800000" cy="604800"/>
            <wp:docPr id="32586672" name="name9551698c2657409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89698c2657409d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683551">
    <w:multiLevelType w:val="hybridMultilevel"/>
    <w:lvl w:ilvl="0" w:tplc="89093078">
      <w:start w:val="1"/>
      <w:numFmt w:val="decimal"/>
      <w:lvlText w:val="%1."/>
      <w:lvlJc w:val="left"/>
      <w:pPr>
        <w:ind w:left="720" w:hanging="360"/>
      </w:pPr>
    </w:lvl>
    <w:lvl w:ilvl="1" w:tplc="89093078" w:tentative="1">
      <w:start w:val="1"/>
      <w:numFmt w:val="lowerLetter"/>
      <w:lvlText w:val="%2."/>
      <w:lvlJc w:val="left"/>
      <w:pPr>
        <w:ind w:left="1440" w:hanging="360"/>
      </w:pPr>
    </w:lvl>
    <w:lvl w:ilvl="2" w:tplc="89093078" w:tentative="1">
      <w:start w:val="1"/>
      <w:numFmt w:val="lowerRoman"/>
      <w:lvlText w:val="%3."/>
      <w:lvlJc w:val="right"/>
      <w:pPr>
        <w:ind w:left="2160" w:hanging="180"/>
      </w:pPr>
    </w:lvl>
    <w:lvl w:ilvl="3" w:tplc="89093078" w:tentative="1">
      <w:start w:val="1"/>
      <w:numFmt w:val="decimal"/>
      <w:lvlText w:val="%4."/>
      <w:lvlJc w:val="left"/>
      <w:pPr>
        <w:ind w:left="2880" w:hanging="360"/>
      </w:pPr>
    </w:lvl>
    <w:lvl w:ilvl="4" w:tplc="89093078" w:tentative="1">
      <w:start w:val="1"/>
      <w:numFmt w:val="lowerLetter"/>
      <w:lvlText w:val="%5."/>
      <w:lvlJc w:val="left"/>
      <w:pPr>
        <w:ind w:left="3600" w:hanging="360"/>
      </w:pPr>
    </w:lvl>
    <w:lvl w:ilvl="5" w:tplc="89093078" w:tentative="1">
      <w:start w:val="1"/>
      <w:numFmt w:val="lowerRoman"/>
      <w:lvlText w:val="%6."/>
      <w:lvlJc w:val="right"/>
      <w:pPr>
        <w:ind w:left="4320" w:hanging="180"/>
      </w:pPr>
    </w:lvl>
    <w:lvl w:ilvl="6" w:tplc="89093078" w:tentative="1">
      <w:start w:val="1"/>
      <w:numFmt w:val="decimal"/>
      <w:lvlText w:val="%7."/>
      <w:lvlJc w:val="left"/>
      <w:pPr>
        <w:ind w:left="5040" w:hanging="360"/>
      </w:pPr>
    </w:lvl>
    <w:lvl w:ilvl="7" w:tplc="89093078" w:tentative="1">
      <w:start w:val="1"/>
      <w:numFmt w:val="lowerLetter"/>
      <w:lvlText w:val="%8."/>
      <w:lvlJc w:val="left"/>
      <w:pPr>
        <w:ind w:left="5760" w:hanging="360"/>
      </w:pPr>
    </w:lvl>
    <w:lvl w:ilvl="8" w:tplc="89093078" w:tentative="1">
      <w:start w:val="1"/>
      <w:numFmt w:val="lowerRoman"/>
      <w:lvlText w:val="%9."/>
      <w:lvlJc w:val="right"/>
      <w:pPr>
        <w:ind w:left="6480" w:hanging="180"/>
      </w:pPr>
    </w:lvl>
  </w:abstractNum>
  <w:abstractNum w:abstractNumId="74683550">
    <w:multiLevelType w:val="hybridMultilevel"/>
    <w:lvl w:ilvl="0" w:tplc="403749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683550">
    <w:abstractNumId w:val="74683550"/>
  </w:num>
  <w:num w:numId="74683551">
    <w:abstractNumId w:val="746835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3144361" Type="http://schemas.microsoft.com/office/2011/relationships/commentsExtended" Target="commentsExtended.xml"/><Relationship Id="rId592298599" Type="http://schemas.microsoft.com/office/2011/relationships/people" Target="people.xml"/><Relationship Id="rId7257698c26573c135" Type="http://schemas.openxmlformats.org/officeDocument/2006/relationships/hyperlink" Target="https://gd.eppo.int/taxon/CORBSE/" TargetMode="External"/><Relationship Id="rId9796698c26573c19e" Type="http://schemas.openxmlformats.org/officeDocument/2006/relationships/hyperlink" Target="https://gd.eppo.int/taxon/CORBSE/categorization" TargetMode="External"/><Relationship Id="rId4384698c26573ca83" Type="http://schemas.openxmlformats.org/officeDocument/2006/relationships/hyperlink" Target="https://gd.eppo.int/taxon/CORBSE/photos" TargetMode="External"/><Relationship Id="rId9964698c26573ec64" Type="http://schemas.openxmlformats.org/officeDocument/2006/relationships/hyperlink" Target="https://gd.eppo.int/taxon/PSTVD0/documents" TargetMode="External"/><Relationship Id="rId3883698c26573ed0a" Type="http://schemas.openxmlformats.org/officeDocument/2006/relationships/hyperlink" Target="https://gd.eppo.int/standards/PM7/" TargetMode="External"/><Relationship Id="rId3400698c26573ed87" Type="http://schemas.openxmlformats.org/officeDocument/2006/relationships/hyperlink" Target="https://gd.eppo.int/standards/PM10/" TargetMode="External"/><Relationship Id="rId4432698c26573ee20" Type="http://schemas.openxmlformats.org/officeDocument/2006/relationships/hyperlink" Target="https://gd.eppo.int/standards/PM3/" TargetMode="External"/><Relationship Id="rId3149698c26573eed6" Type="http://schemas.openxmlformats.org/officeDocument/2006/relationships/hyperlink" Target="https://gd.eppo.int/standards/PM9/" TargetMode="External"/><Relationship Id="rId3065698c26573ef51" Type="http://schemas.openxmlformats.org/officeDocument/2006/relationships/hyperlink" Target="https://gd.eppo.int/taxon/CORBSE/documents" TargetMode="External"/><Relationship Id="rId3460698c26573f004" Type="http://schemas.openxmlformats.org/officeDocument/2006/relationships/hyperlink" Target="https://gd.eppo.int/standards/PM3/" TargetMode="External"/><Relationship Id="rId6416698c26573f068" Type="http://schemas.openxmlformats.org/officeDocument/2006/relationships/hyperlink" Target="https://gd.eppo.int/standards/PM3/" TargetMode="External"/><Relationship Id="rId2205698c26573f0ef" Type="http://schemas.openxmlformats.org/officeDocument/2006/relationships/hyperlink" Target="https://gd.eppo.int/standards/PM3/" TargetMode="External"/><Relationship Id="rId8532698c26573f160" Type="http://schemas.openxmlformats.org/officeDocument/2006/relationships/hyperlink" Target="https://gd.eppo.int/standards/PM3/" TargetMode="External"/><Relationship Id="rId5792698c26573f49a" Type="http://schemas.openxmlformats.org/officeDocument/2006/relationships/hyperlink" Target="https://www.ippc.int/en/core-activities/standards-setting/ispms/" TargetMode="External"/><Relationship Id="rId7896698c26573fe92" Type="http://schemas.openxmlformats.org/officeDocument/2006/relationships/hyperlink" Target="https://pra.eppo.int/getfile/40de6c9d-aa1d-4a0d-93f8-8b420ba1ddff" TargetMode="External"/><Relationship Id="rId4971698c2657406da" Type="http://schemas.openxmlformats.org/officeDocument/2006/relationships/hyperlink" Target="https://doi.org/10.2903/sp.efsa.2019.EN-1569" TargetMode="External"/><Relationship Id="rId9702698c2657407d1" Type="http://schemas.openxmlformats.org/officeDocument/2006/relationships/hyperlink" Target="https://gd.eppo.int" TargetMode="External"/><Relationship Id="rId3028698c265740968" Type="http://schemas.openxmlformats.org/officeDocument/2006/relationships/hyperlink" Target="https://doi.org/10.1111/j.1365-2338.1978.tb02765.x" TargetMode="External"/><Relationship Id="rId8858698c26573c93d" Type="http://schemas.openxmlformats.org/officeDocument/2006/relationships/image" Target="media/imgrId8858698c26573c93d.jpg"/><Relationship Id="rId5980698c26573dc19" Type="http://schemas.openxmlformats.org/officeDocument/2006/relationships/image" Target="media/imgrId5980698c26573dc19.jpg"/><Relationship Id="rId5789698c2657409de" Type="http://schemas.openxmlformats.org/officeDocument/2006/relationships/image" Target="media/imgrId5789698c2657409d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