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michiganensis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michiganensis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michiganense</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Clavibacter michiganensis subsp. michiganensis</w:t>
            </w:r>
            <w:r>
              <w:rPr>
                <w:rFonts w:ascii="Calibri" w:hAnsi="Calibri" w:eastAsia="Calibri" w:cs="Calibri"/>
                <w:color w:val="000000"/>
                <w:position w:val="-3"/>
                <w:sz w:val="22"/>
                <w:szCs w:val="22"/>
              </w:rPr>
              <w:t xml:space="preserve"> (Smith) Davis et al.,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Dye &amp; Kemp,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 subsp.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w:t>
            </w:r>
            <w:r>
              <w:rPr>
                <w:rFonts w:ascii="Calibri" w:hAnsi="Calibri" w:eastAsia="Calibri" w:cs="Calibri"/>
                <w:color w:val="000000"/>
                <w:position w:val="-3"/>
                <w:sz w:val="22"/>
                <w:szCs w:val="22"/>
              </w:rPr>
              <w:t xml:space="preserve"> (Smith) Jensen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tomato, bird's eye of tomato fruits, vascular wilt of tomato</w:t>
            </w:r>
            <w:hyperlink r:id="rId522266981a572c6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57166981a572c67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CORBMI</w:t>
            </w:r>
          </w:p>
        </w:tc>
        <w:tc>
          <w:tcPr>
            <w:tcW w:w="2000" w:type="pct"/>
            <w:tcMar>
              <w:top w:w="15" w:type="dxa"/>
              <w:left w:w="15" w:type="dxa"/>
              <w:bottom w:w="15" w:type="dxa"/>
              <w:right w:w="15" w:type="dxa"/>
            </w:tcMar>
            <w:vAlign w:val="center"/>
          </w:tcPr>
          <w:p>
            <w:r>
              <w:rPr>
                <w:position w:val="8"/>
              </w:rPr>
              <w:drawing>
                <wp:inline distT="0" distB="0" distL="0" distR="0">
                  <wp:extent cx="2160000" cy="0"/>
                  <wp:docPr id="42121397" name="name778266981a572cef4" descr="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jpg"/>
                          <pic:cNvPicPr/>
                        </pic:nvPicPr>
                        <pic:blipFill>
                          <a:blip r:embed="rId606866981a572cef2" cstate="print"/>
                          <a:stretch>
                            <a:fillRect/>
                          </a:stretch>
                        </pic:blipFill>
                        <pic:spPr>
                          <a:xfrm>
                            <a:off x="0" y="0"/>
                            <a:ext cx="2160000" cy="0"/>
                          </a:xfrm>
                          <a:prstGeom prst="rect">
                            <a:avLst/>
                          </a:prstGeom>
                          <a:ln w="0">
                            <a:noFill/>
                          </a:ln>
                        </pic:spPr>
                      </pic:pic>
                    </a:graphicData>
                  </a:graphic>
                </wp:inline>
              </w:drawing>
            </w:r>
            <w:hyperlink r:id="rId246266981a573a4d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the pathogen causing bacterial canker of tomato has been called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the 2010s, the division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into subspecies started to be reviewed, and subspecies were progressively moved to the species level, such as </w:t>
      </w:r>
      <w:r>
        <w:rPr>
          <w:rFonts w:ascii="Calibri" w:hAnsi="Calibri" w:eastAsia="Calibri" w:cs="Calibri"/>
          <w:i/>
          <w:iCs/>
          <w:color w:val="000000"/>
          <w:sz w:val="22"/>
          <w:szCs w:val="22"/>
        </w:rPr>
        <w:t xml:space="preserve">C. sepedonicus, C. capsici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nebraskensi</w:t>
      </w:r>
      <w:r>
        <w:rPr>
          <w:rFonts w:ascii="Calibri" w:hAnsi="Calibri" w:eastAsia="Calibri" w:cs="Calibri"/>
          <w:color w:val="000000"/>
          <w:sz w:val="22"/>
          <w:szCs w:val="22"/>
        </w:rPr>
        <w:t xml:space="preserv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Nouioui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 recently, based on genomic and phylogenetic analysis,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californiensis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chilensis</w:t>
      </w:r>
      <w:r>
        <w:rPr>
          <w:rFonts w:ascii="Calibri" w:hAnsi="Calibri" w:eastAsia="Calibri" w:cs="Calibri"/>
          <w:color w:val="000000"/>
          <w:sz w:val="22"/>
          <w:szCs w:val="22"/>
        </w:rPr>
        <w:t xml:space="preserve"> were also elevated to species rank, leaving only one subspecies,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(Arizala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a consequence, this remaining subspecies should now be called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major host of economic importance is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Several strains which had been isolated from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have been reclassified as </w:t>
      </w:r>
      <w:r>
        <w:rPr>
          <w:rFonts w:ascii="Calibri" w:hAnsi="Calibri" w:eastAsia="Calibri" w:cs="Calibri"/>
          <w:i/>
          <w:iCs/>
          <w:color w:val="000000"/>
          <w:sz w:val="22"/>
          <w:szCs w:val="22"/>
        </w:rPr>
        <w:t xml:space="preserve">Clavibacter capsici</w:t>
      </w:r>
      <w:r>
        <w:rPr>
          <w:rFonts w:ascii="Calibri" w:hAnsi="Calibri" w:eastAsia="Calibri" w:cs="Calibri"/>
          <w:color w:val="000000"/>
          <w:sz w:val="22"/>
          <w:szCs w:val="22"/>
        </w:rPr>
        <w:t xml:space="preserve"> (Oh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Additionally, several weeds from the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family have been shown to be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under natural or experimental conditions (e.g.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Laj, 1976; Latin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Lewis Ivey &amp; Miller, 2000;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Yim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and could be potential reservoirs of the pathogen. A number of solanaceous plants are susceptible after artificial inoculation (for details see Thyr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Yim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other plant species including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w:t>
      </w:r>
      <w:r>
        <w:rPr>
          <w:rFonts w:ascii="Calibri" w:hAnsi="Calibri" w:eastAsia="Calibri" w:cs="Calibri"/>
          <w:color w:val="000000"/>
          <w:sz w:val="22"/>
          <w:szCs w:val="22"/>
        </w:rPr>
        <w:t xml:space="preserve">spp.)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Additional monocotyledonous host plants reported susceptible after artificial inoculation, e.g.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Stamova &amp; Sotirova, 1987) are considered doubtful pending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tomato was first identified in tomato greenhouses in Michigan (USA) in 1909, and is now widespread in Africa, Asia, Europe, North America, Oceania and South America.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ince the mid-twentieth century, the intensification of the international tomato seed trade has caused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to spread within and between continents. It has also become widespread within a number of tomato producing countries of the EPPO region, but also in tomato producing countries outside the EPPO region.</w:t>
      </w:r>
    </w:p>
    <w:p>
      <w:r>
        <w:drawing>
          <wp:inline distT="0" distB="0" distL="0" distR="0">
            <wp:extent cx="6120000" cy="0"/>
            <wp:docPr id="45011055" name="name303366981a573bfa5" descr="CORB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MI_distribution_map.jpg"/>
                    <pic:cNvPicPr/>
                  </pic:nvPicPr>
                  <pic:blipFill>
                    <a:blip r:embed="rId552566981a573bfa1"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Belarus, Belgium, Bulgaria, Cyprus, Czech Republic, France (mainland), Germany, Greece (mainland, Kriti), Hungary, Israel, Italy (mainland, Sardegna, Sicilia), Jordan, Latvia, Morocco, Poland, Portugal (mainland), Romania, Russia (Central Russia, Southern Russia, Western Siberia), Serbia, Slovenia, Spain (mainland,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Madagascar, Morocco, South Africa,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Xinjiang), India (Andhra Pradesh, Karnataka, Madhya Pradesh, Maharashtra, Tamil Nadu), Indonesia (Java), Iran, Israel, Japan (Honshu), Jordan,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Arkansas, California, Colorado, Connecticut, Florida, Georgia, Hawaii, Illinois, Indiana, Iowa, Kentucky, Maine, Maryland, Massachusetts, Michigan, Minnesota, Montana, Nebraska, New Hampshire, New Jersey, New York, North Carolina, North Dakota, Ohio, Oklahoma, Oregon, Pennsylvania, South Dakota, Utah, Vermont,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 Dominican Republic, Grenada,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(Pernambuco, Sao Paulo), Chile, Colombia, Ecuador,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Fiji, Guam, New Caledonia, New Zealand,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Contaminated/infected tomato seeds and plants for planting are the primary source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outbreaks. Contamination/infection levels as low as 1 in 10000 seeds can be enough to cause an epidemic. Plant debris containing the pathogen and alternative hosts can also play a role in disease outbreaks but are considered less important (De León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EPPO, 2016a; Fatmi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Moffett &amp; Wood, 1984;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 primary source the bacterium spreads locally mainly by water (rain splash, irrigation) and/or during cultural practices (e.g. trimming, chemical sprays). The bacterium can enter the plant tissue through hydathodes as well as different types of wounds on shoots and roots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Young plants have been shown to be more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(Van Vaerenbergh &amp; Chauveau, 1985). However, under natural conditions, tomato plants are susceptible throughout their life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After infection, there is a latent period which can range from 7 days up to almost 3 months (EFSA, 2014; Gleason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cause systemic infections, generally when the infection occurs at an early stage of plant development, or only a local infection, when the plant is infected later during its development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colonizes and multiplies in the xylem vessels which allows it to spread rapidly through the plant. Inside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expresses a large set of virulence factors and enzymes leading, for example, to the degradation of the vascular tissue. Heavily infected vessels contain viscous granular deposits, tyloses and bacterial masses that block water transport which causes wilting of the plant. From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also enter the seed coat and endosperm leading to (new) seed infections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During later stages of infection, the stem can crack, leading to the exudation of droplets containing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allowing further spreading.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optimum temperature for growth of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is 24-28°C. The bacterium is highly tolerant to desiccation and can survive on seeds and dried plant material for years. In dried soil, the survival time is shorter, but can last up to 7 or 8 months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gives a detailed description of the disease symptoms (EPPO, 2016a). Symptoms can be divided in those that are triggered during a systemic infection and those that can appear during a local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systemic infections early symptoms include the appearance of dull green, oily areas that desiccate and later turn brown. With temperatures of 25-30°C and strong evapotranspiration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reversible wilting of leaves occurs which, within a few days, will become irreversible. Entire leaves, and eventually the whole plant, will wilt and desiccate. Contaminated/infected seeds usually give rise to apparently healthy seedlings, symptoms only appearing as plants approach maturity. Fruits may fail to develop and fall, or ripen unevenly. They also often show external marbling and internal bleaching of vascular and surrounding tissue. Less frequently, fruits may show characteristic ‘bird's eye’ spots. Initially slightly raised and white, these spots develop light-brown roughened centres surrounded by a flat whitish halo. On cutting stems, petioles and peduncles, particularly at their junctions, a creamy-white, yellow or reddish-brown discoloration of vascular tissue and pith and cavities within the pith will be evident. These discolorations are only visible at advanced stages of the disease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Local infections can cause a granular appearance of leaves, stems and calyces which is caused by the presence of raised or sunken white to pale orange blisters. Infections through hydathodes commonly lead to dark brown spots that are surrounded by a yellow to orange area at the edge of the leaf. At later stages the edges of these leaves can curl and wilt. Local infections can sometimes cause yellow streaks along the stem that might split open and form cankers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is an aerobic, non-motile, Gram-positive and non-spore forming bacteria, with a curved rod shape (for details see Bradbury, 1986).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the causal organism can be performed on e.g. yeast peptone glucose agar. On this medium the bacterium develops flat and semi-fluidal, round or irregular, yellow colonies in 3 to 4 days (EPPO, 2016a). White, pink, red and orange mutants may also occur (Hayward &amp; Waterston,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will generally allow detection of symptoms during the growing season. However, plantlets are usually symptomless when they are traded, and symptoms are not visible on seeds. Plants for planting should be inspected according to EPPO Standard PM 3/77 </w:t>
      </w:r>
      <w:r>
        <w:rPr>
          <w:rFonts w:ascii="Calibri" w:hAnsi="Calibri" w:eastAsia="Calibri" w:cs="Calibri"/>
          <w:i/>
          <w:iCs/>
          <w:color w:val="000000"/>
          <w:sz w:val="22"/>
          <w:szCs w:val="22"/>
        </w:rPr>
        <w:t xml:space="preserve">Vegetable plants for planting under protected conditions – inspection of places of production </w:t>
      </w:r>
      <w:r>
        <w:rPr>
          <w:rFonts w:ascii="Calibri" w:hAnsi="Calibri" w:eastAsia="Calibri" w:cs="Calibri"/>
          <w:color w:val="000000"/>
          <w:sz w:val="22"/>
          <w:szCs w:val="22"/>
        </w:rPr>
        <w:t xml:space="preserve">(EPPO, 2016b), whereas sampling of seeds for testing should follow EPPO PM 3/80 </w:t>
      </w:r>
      <w:r>
        <w:rPr>
          <w:rFonts w:ascii="Calibri" w:hAnsi="Calibri" w:eastAsia="Calibri" w:cs="Calibri"/>
          <w:i/>
          <w:iCs/>
          <w:color w:val="000000"/>
          <w:sz w:val="22"/>
          <w:szCs w:val="22"/>
        </w:rPr>
        <w:t xml:space="preserve">Consignment inspection of seed of Solanum lycopersicum</w:t>
      </w:r>
      <w:r>
        <w:rPr>
          <w:rFonts w:ascii="Calibri" w:hAnsi="Calibri" w:eastAsia="Calibri" w:cs="Calibri"/>
          <w:color w:val="000000"/>
          <w:sz w:val="22"/>
          <w:szCs w:val="22"/>
        </w:rPr>
        <w:t xml:space="preserve">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provides thorough instructions on sampling, extracting, plating and diagnosing both symptomatic and symptomless plants. These include plating on both semi-selective and non-selective media and detection by immunofluorescence (IF) as well as PCR. Additionally, two procedures for detection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 seeds are provided. The first procedure is based on plating seed extracts on different semi-selective media while the second procedure provides details on IF, PCR and selective enrichment protocols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recent years, a number of often TaqMan based qPCR protocols and a loop-mediated isothermal amplification assay were developed that can be used to confirm the identity of isolated bacteria suspected of being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and/or to specifically detect 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infected seeds and plant material (Dobhal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Han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Larrea-Sarmiento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Ramachandran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Thapa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is the main long-distance pathway for movement of the pathogen. Cultivation measures contribute to local dispersion of the disease. Overhead irrigation, chemical sprays, handling during transport and wound inflicting actions such as clipping and pruning all favour the spread of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The use of rotary mowers for clipping tomato plants has especially favoured disease dissemination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Additionally, remaining contaminated crop debris can allow re-infection of the seedlings in the following season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world’s most important vegetable crop with an annual production of over 180 million tonnes, representing a value of 93 billion USD (Food and agricultural organization, 2020). Since the first report of the disease in the USA in 1910,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spread throughout the world and causes serious losses to both glasshouse and field tomato crops, either by killing the young plants or disfiguring the fruits making them unmarketable as fresh produce. Disease incidence in affected fields can be as high as 100% leading to severe yield losses. However, a high reduction in crop damage has been observed following the considerable efforts into preventing the introduction and dissemination of the pathogen, which involves the integral testing of seeds and plantlets (see Control). Compared to the damage in tomato, economic losses in pepper are limited (Baysal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EFSA, 2014; Lamichhane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seeds is the first and most important condition for controlling the disease. Seed lots should be laboratory tested for the presence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 tomato seeds are often acid extracted to disinfect the seed surface (EPPO, 2021). A substantial reduction of infection can be achieved by chemical treatment of the seed (Dhanvantari, 1989). Once the disease has appeared in a crop, strict hygiene measures such as eradication of infected plants and isolation of infected rows can minimize yield loss. Prophylactic measures (destruction of crop residues, disinfection of structures and equipment) are essential to prevent infection in protected crops. At the moment there are no commercial tomato varieties which are fully resistant to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tomato seed and plant lots from being infected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the ‘Good Seed and Plant Practices’ (GSPP) system was developed about a decade ago. GSPP provides standards for (hygiene) practices and participating companies are audited to ensure proper implementation (</w:t>
      </w:r>
      <w:hyperlink r:id="rId602166981a574954b"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widely grown in glasshouses in the EPPO region, and the bacterium causes one of the most serious bacterial diseases of glasshouse tomatoes. For tomato field crops, the climatic conditions in southern Europe are favourable for disease development (EFSA, 2014). Disease outbreaks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are sporadic but the impact of these outbreaks can be high. Since the pathogen is seed borne and contaminated/infected seed usually gives rise to apparently healthy seedlings, this facilitates introduction, establishment and spread. This combined with the fact that there are no curative treatments and no fully resistant commercial varieties available, make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major threat for tomato cultivation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seeds are the main pathway for entry, appropriate measures could consist of treating the seeds (i.e. by means of an appropriate acid extraction method or an equivalent method) and testing seed lots according to EPPO Standards PM 7/42 (EPPO, 2021; EPPO, 2016a). Alternatively, seeds could be produced in a pest free area or in a pest free production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the EU Quality pest project recommended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for regulation as a RNQP, for propagation material (including seeds) of tomato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 alternative measure was recommended, involving the absence of symptoms of disease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observed in inspections, at appropriate times, during the complete cycle of vegetation of the plants at the site of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good hygiene practices are important to prevent large disease outbreaks. The guidelines provided by GSPP describe measures that will help to limit the risks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infections. These guidelines focus on managing risk factors, continuous monitoring and seed testing (</w:t>
      </w:r>
      <w:hyperlink r:id="rId656766981a5749792"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Arizala D, Dobhal S, Alvarez AM &amp; Arif M (2022) Elevation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californiensis</w:t>
      </w:r>
      <w:r>
        <w:rPr>
          <w:rFonts w:ascii="Calibri" w:hAnsi="Calibri" w:eastAsia="Calibri" w:cs="Calibri"/>
          <w:color w:val="000000"/>
          <w:sz w:val="22"/>
          <w:szCs w:val="22"/>
        </w:rPr>
        <w:t xml:space="preserve"> to species level as </w:t>
      </w:r>
      <w:r>
        <w:rPr>
          <w:rFonts w:ascii="Calibri" w:hAnsi="Calibri" w:eastAsia="Calibri" w:cs="Calibri"/>
          <w:i/>
          <w:iCs/>
          <w:color w:val="000000"/>
          <w:sz w:val="22"/>
          <w:szCs w:val="22"/>
        </w:rPr>
        <w:t xml:space="preserve">Clavibacter californiensis</w:t>
      </w:r>
      <w:r>
        <w:rPr>
          <w:rFonts w:ascii="Calibri" w:hAnsi="Calibri" w:eastAsia="Calibri" w:cs="Calibri"/>
          <w:color w:val="000000"/>
          <w:sz w:val="22"/>
          <w:szCs w:val="22"/>
        </w:rPr>
        <w:t xml:space="preserve"> sp. nov., merging and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chilensis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Clavibacter phaseoli</w:t>
      </w:r>
      <w:r>
        <w:rPr>
          <w:rFonts w:ascii="Calibri" w:hAnsi="Calibri" w:eastAsia="Calibri" w:cs="Calibri"/>
          <w:color w:val="000000"/>
          <w:sz w:val="22"/>
          <w:szCs w:val="22"/>
        </w:rPr>
        <w:t xml:space="preserve"> sp. nov. based on complete genome in silico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w:t>
      </w:r>
      <w:hyperlink r:id="rId771466981a5749979" w:history="1">
        <w:r>
          <w:rPr>
            <w:rFonts w:ascii="Calibri" w:hAnsi="Calibri" w:eastAsia="Calibri" w:cs="Calibri"/>
            <w:color w:val="0000CC"/>
            <w:sz w:val="22"/>
            <w:szCs w:val="22"/>
            <w:u w:val="single"/>
          </w:rPr>
          <w:t xml:space="preserve">https://doi.org/10.1099/ijsem.0.005427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Baysal Ö, Mercati F, İkten H, Yıldız RÇ, Carimi F, Aysan Y &amp; Teixeira Da Silva JA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Tracking strains using their genetic differentiations by ISSR markers in Southern Turkey.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113-119.</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Carlton WM, Braun EJ &amp; Gleason ML (1998) Ingress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into tomato leaves through hydathodes.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525-529.</w:t>
      </w:r>
    </w:p>
    <w:p>
      <w:pPr>
        <w:widowControl w:val="on"/>
        <w:pBdr/>
        <w:spacing w:before="220" w:after="220" w:line="240" w:lineRule="auto"/>
        <w:ind w:left="0" w:right="0"/>
        <w:jc w:val="left"/>
      </w:pPr>
      <w:r>
        <w:rPr>
          <w:rFonts w:ascii="Calibri" w:hAnsi="Calibri" w:eastAsia="Calibri" w:cs="Calibri"/>
          <w:color w:val="000000"/>
          <w:sz w:val="22"/>
          <w:szCs w:val="22"/>
        </w:rPr>
        <w:t xml:space="preserve">De León L, Siverio F, López MM &amp; Rodríguez 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 seedborne tomato pathogen: healthy seeds are still the goal.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1328-1338.</w:t>
      </w:r>
    </w:p>
    <w:p>
      <w:pPr>
        <w:widowControl w:val="on"/>
        <w:pBdr/>
        <w:spacing w:before="220" w:after="220" w:line="240" w:lineRule="auto"/>
        <w:ind w:left="0" w:right="0"/>
        <w:jc w:val="left"/>
      </w:pPr>
      <w:r>
        <w:rPr>
          <w:rFonts w:ascii="Calibri" w:hAnsi="Calibri" w:eastAsia="Calibri" w:cs="Calibri"/>
          <w:color w:val="000000"/>
          <w:sz w:val="22"/>
          <w:szCs w:val="22"/>
        </w:rPr>
        <w:t xml:space="preserve">Dhanvantari BN (1989) Effect of seed extraction methods and seed treatments on control of tomato bacterial canker.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400-408.</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Larrea‐Sarmiento A, Alvarez AM &amp; Arif M (2019) Development of a loop-mediated isothermal amplification assay for specific detection of all known subspecies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(Smith) Davis et al.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Standards PM 7/42 (3)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202-225.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Phytosanitary procedures. EPPO Standard PM 3/77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w:t>
      </w:r>
    </w:p>
    <w:p>
      <w:pPr>
        <w:widowControl w:val="on"/>
        <w:pBdr/>
        <w:spacing w:before="220" w:after="220" w:line="240" w:lineRule="auto"/>
        <w:ind w:left="0" w:right="0"/>
        <w:jc w:val="left"/>
      </w:pPr>
      <w:r>
        <w:rPr>
          <w:rFonts w:ascii="Calibri" w:hAnsi="Calibri" w:eastAsia="Calibri" w:cs="Calibri"/>
          <w:color w:val="000000"/>
          <w:sz w:val="22"/>
          <w:szCs w:val="22"/>
        </w:rPr>
        <w:t xml:space="preserve">Fatmi M, Schaad NW &amp; Bolkan HA (1991) Seed treatments for eradicating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from naturally infected tomato seeds.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383-385.</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ML, Gitaitis RD &amp; Ricker MD (1993) Recent progress in understanding and controlling bacterial canker of tomato in eastern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Han S, Jiang N, Lv Q, Kan Y, Hao J, Li J &amp; Luo L (2018)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viable but nonculturable state from tomato seed using improved qPCR.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e0196525.</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IMI Descriptions of Fungi and Bacteria.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Huang R &amp; Tu JC (2001) Effects of nutrient solution pH on the survival and transmission of Clavibacter michiganensis ssp. michiganensis in hydroponically grown tomatoes.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503-508.</w:t>
      </w:r>
    </w:p>
    <w:p>
      <w:pPr>
        <w:widowControl w:val="on"/>
        <w:pBdr/>
        <w:spacing w:before="220" w:after="220" w:line="240" w:lineRule="auto"/>
        <w:ind w:left="0" w:right="0"/>
        <w:jc w:val="left"/>
      </w:pPr>
      <w:r>
        <w:rPr>
          <w:rFonts w:ascii="Calibri" w:hAnsi="Calibri" w:eastAsia="Calibri" w:cs="Calibri"/>
          <w:color w:val="000000"/>
          <w:sz w:val="22"/>
          <w:szCs w:val="22"/>
        </w:rPr>
        <w:t xml:space="preserve">Laj M (1976) Bacterial canker of bell pepper caused by </w:t>
      </w:r>
      <w:r>
        <w:rPr>
          <w:rFonts w:ascii="Calibri" w:hAnsi="Calibri" w:eastAsia="Calibri" w:cs="Calibri"/>
          <w:i/>
          <w:iCs/>
          <w:color w:val="000000"/>
          <w:sz w:val="22"/>
          <w:szCs w:val="22"/>
        </w:rPr>
        <w:t xml:space="preserve">Corynebacterium michiganense.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Balestra GM &amp; Varvaro L (2011) Severe outbreak of bacterial canker caused by Clavibacter michiganensis subsp. michiganensis on tomato in central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221-221.</w:t>
      </w:r>
    </w:p>
    <w:p>
      <w:pPr>
        <w:widowControl w:val="on"/>
        <w:pBdr/>
        <w:spacing w:before="220" w:after="220" w:line="240" w:lineRule="auto"/>
        <w:ind w:left="0" w:right="0"/>
        <w:jc w:val="left"/>
      </w:pPr>
      <w:r>
        <w:rPr>
          <w:rFonts w:ascii="Calibri" w:hAnsi="Calibri" w:eastAsia="Calibri" w:cs="Calibri"/>
          <w:color w:val="000000"/>
          <w:sz w:val="22"/>
          <w:szCs w:val="22"/>
        </w:rPr>
        <w:t xml:space="preserve">Larrea-Sarmiento A, Alvarez AM, Stack JP &amp; Arif M (2019) Synergetic effect of non-complementary 5’ AT-rich sequences on the development of a multiplex TaqMan real-time PCR for specific and robust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e0218530.</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 Tikhonova I &amp; Rane K (1995) First report of bacterial canker of pepper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860.</w:t>
      </w:r>
    </w:p>
    <w:p>
      <w:pPr>
        <w:widowControl w:val="on"/>
        <w:pBdr/>
        <w:spacing w:before="220" w:after="220" w:line="240" w:lineRule="auto"/>
        <w:ind w:left="0" w:right="0"/>
        <w:jc w:val="left"/>
      </w:pPr>
      <w:r>
        <w:rPr>
          <w:rFonts w:ascii="Calibri" w:hAnsi="Calibri" w:eastAsia="Calibri" w:cs="Calibri"/>
          <w:color w:val="000000"/>
          <w:sz w:val="22"/>
          <w:szCs w:val="22"/>
        </w:rPr>
        <w:t xml:space="preserve">Lewis Ivey ML &amp; Miller SA (2000) First report of bacterial canker of pepper in Ohio.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810-810.</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Moffett ML &amp; Wood BA (1984) Survival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michiganense</w:t>
      </w:r>
      <w:r>
        <w:rPr>
          <w:rFonts w:ascii="Calibri" w:hAnsi="Calibri" w:eastAsia="Calibri" w:cs="Calibri"/>
          <w:color w:val="000000"/>
          <w:sz w:val="22"/>
          <w:szCs w:val="22"/>
        </w:rPr>
        <w:t xml:space="preserve"> within host debris in soil.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Nandi M, Macdonald J, Liu P, Weselowski B &amp; Yuan Z-C (2018)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bacterial canker of tomato, molecular interactions and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2036-2050.</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Oh EJ, Bae C, Lee HB, Hwang IS, Lee HI, Yea MC, Yim KO, Lee S, Heu S, Cha JS, Oh CS (2016)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capsici</w:t>
      </w:r>
      <w:r>
        <w:rPr>
          <w:rFonts w:ascii="Calibri" w:hAnsi="Calibri" w:eastAsia="Calibri" w:cs="Calibri"/>
          <w:color w:val="000000"/>
          <w:sz w:val="22"/>
          <w:szCs w:val="22"/>
        </w:rPr>
        <w:t xml:space="preserve"> subsp. nov., causing bacterial canker disease in pepper.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(10), 4065-4070.</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Rahimi T, Taghavi SM, Ansari M, Zarei S, Portier P, Briand M &amp; Jacques MA (2020) Comparative genomics and phylogenetic analyses suggest several novel species within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including nonpathogenic tomato-associated strains.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e02873-19.</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S, Dobhal S, Alvarez AM &amp; Arif M (2021) Improved multiplex TaqMan qPCR assay with universal internal control offers reliable and accurate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1405-1416.</w:t>
      </w:r>
    </w:p>
    <w:p>
      <w:pPr>
        <w:widowControl w:val="on"/>
        <w:pBdr/>
        <w:spacing w:before="220" w:after="220" w:line="240" w:lineRule="auto"/>
        <w:ind w:left="0" w:right="0"/>
        <w:jc w:val="left"/>
      </w:pPr>
      <w:r>
        <w:rPr>
          <w:rFonts w:ascii="Calibri" w:hAnsi="Calibri" w:eastAsia="Calibri" w:cs="Calibri"/>
          <w:color w:val="000000"/>
          <w:sz w:val="22"/>
          <w:szCs w:val="22"/>
        </w:rPr>
        <w:t xml:space="preserve">Sharabani G, Shtienberg D, Borenstein M, Shulhani R, Lofthouse M, Sofer M, Chalupowicz L, Barel V &amp; Manulis-Sasson S (2013) Effects of plant age on disease development and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michiganensis</w:t>
      </w:r>
      <w:r>
        <w:rPr>
          <w:rFonts w:ascii="Calibri" w:hAnsi="Calibri" w:eastAsia="Calibri" w:cs="Calibri"/>
          <w:color w:val="000000"/>
          <w:sz w:val="22"/>
          <w:szCs w:val="22"/>
        </w:rPr>
        <w:t xml:space="preserve"> on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1114-1122.</w:t>
      </w:r>
    </w:p>
    <w:p>
      <w:pPr>
        <w:widowControl w:val="on"/>
        <w:pBdr/>
        <w:spacing w:before="220" w:after="220" w:line="240" w:lineRule="auto"/>
        <w:ind w:left="0" w:right="0"/>
        <w:jc w:val="left"/>
      </w:pPr>
      <w:r>
        <w:rPr>
          <w:rFonts w:ascii="Calibri" w:hAnsi="Calibri" w:eastAsia="Calibri" w:cs="Calibri"/>
          <w:color w:val="000000"/>
          <w:sz w:val="22"/>
          <w:szCs w:val="22"/>
        </w:rPr>
        <w:t xml:space="preserve">Stamova L &amp; Sotirova V (1987) Reaction of different crops to artificial inoculation with </w:t>
      </w:r>
      <w:r>
        <w:rPr>
          <w:rFonts w:ascii="Calibri" w:hAnsi="Calibri" w:eastAsia="Calibri" w:cs="Calibri"/>
          <w:i/>
          <w:iCs/>
          <w:color w:val="000000"/>
          <w:sz w:val="22"/>
          <w:szCs w:val="22"/>
        </w:rPr>
        <w:t xml:space="preserve">Corynebacterium michiganense </w:t>
      </w:r>
      <w:r>
        <w:rPr>
          <w:rFonts w:ascii="Calibri" w:hAnsi="Calibri" w:eastAsia="Calibri" w:cs="Calibri"/>
          <w:color w:val="000000"/>
          <w:sz w:val="22"/>
          <w:szCs w:val="22"/>
        </w:rPr>
        <w:t xml:space="preserve">(E.F. Sm.) H.L. Jensen. </w:t>
      </w:r>
      <w:r>
        <w:rPr>
          <w:rFonts w:ascii="Calibri" w:hAnsi="Calibri" w:eastAsia="Calibri" w:cs="Calibri"/>
          <w:i/>
          <w:iCs/>
          <w:color w:val="000000"/>
          <w:sz w:val="22"/>
          <w:szCs w:val="22"/>
        </w:rPr>
        <w:t xml:space="preserve">Archiv fur Phytopathologie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Thapa SP, O’Leary M, Jacques M-A, Gilbertson RL &amp; Coaker G (2020) Comparative genomics to develop a specific multiplex PCR assay for detection of</w:t>
      </w:r>
      <w:r>
        <w:rPr>
          <w:rFonts w:ascii="Calibri" w:hAnsi="Calibri" w:eastAsia="Calibri" w:cs="Calibri"/>
          <w:i/>
          <w:iCs/>
          <w:color w:val="000000"/>
          <w:sz w:val="22"/>
          <w:szCs w:val="22"/>
        </w:rPr>
        <w:t xml:space="preserve"> Clavibacter michiganensis.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556-566.</w:t>
      </w:r>
    </w:p>
    <w:p>
      <w:pPr>
        <w:widowControl w:val="on"/>
        <w:pBdr/>
        <w:spacing w:before="220" w:after="220" w:line="240" w:lineRule="auto"/>
        <w:ind w:left="0" w:right="0"/>
        <w:jc w:val="left"/>
      </w:pPr>
      <w:r>
        <w:rPr>
          <w:rFonts w:ascii="Calibri" w:hAnsi="Calibri" w:eastAsia="Calibri" w:cs="Calibri"/>
          <w:color w:val="000000"/>
          <w:sz w:val="22"/>
          <w:szCs w:val="22"/>
        </w:rPr>
        <w:t xml:space="preserve">Thyr BD, Samuel MJ &amp; Brown PG (1975) New solanaceous host records for </w:t>
      </w:r>
      <w:r>
        <w:rPr>
          <w:rFonts w:ascii="Calibri" w:hAnsi="Calibri" w:eastAsia="Calibri" w:cs="Calibri"/>
          <w:i/>
          <w:iCs/>
          <w:color w:val="000000"/>
          <w:sz w:val="22"/>
          <w:szCs w:val="22"/>
        </w:rPr>
        <w:t xml:space="preserve">Corynebacterium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595-598.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&amp; Chauveau JF (1985) Host plant inoculations for the detection of (latent)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(E. F. Smith) Jensen.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973-995.</w:t>
      </w:r>
    </w:p>
    <w:p>
      <w:pPr>
        <w:widowControl w:val="on"/>
        <w:pBdr/>
        <w:spacing w:before="220" w:after="220" w:line="240" w:lineRule="auto"/>
        <w:ind w:left="0" w:right="0"/>
        <w:jc w:val="left"/>
      </w:pPr>
      <w:r>
        <w:rPr>
          <w:rFonts w:ascii="Calibri" w:hAnsi="Calibri" w:eastAsia="Calibri" w:cs="Calibri"/>
          <w:color w:val="000000"/>
          <w:sz w:val="22"/>
          <w:szCs w:val="22"/>
        </w:rPr>
        <w:t xml:space="preserve">Yim K-O, Lee H-I, Kim J-H, Lee S-D, Cho J-H &amp; Cha J-S (2012) Characterization of phenotypic variants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559-575.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EPPO datasheets on pests recommended for regulation. Available online. </w:t>
      </w:r>
      <w:hyperlink r:id="rId800566981a574ab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michiganense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13-18. </w:t>
      </w:r>
      <w:hyperlink r:id="rId281366981a574ac81" w:history="1">
        <w:r>
          <w:rPr>
            <w:rFonts w:ascii="Calibri" w:hAnsi="Calibri" w:eastAsia="Calibri" w:cs="Calibri"/>
            <w:color w:val="0000CC"/>
            <w:sz w:val="22"/>
            <w:szCs w:val="22"/>
            <w:u w:val="single"/>
          </w:rPr>
          <w:t xml:space="preserve">https://doi.org/10.1111/j.1365-2338.1982.tb01950.x</w:t>
        </w:r>
      </w:hyperlink>
    </w:p>
    <w:p>
      <w:r>
        <w:drawing>
          <wp:inline distT="0" distB="0" distL="0" distR="0">
            <wp:extent cx="0" cy="0"/>
            <wp:docPr id="89793806" name="name342666981a574ad1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2666981a574ad1b"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97372">
    <w:multiLevelType w:val="hybridMultilevel"/>
    <w:lvl w:ilvl="0" w:tplc="46714293">
      <w:start w:val="1"/>
      <w:numFmt w:val="decimal"/>
      <w:lvlText w:val="%1."/>
      <w:lvlJc w:val="left"/>
      <w:pPr>
        <w:ind w:left="720" w:hanging="360"/>
      </w:pPr>
    </w:lvl>
    <w:lvl w:ilvl="1" w:tplc="46714293" w:tentative="1">
      <w:start w:val="1"/>
      <w:numFmt w:val="lowerLetter"/>
      <w:lvlText w:val="%2."/>
      <w:lvlJc w:val="left"/>
      <w:pPr>
        <w:ind w:left="1440" w:hanging="360"/>
      </w:pPr>
    </w:lvl>
    <w:lvl w:ilvl="2" w:tplc="46714293" w:tentative="1">
      <w:start w:val="1"/>
      <w:numFmt w:val="lowerRoman"/>
      <w:lvlText w:val="%3."/>
      <w:lvlJc w:val="right"/>
      <w:pPr>
        <w:ind w:left="2160" w:hanging="180"/>
      </w:pPr>
    </w:lvl>
    <w:lvl w:ilvl="3" w:tplc="46714293" w:tentative="1">
      <w:start w:val="1"/>
      <w:numFmt w:val="decimal"/>
      <w:lvlText w:val="%4."/>
      <w:lvlJc w:val="left"/>
      <w:pPr>
        <w:ind w:left="2880" w:hanging="360"/>
      </w:pPr>
    </w:lvl>
    <w:lvl w:ilvl="4" w:tplc="46714293" w:tentative="1">
      <w:start w:val="1"/>
      <w:numFmt w:val="lowerLetter"/>
      <w:lvlText w:val="%5."/>
      <w:lvlJc w:val="left"/>
      <w:pPr>
        <w:ind w:left="3600" w:hanging="360"/>
      </w:pPr>
    </w:lvl>
    <w:lvl w:ilvl="5" w:tplc="46714293" w:tentative="1">
      <w:start w:val="1"/>
      <w:numFmt w:val="lowerRoman"/>
      <w:lvlText w:val="%6."/>
      <w:lvlJc w:val="right"/>
      <w:pPr>
        <w:ind w:left="4320" w:hanging="180"/>
      </w:pPr>
    </w:lvl>
    <w:lvl w:ilvl="6" w:tplc="46714293" w:tentative="1">
      <w:start w:val="1"/>
      <w:numFmt w:val="decimal"/>
      <w:lvlText w:val="%7."/>
      <w:lvlJc w:val="left"/>
      <w:pPr>
        <w:ind w:left="5040" w:hanging="360"/>
      </w:pPr>
    </w:lvl>
    <w:lvl w:ilvl="7" w:tplc="46714293" w:tentative="1">
      <w:start w:val="1"/>
      <w:numFmt w:val="lowerLetter"/>
      <w:lvlText w:val="%8."/>
      <w:lvlJc w:val="left"/>
      <w:pPr>
        <w:ind w:left="5760" w:hanging="360"/>
      </w:pPr>
    </w:lvl>
    <w:lvl w:ilvl="8" w:tplc="46714293" w:tentative="1">
      <w:start w:val="1"/>
      <w:numFmt w:val="lowerRoman"/>
      <w:lvlText w:val="%9."/>
      <w:lvlJc w:val="right"/>
      <w:pPr>
        <w:ind w:left="6480" w:hanging="180"/>
      </w:pPr>
    </w:lvl>
  </w:abstractNum>
  <w:abstractNum w:abstractNumId="70397371">
    <w:multiLevelType w:val="hybridMultilevel"/>
    <w:lvl w:ilvl="0" w:tplc="87650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97371">
    <w:abstractNumId w:val="70397371"/>
  </w:num>
  <w:num w:numId="70397372">
    <w:abstractNumId w:val="703973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660232" Type="http://schemas.microsoft.com/office/2011/relationships/commentsExtended" Target="commentsExtended.xml"/><Relationship Id="rId241168120" Type="http://schemas.microsoft.com/office/2011/relationships/people" Target="people.xml"/><Relationship Id="rId522266981a572c614" Type="http://schemas.openxmlformats.org/officeDocument/2006/relationships/hyperlink" Target="https://gd.eppo.int/taxon/CORBMI/" TargetMode="External"/><Relationship Id="rId157166981a572c67d" Type="http://schemas.openxmlformats.org/officeDocument/2006/relationships/hyperlink" Target="https://gd.eppo.int/taxon/CORBMI/categorization" TargetMode="External"/><Relationship Id="rId246266981a573a4df" Type="http://schemas.openxmlformats.org/officeDocument/2006/relationships/hyperlink" Target="https://gd.eppo.int/taxon/CORBMI/photos" TargetMode="External"/><Relationship Id="rId602166981a574954b" Type="http://schemas.openxmlformats.org/officeDocument/2006/relationships/hyperlink" Target="https://www.gspp.eu/" TargetMode="External"/><Relationship Id="rId656766981a5749792" Type="http://schemas.openxmlformats.org/officeDocument/2006/relationships/hyperlink" Target="https://www.gspp.eu/" TargetMode="External"/><Relationship Id="rId771466981a5749979" Type="http://schemas.openxmlformats.org/officeDocument/2006/relationships/hyperlink" Target="https://doi.org/10.1099/ijsem.0.005427" TargetMode="External"/><Relationship Id="rId800566981a574ab40" Type="http://schemas.openxmlformats.org/officeDocument/2006/relationships/hyperlink" Target="https://gd.eppo.int" TargetMode="External"/><Relationship Id="rId281366981a574ac81" Type="http://schemas.openxmlformats.org/officeDocument/2006/relationships/hyperlink" Target="https://doi.org/10.1111/j.1365-2338.1982.tb01950.x" TargetMode="External"/><Relationship Id="rId606866981a572cef2" Type="http://schemas.openxmlformats.org/officeDocument/2006/relationships/image" Target="media/imgrId606866981a572cef2.jpg"/><Relationship Id="rId552566981a573bfa1" Type="http://schemas.openxmlformats.org/officeDocument/2006/relationships/image" Target="media/imgrId552566981a573bfa1.jpg"/><Relationship Id="rId162666981a574ad1b" Type="http://schemas.openxmlformats.org/officeDocument/2006/relationships/image" Target="media/imgrId162666981a574ad1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