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Clavibacter michiganensis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Clavibacter michiganensis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Davis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michiganense</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Clavibacter michiganensis subsp. michiganensis</w:t>
            </w:r>
            <w:r>
              <w:rPr>
                <w:rFonts w:ascii="Calibri" w:hAnsi="Calibri" w:eastAsia="Calibri" w:cs="Calibri"/>
                <w:color w:val="000000"/>
                <w:position w:val="-3"/>
                <w:sz w:val="22"/>
                <w:szCs w:val="22"/>
              </w:rPr>
              <w:t xml:space="preserve"> (Smith) Davis et al.,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Dye &amp; Kemp,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 subsp.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w:t>
            </w:r>
            <w:r>
              <w:rPr>
                <w:rFonts w:ascii="Calibri" w:hAnsi="Calibri" w:eastAsia="Calibri" w:cs="Calibri"/>
                <w:color w:val="000000"/>
                <w:position w:val="-3"/>
                <w:sz w:val="22"/>
                <w:szCs w:val="22"/>
              </w:rPr>
              <w:t xml:space="preserve"> (Smith) Jensen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tomato, bird's eye of tomato fruits, vascular wilt of tomato</w:t>
            </w:r>
            <w:hyperlink r:id="rId85506aede0a350c1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1136aede0a350c5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CORBMI</w:t>
            </w:r>
          </w:p>
        </w:tc>
        <w:tc>
          <w:tcPr>
            <w:tcW w:w="2000" w:type="pct"/>
            <w:tcMar>
              <w:top w:w="15" w:type="dxa"/>
              <w:left w:w="15" w:type="dxa"/>
              <w:bottom w:w="15" w:type="dxa"/>
              <w:right w:w="15" w:type="dxa"/>
            </w:tcMar>
            <w:vAlign w:val="center"/>
          </w:tcPr>
          <w:p>
            <w:r>
              <w:rPr>
                <w:position w:val="-73"/>
              </w:rPr>
              <w:drawing>
                <wp:inline distT="0" distB="0" distL="0" distR="0">
                  <wp:extent cx="2160000" cy="993600"/>
                  <wp:docPr id="78639276" name="name80656aede0a35136d" descr="1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36.jpg"/>
                          <pic:cNvPicPr/>
                        </pic:nvPicPr>
                        <pic:blipFill>
                          <a:blip r:embed="rId91556aede0a35136c" cstate="print"/>
                          <a:stretch>
                            <a:fillRect/>
                          </a:stretch>
                        </pic:blipFill>
                        <pic:spPr>
                          <a:xfrm>
                            <a:off x="0" y="0"/>
                            <a:ext cx="2160000" cy="993600"/>
                          </a:xfrm>
                          <a:prstGeom prst="rect">
                            <a:avLst/>
                          </a:prstGeom>
                          <a:ln w="0">
                            <a:noFill/>
                          </a:ln>
                        </pic:spPr>
                      </pic:pic>
                    </a:graphicData>
                  </a:graphic>
                </wp:inline>
              </w:drawing>
            </w:r>
            <w:hyperlink r:id="rId51156aede0a3519b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the pathogen causing bacterial canker of tomato has been called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the 2010s, the division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into subspecies started to be reviewed, and subspecies were progressively moved to the species level, such as </w:t>
      </w:r>
      <w:r>
        <w:rPr>
          <w:rFonts w:ascii="Calibri" w:hAnsi="Calibri" w:eastAsia="Calibri" w:cs="Calibri"/>
          <w:i/>
          <w:iCs/>
          <w:color w:val="000000"/>
          <w:sz w:val="22"/>
          <w:szCs w:val="22"/>
        </w:rPr>
        <w:t xml:space="preserve">C. sepedonicus, C. capsici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nebraskensi</w:t>
      </w:r>
      <w:r>
        <w:rPr>
          <w:rFonts w:ascii="Calibri" w:hAnsi="Calibri" w:eastAsia="Calibri" w:cs="Calibri"/>
          <w:color w:val="000000"/>
          <w:sz w:val="22"/>
          <w:szCs w:val="22"/>
        </w:rPr>
        <w:t xml:space="preserv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Nouioui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More recently, based on genomic and phylogenetic analysis,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californiensis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chilensis</w:t>
      </w:r>
      <w:r>
        <w:rPr>
          <w:rFonts w:ascii="Calibri" w:hAnsi="Calibri" w:eastAsia="Calibri" w:cs="Calibri"/>
          <w:color w:val="000000"/>
          <w:sz w:val="22"/>
          <w:szCs w:val="22"/>
        </w:rPr>
        <w:t xml:space="preserve"> were also elevated to species rank, leaving only one subspecies,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(Arizala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a consequence, this remaining subspecies should now be called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major host of economic importance is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Several strains which had been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have been reclassified as </w:t>
      </w:r>
      <w:r>
        <w:rPr>
          <w:rFonts w:ascii="Calibri" w:hAnsi="Calibri" w:eastAsia="Calibri" w:cs="Calibri"/>
          <w:i/>
          <w:iCs/>
          <w:color w:val="000000"/>
          <w:sz w:val="22"/>
          <w:szCs w:val="22"/>
        </w:rPr>
        <w:t xml:space="preserve">Clavibacter capsici</w:t>
      </w:r>
      <w:r>
        <w:rPr>
          <w:rFonts w:ascii="Calibri" w:hAnsi="Calibri" w:eastAsia="Calibri" w:cs="Calibri"/>
          <w:color w:val="000000"/>
          <w:sz w:val="22"/>
          <w:szCs w:val="22"/>
        </w:rPr>
        <w:t xml:space="preserve"> (Oh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Additionally, several weeds from the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family have been shown to be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under natural or experimental conditions (e.g.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Laj, 1976; Latin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Lewis Ivey &amp; Miller, 2000;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Yim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and could be potential reservoirs of the pathogen. A number of solanaceous plants are susceptible after artificial inoculation (for details see Thyr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Yim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other plant species including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w:t>
      </w:r>
      <w:r>
        <w:rPr>
          <w:rFonts w:ascii="Calibri" w:hAnsi="Calibri" w:eastAsia="Calibri" w:cs="Calibri"/>
          <w:color w:val="000000"/>
          <w:sz w:val="22"/>
          <w:szCs w:val="22"/>
        </w:rPr>
        <w:t xml:space="preserve">spp.) and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Additional monocotyledonous host plants reported susceptible after artificial inoculation, e.g.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spp.; Stamova &amp; Sotirova, 1987) are considered doubtful pending confirmation.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pectinatum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tomato was first identified in tomato greenhouses in Michigan (USA) in 1909, and is now widespread in Africa, Asia, Europe, North America, Oceania and South America.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ince the mid-twentieth century, the intensification of the international tomato seed trade has caused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to spread within and between continents. It has also become widespread within a number of tomato producing countries of the EPPO region, but also in tomato producing countries outside the EPPO region.</w:t>
      </w:r>
    </w:p>
    <w:p>
      <w:r>
        <w:drawing>
          <wp:inline distT="0" distB="0" distL="0" distR="0">
            <wp:extent cx="6120000" cy="3067200"/>
            <wp:docPr id="43472914" name="name77816aede0a352962" descr="CORB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MI_distribution_map.jpg"/>
                    <pic:cNvPicPr/>
                  </pic:nvPicPr>
                  <pic:blipFill>
                    <a:blip r:embed="rId30356aede0a35295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Belgium, Bulgaria, Cyprus, Czechia, France (mainland), Germany, Greece (mainland, Kriti), Hungary, Israel, Italy (mainland, Sardegna, Sicilia), Jordan, Latvia, Morocco, Poland, Portugal (mainland), Romania, Russian Federation (Central Russia, Southern Russia, Western Siberia), Serbia, Slovenia, Spain (mainland, Islas Canárias),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Kenya, Madagascar, Morocco, South Africa,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Liaoning, Xinjiang, Zhejiang), India (Andhra Pradesh, Karnataka, Madhya Pradesh, Maharashtra, Tamil Nadu), Indonesia (Java, Sumatra), Iran, Islamic Republic of, Israel, Japan (Honshu), Jordan, Korea, Republic of,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Nova Scotia, Ontario, Québec, Saskatchewan), Mexico, United States of America (Alabama, Arkansas, California, Colorado, Connecticut, Florida, Georgia, Hawaii, Illinois, Indiana, Iowa, Kentucky, Maine, Maryland, Massachusetts, Michigan, Minnesota, Montana, Nebraska, New Hampshire, New Jersey, New York, North Carolina, North Dakota, Ohio, Oklahoma, Oregon, Pennsylvania, South Dakota, Utah, Vermont,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Dominica, Dominican Republic, Grenada, Guadeloupe,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(Pernambuco, Sao Paulo), Chile, Colombia, Ecuador,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Fiji, Guam, New Caledonia, New Zealand,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Contaminated/infected tomato seeds and plants for planting are the primary source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outbreaks. Contamination/infection levels as low as 1 in 10000 seeds can be enough to cause an epidemic. Plant debris containing the pathogen and alternative hosts can also play a role in disease outbreaks but are considered less important (De León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EPPO, 2016a; Fatmi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Moffett &amp; Wood, 1984;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From the primary source the bacterium spreads locally mainly by water (rain splash, irrigation) and/or during cultural practices (e.g. trimming, chemical sprays). The bacterium can enter the plant tissue through hydathodes as well as different types of wounds on shoots and roots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Young plants have been shown to be more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(Van Vaerenbergh &amp; Chauveau, 1985). However, under natural conditions, tomato plants are susceptible throughout their life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After infection, there is a latent period which can range from 7 days up to almost 3 months (EFSA, 2014; Gleason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cause systemic infections, generally when the infection occurs at an early stage of plant development, or only a local infection, when the plant is infected later during its development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colonizes and multiplies in the xylem vessels which allows it to spread rapidly through the plant. Inside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expresses a large set of virulence factors and enzymes leading, for example, to the degradation of the vascular tissue. Heavily infected vessels contain viscous granular deposits, tyloses and bacterial masses that block water transport which causes wilting of the plant. From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also enter the seed coat and endosperm leading to (new) seed infections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During later stages of infection, the stem can crack, leading to the exudation of droplets containing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allowing further spreading.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optimum temperature for growth of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populations is 24-28°C. The bacterium is highly tolerant to desiccation and can survive on seeds and dried plant material for years. In dried soil, the survival time is shorter, but can last up to 7 or 8 months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gives a detailed description of the disease symptoms (EPPO, 2016a). Symptoms can be divided in those that are triggered during a systemic infection and those that can appear during a local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systemic infections early symptoms include the appearance of dull green, oily areas that desiccate and later turn brown. With temperatures of 25-30°C and strong evapotranspiration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reversible wilting of leaves occurs which, within a few days, will become irreversible. Entire leaves, and eventually the whole plant, will wilt and desiccate. Contaminated/infected seeds usually give rise to apparently healthy seedlings, symptoms only appearing as plants approach maturity. Fruits may fail to develop and fall, or ripen unevenly. They also often show external marbling and internal bleaching of vascular and surrounding tissue. Less frequently, fruits may show characteristic ‘bird's eye’ spots. Initially slightly raised and white, these spots develop light-brown roughened centres surrounded by a flat whitish halo. On cutting stems, petioles and peduncles, particularly at their junctions, a creamy-white, yellow or reddish-brown discoloration of vascular tissue and pith and cavities within the pith will be evident. These discolorations are only visible at advanced stages of the disease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Local infections can cause a granular appearance of leaves, stems and calyces which is caused by the presence of raised or sunken white to pale orange blisters. Infections through hydathodes commonly lead to dark brown spots that are surrounded by a yellow to orange area at the edge of the leaf. At later stages the edges of these leaves can curl and wilt. Local infections can sometimes cause yellow streaks along the stem that might split open and form cankers (EPPO, 2016a).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is an aerobic, non-motile, Gram-positive and non-spore forming bacteria, with a curved rod shape (for details see Bradbury, 1986).</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the causal organism can be performed on e.g. yeast peptone glucose agar. On this medium the bacterium develops flat and semi-fluidal, round or irregular, yellow colonies in 3 to 4 days (EPPO, 2016a). White, pink, red and orange mutants may also occur (Hayward &amp; Waterston, 1964).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will generally allow detection of symptoms during the growing season. However, plantlets are usually symptomless when they are traded, and symptoms are not visible on seeds. Plants for planting should be inspected according to EPPO Standard PM 3/77 </w:t>
      </w:r>
      <w:r>
        <w:rPr>
          <w:rFonts w:ascii="Calibri" w:hAnsi="Calibri" w:eastAsia="Calibri" w:cs="Calibri"/>
          <w:i/>
          <w:iCs/>
          <w:color w:val="000000"/>
          <w:sz w:val="22"/>
          <w:szCs w:val="22"/>
        </w:rPr>
        <w:t xml:space="preserve">Vegetable plants for planting under protected conditions – inspection of places of production </w:t>
      </w:r>
      <w:r>
        <w:rPr>
          <w:rFonts w:ascii="Calibri" w:hAnsi="Calibri" w:eastAsia="Calibri" w:cs="Calibri"/>
          <w:color w:val="000000"/>
          <w:sz w:val="22"/>
          <w:szCs w:val="22"/>
        </w:rPr>
        <w:t xml:space="preserve">(EPPO, 2016b), whereas sampling of seeds for testing should follow EPPO PM 3/80 </w:t>
      </w:r>
      <w:r>
        <w:rPr>
          <w:rFonts w:ascii="Calibri" w:hAnsi="Calibri" w:eastAsia="Calibri" w:cs="Calibri"/>
          <w:i/>
          <w:iCs/>
          <w:color w:val="000000"/>
          <w:sz w:val="22"/>
          <w:szCs w:val="22"/>
        </w:rPr>
        <w:t xml:space="preserve">Consignment inspection of seed of Solanum lycopersicum</w:t>
      </w:r>
      <w:r>
        <w:rPr>
          <w:rFonts w:ascii="Calibri" w:hAnsi="Calibri" w:eastAsia="Calibri" w:cs="Calibri"/>
          <w:color w:val="000000"/>
          <w:sz w:val="22"/>
          <w:szCs w:val="22"/>
        </w:rPr>
        <w:t xml:space="preserve">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provides thorough instructions on sampling, extracting, plating and diagnosing both symptomatic and symptomless plants. These include plating on both semi-selective and non-selective media and detection by immunofluorescence (IF) as well as PCR. Additionally, two procedures for detection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 seeds are provided. The first procedure is based on plating seed extracts on different semi-selective media while the second procedure provides details on IF, PCR and selective enrichment protocols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in recent years, a number of often TaqMan based qPCR protocols and a loop-mediated isothermal amplification assay were developed that can be used to confirm the identity of isolated bacteria suspected of being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and/or to specifically detect the bacterium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infected seeds and plant material (Dobhal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Han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Larrea-Sarmiento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Ramachandran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Thapa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 is the main long-distance pathway for movement of the pathogen. Cultivation measures contribute to local dispersion of the disease. Overhead irrigation, chemical sprays, handling during transport and wound inflicting actions such as clipping and pruning all favour the spread of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The use of rotary mowers for clipping tomato plants has especially favoured disease dissemination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Additionally, remaining contaminated crop debris can allow re-infection of the seedlings in the following season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world’s most important vegetable crop with an annual production of over 180 million tonnes, representing a value of 93 billion USD (Food and agricultural organization, 2020). Since the first report of the disease in the USA in 1910,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spread throughout the world and causes serious losses to both glasshouse and field tomato crops, either by killing the young plants or disfiguring the fruits making them unmarketable as fresh produce. Disease incidence in affected fields can be as high as 100% leading to severe yield losses. However, a high reduction in crop damage has been observed following the considerable efforts into preventing the introduction and dissemination of the pathogen, which involves the integral testing of seeds and plantlets (see Control). Compared to the damage in tomato, economic losses in pepper are limited (Baysal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EFSA, 2014; Lamichhane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healthy seeds is the first and most important condition for controlling the disease. Seed lots should be laboratory tested for the presence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 tomato seeds are often acid extracted to disinfect the seed surface (EPPO, 2021). A substantial reduction of infection can be achieved by chemical treatment of the seed (Dhanvantari, 1989). Once the disease has appeared in a crop, strict hygiene measures such as eradication of infected plants and isolation of infected rows can minimize yield loss. Prophylactic measures (destruction of crop residues, disinfection of structures and equipment) are essential to prevent infection in protected crops. At the moment there are no commercial tomato varieties which are fully resistant to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tomato seed and plant lots from being infected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the ‘Good Seed and Plant Practices’ (GSPP) system was developed about a decade ago. GSPP provides standards for (hygiene) practices and participating companies are audited to ensure proper implementation (</w:t>
      </w:r>
      <w:hyperlink r:id="rId40536aede0a3530a9"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widely grown in glasshouses in the EPPO region, and the bacterium causes one of the most serious bacterial diseases of glasshouse tomatoes. For tomato field crops, the climatic conditions in southern Europe are favourable for disease development (EFSA, 2014). Disease outbreaks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are sporadic but the impact of these outbreaks can be high. Since the pathogen is seed borne and contaminated/infected seed usually gives rise to apparently healthy seedlings, this facilitates introduction, establishment and spread. This combined with the fact that there are no curative treatments and no fully resistant commercial varieties available, make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major threat for tomato cultivation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seeds are the main pathway for entry, appropriate measures could consist of treating the seeds (i.e. by means of an appropriate acid extraction method or an equivalent method) and testing seed lots according to EPPO Standards PM 7/42 (EPPO, 2021; EPPO, 2016a). Alternatively, seeds could be produced in a pest free area or in a pest free production site.</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the EU Quality pest project recommended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for regulation as a RNQP, for propagation material (including seeds) of tomato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 alternative measure was recommended, involving the absence of symptoms of disease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observed in inspections, at appropriate times, during the complete cycle of vegetation of the plants at the site of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good hygiene practices are important to prevent large disease outbreaks. The guidelines provided by GSPP describe measures that will help to limit the risks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infections. These guidelines focus on managing risk factors, continuous monitoring and seed testing (</w:t>
      </w:r>
      <w:hyperlink r:id="rId72726aede0a3531a8"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Arizala D, Dobhal S, Alvarez AM &amp; Arif M (2022) Elevation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californiensis</w:t>
      </w:r>
      <w:r>
        <w:rPr>
          <w:rFonts w:ascii="Calibri" w:hAnsi="Calibri" w:eastAsia="Calibri" w:cs="Calibri"/>
          <w:color w:val="000000"/>
          <w:sz w:val="22"/>
          <w:szCs w:val="22"/>
        </w:rPr>
        <w:t xml:space="preserve"> to species level as </w:t>
      </w:r>
      <w:r>
        <w:rPr>
          <w:rFonts w:ascii="Calibri" w:hAnsi="Calibri" w:eastAsia="Calibri" w:cs="Calibri"/>
          <w:i/>
          <w:iCs/>
          <w:color w:val="000000"/>
          <w:sz w:val="22"/>
          <w:szCs w:val="22"/>
        </w:rPr>
        <w:t xml:space="preserve">Clavibacter californiensis</w:t>
      </w:r>
      <w:r>
        <w:rPr>
          <w:rFonts w:ascii="Calibri" w:hAnsi="Calibri" w:eastAsia="Calibri" w:cs="Calibri"/>
          <w:color w:val="000000"/>
          <w:sz w:val="22"/>
          <w:szCs w:val="22"/>
        </w:rPr>
        <w:t xml:space="preserve"> sp. nov., merging and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chilensis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Clavibacter phaseoli</w:t>
      </w:r>
      <w:r>
        <w:rPr>
          <w:rFonts w:ascii="Calibri" w:hAnsi="Calibri" w:eastAsia="Calibri" w:cs="Calibri"/>
          <w:color w:val="000000"/>
          <w:sz w:val="22"/>
          <w:szCs w:val="22"/>
        </w:rPr>
        <w:t xml:space="preserve"> sp. nov. based on complete genome in silico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w:t>
      </w:r>
      <w:hyperlink r:id="rId54376aede0a353284" w:history="1">
        <w:r>
          <w:rPr>
            <w:rFonts w:ascii="Calibri" w:hAnsi="Calibri" w:eastAsia="Calibri" w:cs="Calibri"/>
            <w:color w:val="0000CC"/>
            <w:sz w:val="22"/>
            <w:szCs w:val="22"/>
            <w:u w:val="single"/>
          </w:rPr>
          <w:t xml:space="preserve">https://doi.org/10.1099/ijsem.0.005427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Baysal Ö, Mercati F, İkten H, Yıldız RÇ, Carimi F, Aysan Y &amp; Teixeira Da Silva JA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Tracking strains using their genetic differentiations by ISSR markers in Southern Turkey.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113-119.</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Carlton WM, Braun EJ &amp; Gleason ML (1998) Ingress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into tomato leaves through hydathodes.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525-529.</w:t>
      </w:r>
    </w:p>
    <w:p>
      <w:pPr>
        <w:widowControl w:val="on"/>
        <w:pBdr/>
        <w:spacing w:before="220" w:after="220" w:line="240" w:lineRule="auto"/>
        <w:ind w:left="0" w:right="0"/>
        <w:jc w:val="left"/>
      </w:pPr>
      <w:r>
        <w:rPr>
          <w:rFonts w:ascii="Calibri" w:hAnsi="Calibri" w:eastAsia="Calibri" w:cs="Calibri"/>
          <w:color w:val="000000"/>
          <w:sz w:val="22"/>
          <w:szCs w:val="22"/>
        </w:rPr>
        <w:t xml:space="preserve">De León L, Siverio F, López MM &amp; Rodríguez 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 seedborne tomato pathogen: healthy seeds are still the goal.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1328-1338.</w:t>
      </w:r>
    </w:p>
    <w:p>
      <w:pPr>
        <w:widowControl w:val="on"/>
        <w:pBdr/>
        <w:spacing w:before="220" w:after="220" w:line="240" w:lineRule="auto"/>
        <w:ind w:left="0" w:right="0"/>
        <w:jc w:val="left"/>
      </w:pPr>
      <w:r>
        <w:rPr>
          <w:rFonts w:ascii="Calibri" w:hAnsi="Calibri" w:eastAsia="Calibri" w:cs="Calibri"/>
          <w:color w:val="000000"/>
          <w:sz w:val="22"/>
          <w:szCs w:val="22"/>
        </w:rPr>
        <w:t xml:space="preserve">Dhanvantari BN (1989) Effect of seed extraction methods and seed treatments on control of tomato bacterial canker.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400-408.</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Larrea‐Sarmiento A, Alvarez AM &amp; Arif M (2019) Development of a loop-mediated isothermal amplification assay for specific detection of all known subspecies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388-401.</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(Smith) Davis et al.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3721.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Standards PM 7/42 (3)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202-225.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Phytosanitary procedures. EPPO Standard PM 3/77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w:t>
      </w:r>
    </w:p>
    <w:p>
      <w:pPr>
        <w:widowControl w:val="on"/>
        <w:pBdr/>
        <w:spacing w:before="220" w:after="220" w:line="240" w:lineRule="auto"/>
        <w:ind w:left="0" w:right="0"/>
        <w:jc w:val="left"/>
      </w:pPr>
      <w:r>
        <w:rPr>
          <w:rFonts w:ascii="Calibri" w:hAnsi="Calibri" w:eastAsia="Calibri" w:cs="Calibri"/>
          <w:color w:val="000000"/>
          <w:sz w:val="22"/>
          <w:szCs w:val="22"/>
        </w:rPr>
        <w:t xml:space="preserve">Fatmi M, Schaad NW &amp; Bolkan HA (1991) Seed treatments for eradicating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from naturally infected tomato seeds.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383-385.</w:t>
      </w:r>
    </w:p>
    <w:p>
      <w:pPr>
        <w:widowControl w:val="on"/>
        <w:pBdr/>
        <w:spacing w:before="220" w:after="220" w:line="240" w:lineRule="auto"/>
        <w:ind w:left="0" w:right="0"/>
        <w:jc w:val="left"/>
      </w:pPr>
      <w:r>
        <w:rPr>
          <w:rFonts w:ascii="Calibri" w:hAnsi="Calibri" w:eastAsia="Calibri" w:cs="Calibri"/>
          <w:color w:val="000000"/>
          <w:sz w:val="22"/>
          <w:szCs w:val="22"/>
        </w:rPr>
        <w:t xml:space="preserve">Gleason ML, Gitaitis RD &amp; Ricker MD (1993) Recent progress in understanding and controlling bacterial canker of tomato in eastern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1069-1076.</w:t>
      </w:r>
    </w:p>
    <w:p>
      <w:pPr>
        <w:widowControl w:val="on"/>
        <w:pBdr/>
        <w:spacing w:before="220" w:after="220" w:line="240" w:lineRule="auto"/>
        <w:ind w:left="0" w:right="0"/>
        <w:jc w:val="left"/>
      </w:pPr>
      <w:r>
        <w:rPr>
          <w:rFonts w:ascii="Calibri" w:hAnsi="Calibri" w:eastAsia="Calibri" w:cs="Calibri"/>
          <w:color w:val="000000"/>
          <w:sz w:val="22"/>
          <w:szCs w:val="22"/>
        </w:rPr>
        <w:t xml:space="preserve">Han S, Jiang N, Lv Q, Kan Y, Hao J, Li J &amp; Luo L (2018)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viable but nonculturable state from tomato seed using improved qPCR.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e0196525.</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(1964)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IMI Descriptions of Fungi and Bacteria.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Huang R &amp; Tu JC (2001) Effects of nutrient solution pH on the survival and transmission of Clavibacter michiganensis ssp. michiganensis in hydroponically grown tomatoes.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Laj M (1976) Bacterial canker of bell pepper caused by </w:t>
      </w:r>
      <w:r>
        <w:rPr>
          <w:rFonts w:ascii="Calibri" w:hAnsi="Calibri" w:eastAsia="Calibri" w:cs="Calibri"/>
          <w:i/>
          <w:iCs/>
          <w:color w:val="000000"/>
          <w:sz w:val="22"/>
          <w:szCs w:val="22"/>
        </w:rPr>
        <w:t xml:space="preserve">Corynebacterium michiganense.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339-342.</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Balestra GM &amp; Varvaro L (2011) Severe outbreak of bacterial canker caused by Clavibacter michiganensis subsp. michiganensis on tomato in central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221-221.</w:t>
      </w:r>
    </w:p>
    <w:p>
      <w:pPr>
        <w:widowControl w:val="on"/>
        <w:pBdr/>
        <w:spacing w:before="220" w:after="220" w:line="240" w:lineRule="auto"/>
        <w:ind w:left="0" w:right="0"/>
        <w:jc w:val="left"/>
      </w:pPr>
      <w:r>
        <w:rPr>
          <w:rFonts w:ascii="Calibri" w:hAnsi="Calibri" w:eastAsia="Calibri" w:cs="Calibri"/>
          <w:color w:val="000000"/>
          <w:sz w:val="22"/>
          <w:szCs w:val="22"/>
        </w:rPr>
        <w:t xml:space="preserve">Larrea-Sarmiento A, Alvarez AM, Stack JP &amp; Arif M (2019) Synergetic effect of non-complementary 5’ AT-rich sequences on the development of a multiplex TaqMan real-time PCR for specific and robust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nebraskensis.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e0218530.</w:t>
      </w:r>
    </w:p>
    <w:p>
      <w:pPr>
        <w:widowControl w:val="on"/>
        <w:pBdr/>
        <w:spacing w:before="220" w:after="220" w:line="240" w:lineRule="auto"/>
        <w:ind w:left="0" w:right="0"/>
        <w:jc w:val="left"/>
      </w:pPr>
      <w:r>
        <w:rPr>
          <w:rFonts w:ascii="Calibri" w:hAnsi="Calibri" w:eastAsia="Calibri" w:cs="Calibri"/>
          <w:color w:val="000000"/>
          <w:sz w:val="22"/>
          <w:szCs w:val="22"/>
        </w:rPr>
        <w:t xml:space="preserve">Latin R, Tikhonova I &amp; Rane K (1995) First report of bacterial canker of pepper in Indiana.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860.</w:t>
      </w:r>
    </w:p>
    <w:p>
      <w:pPr>
        <w:widowControl w:val="on"/>
        <w:pBdr/>
        <w:spacing w:before="220" w:after="220" w:line="240" w:lineRule="auto"/>
        <w:ind w:left="0" w:right="0"/>
        <w:jc w:val="left"/>
      </w:pPr>
      <w:r>
        <w:rPr>
          <w:rFonts w:ascii="Calibri" w:hAnsi="Calibri" w:eastAsia="Calibri" w:cs="Calibri"/>
          <w:color w:val="000000"/>
          <w:sz w:val="22"/>
          <w:szCs w:val="22"/>
        </w:rPr>
        <w:t xml:space="preserve">Lewis Ivey ML &amp; Miller SA (2000) First report of bacterial canker of pepper in Ohio.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810-810.</w:t>
      </w:r>
    </w:p>
    <w:p>
      <w:pPr>
        <w:widowControl w:val="on"/>
        <w:pBdr/>
        <w:spacing w:before="220" w:after="220" w:line="240" w:lineRule="auto"/>
        <w:ind w:left="0" w:right="0"/>
        <w:jc w:val="left"/>
      </w:pPr>
      <w:r>
        <w:rPr>
          <w:rFonts w:ascii="Calibri" w:hAnsi="Calibri" w:eastAsia="Calibri" w:cs="Calibri"/>
          <w:color w:val="000000"/>
          <w:sz w:val="22"/>
          <w:szCs w:val="22"/>
        </w:rPr>
        <w:t xml:space="preserve">Li X, Tambong J, Yuan K, Chen W, Xu H, Lévesque CA &amp; De Boer SH (2018)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subspecies on the basis of whole-genome and multi-locus sequence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234-240.</w:t>
      </w:r>
    </w:p>
    <w:p>
      <w:pPr>
        <w:widowControl w:val="on"/>
        <w:pBdr/>
        <w:spacing w:before="220" w:after="220" w:line="240" w:lineRule="auto"/>
        <w:ind w:left="0" w:right="0"/>
        <w:jc w:val="left"/>
      </w:pPr>
      <w:r>
        <w:rPr>
          <w:rFonts w:ascii="Calibri" w:hAnsi="Calibri" w:eastAsia="Calibri" w:cs="Calibri"/>
          <w:color w:val="000000"/>
          <w:sz w:val="22"/>
          <w:szCs w:val="22"/>
        </w:rPr>
        <w:t xml:space="preserve">Moffett ML &amp; Wood BA (1984) Survival of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michiganense</w:t>
      </w:r>
      <w:r>
        <w:rPr>
          <w:rFonts w:ascii="Calibri" w:hAnsi="Calibri" w:eastAsia="Calibri" w:cs="Calibri"/>
          <w:color w:val="000000"/>
          <w:sz w:val="22"/>
          <w:szCs w:val="22"/>
        </w:rPr>
        <w:t xml:space="preserve"> within host debris in soil.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Nandi M, Macdonald J, Liu P, Weselowski B &amp; Yuan Z-C (2018)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bacterial canker of tomato, molecular interactions and disease management.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2036-2050.</w:t>
      </w:r>
    </w:p>
    <w:p>
      <w:pPr>
        <w:widowControl w:val="on"/>
        <w:pBdr/>
        <w:spacing w:before="220" w:after="220" w:line="240" w:lineRule="auto"/>
        <w:ind w:left="0" w:right="0"/>
        <w:jc w:val="left"/>
      </w:pPr>
      <w:r>
        <w:rPr>
          <w:rFonts w:ascii="Calibri" w:hAnsi="Calibri" w:eastAsia="Calibri" w:cs="Calibri"/>
          <w:color w:val="000000"/>
          <w:sz w:val="22"/>
          <w:szCs w:val="22"/>
        </w:rPr>
        <w:t xml:space="preserve">Nouioui I, Carro L, García-López M, Meier-Kolthoff JP, Woyke T, Kyrpides NC, Pukall R, Klenk H-P, Goodfellow M &amp; Göker M (2018) Genome-based taxonomic classification of the phylum Actinobacteria.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Oh EJ, Bae C, Lee HB, Hwang IS, Lee HI, Yea MC, Yim KO, Lee S, Heu S, Cha JS, Oh CS (2016)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capsici</w:t>
      </w:r>
      <w:r>
        <w:rPr>
          <w:rFonts w:ascii="Calibri" w:hAnsi="Calibri" w:eastAsia="Calibri" w:cs="Calibri"/>
          <w:color w:val="000000"/>
          <w:sz w:val="22"/>
          <w:szCs w:val="22"/>
        </w:rPr>
        <w:t xml:space="preserve"> subsp. nov., causing bacterial canker disease in pepper.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(10), 4065-4070.</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Rahimi T, Taghavi SM, Ansari M, Zarei S, Portier P, Briand M &amp; Jacques MA (2020) Comparative genomics and phylogenetic analyses suggest several novel species within the genus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including nonpathogenic tomato-associated strains.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e02873-19.</w:t>
      </w:r>
    </w:p>
    <w:p>
      <w:pPr>
        <w:widowControl w:val="on"/>
        <w:pBdr/>
        <w:spacing w:before="220" w:after="220" w:line="240" w:lineRule="auto"/>
        <w:ind w:left="0" w:right="0"/>
        <w:jc w:val="left"/>
      </w:pPr>
      <w:r>
        <w:rPr>
          <w:rFonts w:ascii="Calibri" w:hAnsi="Calibri" w:eastAsia="Calibri" w:cs="Calibri"/>
          <w:color w:val="000000"/>
          <w:sz w:val="22"/>
          <w:szCs w:val="22"/>
        </w:rPr>
        <w:t xml:space="preserve">Ramachandran S, Dobhal S, Alvarez AM &amp; Arif M (2021) Improved multiplex TaqMan qPCR assay with universal internal control offers reliable and accurate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1405-1416.</w:t>
      </w:r>
    </w:p>
    <w:p>
      <w:pPr>
        <w:widowControl w:val="on"/>
        <w:pBdr/>
        <w:spacing w:before="220" w:after="220" w:line="240" w:lineRule="auto"/>
        <w:ind w:left="0" w:right="0"/>
        <w:jc w:val="left"/>
      </w:pPr>
      <w:r>
        <w:rPr>
          <w:rFonts w:ascii="Calibri" w:hAnsi="Calibri" w:eastAsia="Calibri" w:cs="Calibri"/>
          <w:color w:val="000000"/>
          <w:sz w:val="22"/>
          <w:szCs w:val="22"/>
        </w:rPr>
        <w:t xml:space="preserve">Sharabani G, Shtienberg D, Borenstein M, Shulhani R, Lofthouse M, Sofer M, Chalupowicz L, Barel V &amp; Manulis-Sasson S (2013) Effects of plant age on disease development and virulence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michiganensis</w:t>
      </w:r>
      <w:r>
        <w:rPr>
          <w:rFonts w:ascii="Calibri" w:hAnsi="Calibri" w:eastAsia="Calibri" w:cs="Calibri"/>
          <w:color w:val="000000"/>
          <w:sz w:val="22"/>
          <w:szCs w:val="22"/>
        </w:rPr>
        <w:t xml:space="preserve"> on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1114-1122.</w:t>
      </w:r>
    </w:p>
    <w:p>
      <w:pPr>
        <w:widowControl w:val="on"/>
        <w:pBdr/>
        <w:spacing w:before="220" w:after="220" w:line="240" w:lineRule="auto"/>
        <w:ind w:left="0" w:right="0"/>
        <w:jc w:val="left"/>
      </w:pPr>
      <w:r>
        <w:rPr>
          <w:rFonts w:ascii="Calibri" w:hAnsi="Calibri" w:eastAsia="Calibri" w:cs="Calibri"/>
          <w:color w:val="000000"/>
          <w:sz w:val="22"/>
          <w:szCs w:val="22"/>
        </w:rPr>
        <w:t xml:space="preserve">Stamova L &amp; Sotirova V (1987) Reaction of different crops to artificial inoculation with </w:t>
      </w:r>
      <w:r>
        <w:rPr>
          <w:rFonts w:ascii="Calibri" w:hAnsi="Calibri" w:eastAsia="Calibri" w:cs="Calibri"/>
          <w:i/>
          <w:iCs/>
          <w:color w:val="000000"/>
          <w:sz w:val="22"/>
          <w:szCs w:val="22"/>
        </w:rPr>
        <w:t xml:space="preserve">Corynebacterium michiganense </w:t>
      </w:r>
      <w:r>
        <w:rPr>
          <w:rFonts w:ascii="Calibri" w:hAnsi="Calibri" w:eastAsia="Calibri" w:cs="Calibri"/>
          <w:color w:val="000000"/>
          <w:sz w:val="22"/>
          <w:szCs w:val="22"/>
        </w:rPr>
        <w:t xml:space="preserve">(E.F. Sm.) H.L. Jensen. </w:t>
      </w:r>
      <w:r>
        <w:rPr>
          <w:rFonts w:ascii="Calibri" w:hAnsi="Calibri" w:eastAsia="Calibri" w:cs="Calibri"/>
          <w:i/>
          <w:iCs/>
          <w:color w:val="000000"/>
          <w:sz w:val="22"/>
          <w:szCs w:val="22"/>
        </w:rPr>
        <w:t xml:space="preserve">Archiv fur Phytopathologie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211-216.</w:t>
      </w:r>
    </w:p>
    <w:p>
      <w:pPr>
        <w:widowControl w:val="on"/>
        <w:pBdr/>
        <w:spacing w:before="220" w:after="220" w:line="240" w:lineRule="auto"/>
        <w:ind w:left="0" w:right="0"/>
        <w:jc w:val="left"/>
      </w:pPr>
      <w:r>
        <w:rPr>
          <w:rFonts w:ascii="Calibri" w:hAnsi="Calibri" w:eastAsia="Calibri" w:cs="Calibri"/>
          <w:color w:val="000000"/>
          <w:sz w:val="22"/>
          <w:szCs w:val="22"/>
        </w:rPr>
        <w:t xml:space="preserve">Thapa SP, O’Leary M, Jacques M-A, Gilbertson RL &amp; Coaker G (2020) Comparative genomics to develop a specific multiplex PCR assay for detection of</w:t>
      </w:r>
      <w:r>
        <w:rPr>
          <w:rFonts w:ascii="Calibri" w:hAnsi="Calibri" w:eastAsia="Calibri" w:cs="Calibri"/>
          <w:i/>
          <w:iCs/>
          <w:color w:val="000000"/>
          <w:sz w:val="22"/>
          <w:szCs w:val="22"/>
        </w:rPr>
        <w:t xml:space="preserve"> Clavibacter michiganensis.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556-566.</w:t>
      </w:r>
    </w:p>
    <w:p>
      <w:pPr>
        <w:widowControl w:val="on"/>
        <w:pBdr/>
        <w:spacing w:before="220" w:after="220" w:line="240" w:lineRule="auto"/>
        <w:ind w:left="0" w:right="0"/>
        <w:jc w:val="left"/>
      </w:pPr>
      <w:r>
        <w:rPr>
          <w:rFonts w:ascii="Calibri" w:hAnsi="Calibri" w:eastAsia="Calibri" w:cs="Calibri"/>
          <w:color w:val="000000"/>
          <w:sz w:val="22"/>
          <w:szCs w:val="22"/>
        </w:rPr>
        <w:t xml:space="preserve">Thyr BD, Samuel MJ &amp; Brown PG (1975) New solanaceous host records for </w:t>
      </w:r>
      <w:r>
        <w:rPr>
          <w:rFonts w:ascii="Calibri" w:hAnsi="Calibri" w:eastAsia="Calibri" w:cs="Calibri"/>
          <w:i/>
          <w:iCs/>
          <w:color w:val="000000"/>
          <w:sz w:val="22"/>
          <w:szCs w:val="22"/>
        </w:rPr>
        <w:t xml:space="preserve">Corynebacterium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595-598.</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&amp; Chauveau JF (1985) Host plant inoculations for the detection of (latent)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(E. F. Smith) Jensen.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973-995.</w:t>
      </w:r>
    </w:p>
    <w:p>
      <w:pPr>
        <w:widowControl w:val="on"/>
        <w:pBdr/>
        <w:spacing w:before="220" w:after="220" w:line="240" w:lineRule="auto"/>
        <w:ind w:left="0" w:right="0"/>
        <w:jc w:val="left"/>
      </w:pPr>
      <w:r>
        <w:rPr>
          <w:rFonts w:ascii="Calibri" w:hAnsi="Calibri" w:eastAsia="Calibri" w:cs="Calibri"/>
          <w:color w:val="000000"/>
          <w:sz w:val="22"/>
          <w:szCs w:val="22"/>
        </w:rPr>
        <w:t xml:space="preserve">Yim K-O, Lee H-I, Kim J-H, Lee S-D, Cho J-H &amp; Cha J-S (2012) Characterization of phenotypic variants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559-575.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Michiel J.C. Pel and Maria Bergsma-Vlami (NVWA, Netherlands Food and Consumer Product Safety Authority).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EPPO datasheets on pests recommended for regulation. Available online. </w:t>
      </w:r>
      <w:hyperlink r:id="rId25776aede0a353bb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Corynebacterium michiganense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13-18. </w:t>
      </w:r>
      <w:hyperlink r:id="rId39326aede0a353c60" w:history="1">
        <w:r>
          <w:rPr>
            <w:rFonts w:ascii="Calibri" w:hAnsi="Calibri" w:eastAsia="Calibri" w:cs="Calibri"/>
            <w:color w:val="0000CC"/>
            <w:sz w:val="22"/>
            <w:szCs w:val="22"/>
            <w:u w:val="single"/>
          </w:rPr>
          <w:t xml:space="preserve">https://doi.org/10.1111/j.1365-2338.1982.tb01950.x</w:t>
        </w:r>
      </w:hyperlink>
    </w:p>
    <w:p>
      <w:r>
        <w:drawing>
          <wp:inline distT="0" distB="0" distL="0" distR="0">
            <wp:extent cx="1800000" cy="604800"/>
            <wp:docPr id="83367337" name="name72496aede0a353cb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096aede0a353cb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94541">
    <w:multiLevelType w:val="hybridMultilevel"/>
    <w:lvl w:ilvl="0" w:tplc="12721424">
      <w:start w:val="1"/>
      <w:numFmt w:val="decimal"/>
      <w:lvlText w:val="%1."/>
      <w:lvlJc w:val="left"/>
      <w:pPr>
        <w:ind w:left="720" w:hanging="360"/>
      </w:pPr>
    </w:lvl>
    <w:lvl w:ilvl="1" w:tplc="12721424" w:tentative="1">
      <w:start w:val="1"/>
      <w:numFmt w:val="lowerLetter"/>
      <w:lvlText w:val="%2."/>
      <w:lvlJc w:val="left"/>
      <w:pPr>
        <w:ind w:left="1440" w:hanging="360"/>
      </w:pPr>
    </w:lvl>
    <w:lvl w:ilvl="2" w:tplc="12721424" w:tentative="1">
      <w:start w:val="1"/>
      <w:numFmt w:val="lowerRoman"/>
      <w:lvlText w:val="%3."/>
      <w:lvlJc w:val="right"/>
      <w:pPr>
        <w:ind w:left="2160" w:hanging="180"/>
      </w:pPr>
    </w:lvl>
    <w:lvl w:ilvl="3" w:tplc="12721424" w:tentative="1">
      <w:start w:val="1"/>
      <w:numFmt w:val="decimal"/>
      <w:lvlText w:val="%4."/>
      <w:lvlJc w:val="left"/>
      <w:pPr>
        <w:ind w:left="2880" w:hanging="360"/>
      </w:pPr>
    </w:lvl>
    <w:lvl w:ilvl="4" w:tplc="12721424" w:tentative="1">
      <w:start w:val="1"/>
      <w:numFmt w:val="lowerLetter"/>
      <w:lvlText w:val="%5."/>
      <w:lvlJc w:val="left"/>
      <w:pPr>
        <w:ind w:left="3600" w:hanging="360"/>
      </w:pPr>
    </w:lvl>
    <w:lvl w:ilvl="5" w:tplc="12721424" w:tentative="1">
      <w:start w:val="1"/>
      <w:numFmt w:val="lowerRoman"/>
      <w:lvlText w:val="%6."/>
      <w:lvlJc w:val="right"/>
      <w:pPr>
        <w:ind w:left="4320" w:hanging="180"/>
      </w:pPr>
    </w:lvl>
    <w:lvl w:ilvl="6" w:tplc="12721424" w:tentative="1">
      <w:start w:val="1"/>
      <w:numFmt w:val="decimal"/>
      <w:lvlText w:val="%7."/>
      <w:lvlJc w:val="left"/>
      <w:pPr>
        <w:ind w:left="5040" w:hanging="360"/>
      </w:pPr>
    </w:lvl>
    <w:lvl w:ilvl="7" w:tplc="12721424" w:tentative="1">
      <w:start w:val="1"/>
      <w:numFmt w:val="lowerLetter"/>
      <w:lvlText w:val="%8."/>
      <w:lvlJc w:val="left"/>
      <w:pPr>
        <w:ind w:left="5760" w:hanging="360"/>
      </w:pPr>
    </w:lvl>
    <w:lvl w:ilvl="8" w:tplc="12721424" w:tentative="1">
      <w:start w:val="1"/>
      <w:numFmt w:val="lowerRoman"/>
      <w:lvlText w:val="%9."/>
      <w:lvlJc w:val="right"/>
      <w:pPr>
        <w:ind w:left="6480" w:hanging="180"/>
      </w:pPr>
    </w:lvl>
  </w:abstractNum>
  <w:abstractNum w:abstractNumId="98294540">
    <w:multiLevelType w:val="hybridMultilevel"/>
    <w:lvl w:ilvl="0" w:tplc="60780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94540">
    <w:abstractNumId w:val="98294540"/>
  </w:num>
  <w:num w:numId="98294541">
    <w:abstractNumId w:val="982945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5320245" Type="http://schemas.microsoft.com/office/2011/relationships/commentsExtended" Target="commentsExtended.xml"/><Relationship Id="rId804983339" Type="http://schemas.microsoft.com/office/2011/relationships/people" Target="people.xml"/><Relationship Id="rId85506aede0a350c14" Type="http://schemas.openxmlformats.org/officeDocument/2006/relationships/hyperlink" Target="https://gd.eppo.int/taxon/CORBMI/" TargetMode="External"/><Relationship Id="rId11136aede0a350c50" Type="http://schemas.openxmlformats.org/officeDocument/2006/relationships/hyperlink" Target="https://gd.eppo.int/taxon/CORBMI/categorization" TargetMode="External"/><Relationship Id="rId51156aede0a3519bc" Type="http://schemas.openxmlformats.org/officeDocument/2006/relationships/hyperlink" Target="https://gd.eppo.int/taxon/CORBMI/photos" TargetMode="External"/><Relationship Id="rId40536aede0a3530a9" Type="http://schemas.openxmlformats.org/officeDocument/2006/relationships/hyperlink" Target="https://www.gspp.eu/" TargetMode="External"/><Relationship Id="rId72726aede0a3531a8" Type="http://schemas.openxmlformats.org/officeDocument/2006/relationships/hyperlink" Target="https://www.gspp.eu/" TargetMode="External"/><Relationship Id="rId54376aede0a353284" Type="http://schemas.openxmlformats.org/officeDocument/2006/relationships/hyperlink" Target="https://doi.org/10.1099/ijsem.0.005427" TargetMode="External"/><Relationship Id="rId25776aede0a353bb3" Type="http://schemas.openxmlformats.org/officeDocument/2006/relationships/hyperlink" Target="https://gd.eppo.int" TargetMode="External"/><Relationship Id="rId39326aede0a353c60" Type="http://schemas.openxmlformats.org/officeDocument/2006/relationships/hyperlink" Target="https://doi.org/10.1111/j.1365-2338.1982.tb01950.x" TargetMode="External"/><Relationship Id="rId91556aede0a35136c" Type="http://schemas.openxmlformats.org/officeDocument/2006/relationships/image" Target="media/imgrId91556aede0a35136c.jpg"/><Relationship Id="rId30356aede0a35295f" Type="http://schemas.openxmlformats.org/officeDocument/2006/relationships/image" Target="media/imgrId30356aede0a35295f.jpg"/><Relationship Id="rId94096aede0a353cb4" Type="http://schemas.openxmlformats.org/officeDocument/2006/relationships/image" Target="media/imgrId94096aede0a353cb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