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Curtobacterium flaccumfaciens pv. flaccumfaciens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2021-09-16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Curtobacterium flaccumfaciens pv. flaccumfaciens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(Hedges) Collins &amp; Jones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Actinobacteria: Micrococcales: Microbacteriaceae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Bacterium flaccumfaciens</w:t>
            </w:r>
            <w:r>
              <w:rPr>
                <w:rFonts w:ascii="Calibri" w:hAnsi="Calibri" w:eastAsia="Calibri" w:cs="Calibri"/>
                <w:color w:val="000000"/>
                <w:position w:val="-3"/>
                <w:sz w:val="22"/>
                <w:szCs w:val="22"/>
              </w:rPr>
              <w:t xml:space="preserve"> Hedges, </w:t>
            </w:r>
            <w:r>
              <w:rPr>
                <w:rFonts w:ascii="Calibri" w:hAnsi="Calibri" w:eastAsia="Calibri" w:cs="Calibri"/>
                <w:i/>
                <w:iCs/>
                <w:color w:val="000000"/>
                <w:position w:val="-3"/>
                <w:sz w:val="22"/>
                <w:szCs w:val="22"/>
              </w:rPr>
              <w:t xml:space="preserve">Corynebacterium flaccumfaciens pv. flaccumfaciens</w:t>
            </w:r>
            <w:r>
              <w:rPr>
                <w:rFonts w:ascii="Calibri" w:hAnsi="Calibri" w:eastAsia="Calibri" w:cs="Calibri"/>
                <w:color w:val="000000"/>
                <w:position w:val="-3"/>
                <w:sz w:val="22"/>
                <w:szCs w:val="22"/>
              </w:rPr>
              <w:t xml:space="preserve"> (Hedges) Dowson, </w:t>
            </w:r>
            <w:r>
              <w:rPr>
                <w:rFonts w:ascii="Calibri" w:hAnsi="Calibri" w:eastAsia="Calibri" w:cs="Calibri"/>
                <w:i/>
                <w:iCs/>
                <w:color w:val="000000"/>
                <w:position w:val="-3"/>
                <w:sz w:val="22"/>
                <w:szCs w:val="22"/>
              </w:rPr>
              <w:t xml:space="preserve">Corynebacterium flaccumfaciens</w:t>
            </w:r>
            <w:r>
              <w:rPr>
                <w:rFonts w:ascii="Calibri" w:hAnsi="Calibri" w:eastAsia="Calibri" w:cs="Calibri"/>
                <w:color w:val="000000"/>
                <w:position w:val="-3"/>
                <w:sz w:val="22"/>
                <w:szCs w:val="22"/>
              </w:rPr>
              <w:t xml:space="preserve"> (Hedges) Dowson, </w:t>
            </w:r>
            <w:r>
              <w:rPr>
                <w:rFonts w:ascii="Calibri" w:hAnsi="Calibri" w:eastAsia="Calibri" w:cs="Calibri"/>
                <w:i/>
                <w:iCs/>
                <w:color w:val="000000"/>
                <w:position w:val="-3"/>
                <w:sz w:val="22"/>
                <w:szCs w:val="22"/>
              </w:rPr>
              <w:t xml:space="preserve">Phytomonas flaccumfaciens</w:t>
            </w:r>
            <w:r>
              <w:rPr>
                <w:rFonts w:ascii="Calibri" w:hAnsi="Calibri" w:eastAsia="Calibri" w:cs="Calibri"/>
                <w:color w:val="000000"/>
                <w:position w:val="-3"/>
                <w:sz w:val="22"/>
                <w:szCs w:val="22"/>
              </w:rPr>
              <w:t xml:space="preserve"> (Hedges) Bergey et al., </w:t>
            </w:r>
            <w:r>
              <w:rPr>
                <w:rFonts w:ascii="Calibri" w:hAnsi="Calibri" w:eastAsia="Calibri" w:cs="Calibri"/>
                <w:i/>
                <w:iCs/>
                <w:color w:val="000000"/>
                <w:position w:val="-3"/>
                <w:sz w:val="22"/>
                <w:szCs w:val="22"/>
              </w:rPr>
              <w:t xml:space="preserve">Pseudomonas flaccumfaciens</w:t>
            </w:r>
            <w:r>
              <w:rPr>
                <w:rFonts w:ascii="Calibri" w:hAnsi="Calibri" w:eastAsia="Calibri" w:cs="Calibri"/>
                <w:color w:val="000000"/>
                <w:position w:val="-3"/>
                <w:sz w:val="22"/>
                <w:szCs w:val="22"/>
              </w:rPr>
              <w:t xml:space="preserve"> (Hedges) Stevens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tan spot of bean, bacterial tan spot of soybean, bacterial wilt of bean, bacterial wilt of common bean, bacterial wilt of dry beans, vascular wilt of bean</w:t>
            </w:r>
            <w:hyperlink r:id="rId4274661fce3fd77b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769661fce3fd782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CORBFL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6145909" name="name1482661fce3fd7b77" descr="9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60.jpg"/>
                          <pic:cNvPicPr/>
                        </pic:nvPicPr>
                        <pic:blipFill>
                          <a:blip r:embed="rId7861661fce3fd7b75" cstate="print"/>
                          <a:stretch>
                            <a:fillRect/>
                          </a:stretch>
                        </pic:blipFill>
                        <pic:spPr>
                          <a:xfrm>
                            <a:off x="0" y="0"/>
                            <a:ext cx="2160000" cy="1281600"/>
                          </a:xfrm>
                          <a:prstGeom prst="rect">
                            <a:avLst/>
                          </a:prstGeom>
                          <a:ln w="0">
                            <a:noFill/>
                          </a:ln>
                        </pic:spPr>
                      </pic:pic>
                    </a:graphicData>
                  </a:graphic>
                </wp:inline>
              </w:drawing>
            </w:r>
            <w:hyperlink r:id="rId3301661fce3fd7c5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wilt of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was first observed in South Dakota (USA) in 1920; the causal Gram-positive phytopathogenic bacterium was described as </w:t>
      </w:r>
      <w:r>
        <w:rPr>
          <w:rFonts w:ascii="Calibri" w:hAnsi="Calibri" w:eastAsia="Calibri" w:cs="Calibri"/>
          <w:i/>
          <w:iCs/>
          <w:color w:val="000000"/>
          <w:sz w:val="22"/>
          <w:szCs w:val="22"/>
        </w:rPr>
        <w:t xml:space="preserve">Bacterium flaccumfaciens</w:t>
      </w:r>
      <w:r>
        <w:rPr>
          <w:rFonts w:ascii="Calibri" w:hAnsi="Calibri" w:eastAsia="Calibri" w:cs="Calibri"/>
          <w:color w:val="000000"/>
          <w:sz w:val="22"/>
          <w:szCs w:val="22"/>
        </w:rPr>
        <w:t xml:space="preserve"> by Hedges in 1922 (Hedges, 1922). The disease and its causal agent were further detailed by Hedges in 1926. All phytopathogenic bacteria were placed by Bergey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(1939) in the genus </w:t>
      </w:r>
      <w:r>
        <w:rPr>
          <w:rFonts w:ascii="Calibri" w:hAnsi="Calibri" w:eastAsia="Calibri" w:cs="Calibri"/>
          <w:i/>
          <w:iCs/>
          <w:color w:val="000000"/>
          <w:sz w:val="22"/>
          <w:szCs w:val="22"/>
        </w:rPr>
        <w:t xml:space="preserve">Phytomonas</w:t>
      </w:r>
      <w:r>
        <w:rPr>
          <w:rFonts w:ascii="Calibri" w:hAnsi="Calibri" w:eastAsia="Calibri" w:cs="Calibri"/>
          <w:color w:val="000000"/>
          <w:sz w:val="22"/>
          <w:szCs w:val="22"/>
        </w:rPr>
        <w:t xml:space="preserve">, including the bean bacterial wilt pathogen, as </w:t>
      </w:r>
      <w:r>
        <w:rPr>
          <w:rFonts w:ascii="Calibri" w:hAnsi="Calibri" w:eastAsia="Calibri" w:cs="Calibri"/>
          <w:i/>
          <w:iCs/>
          <w:color w:val="000000"/>
          <w:sz w:val="22"/>
          <w:szCs w:val="22"/>
        </w:rPr>
        <w:t xml:space="preserve">Phytomonas flaccumfaciens</w:t>
      </w:r>
      <w:r>
        <w:rPr>
          <w:rFonts w:ascii="Calibri" w:hAnsi="Calibri" w:eastAsia="Calibri" w:cs="Calibri"/>
          <w:color w:val="000000"/>
          <w:sz w:val="22"/>
          <w:szCs w:val="22"/>
        </w:rPr>
        <w:t xml:space="preserve">. Dowson (1942) placed all Gram-positive, club-shaped phytopathogenic bacteria in the genus </w:t>
      </w:r>
      <w:r>
        <w:rPr>
          <w:rFonts w:ascii="Calibri" w:hAnsi="Calibri" w:eastAsia="Calibri" w:cs="Calibri"/>
          <w:i/>
          <w:iCs/>
          <w:color w:val="000000"/>
          <w:sz w:val="22"/>
          <w:szCs w:val="22"/>
        </w:rPr>
        <w:t xml:space="preserve">Corynebacterium</w:t>
      </w:r>
      <w:r>
        <w:rPr>
          <w:rFonts w:ascii="Calibri" w:hAnsi="Calibri" w:eastAsia="Calibri" w:cs="Calibri"/>
          <w:color w:val="000000"/>
          <w:sz w:val="22"/>
          <w:szCs w:val="22"/>
        </w:rPr>
        <w:t xml:space="preserve">, including the bacterial wilt pathogen as </w:t>
      </w:r>
      <w:r>
        <w:rPr>
          <w:rFonts w:ascii="Calibri" w:hAnsi="Calibri" w:eastAsia="Calibri" w:cs="Calibri"/>
          <w:i/>
          <w:iCs/>
          <w:color w:val="000000"/>
          <w:sz w:val="22"/>
          <w:szCs w:val="22"/>
        </w:rPr>
        <w:t xml:space="preserve">C. flaccumfaciens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 variant with orange pigmented colonies, inducing orange discoloration of the seed coat, has been observed in Nebraska, USA since 1950, and named </w:t>
      </w:r>
      <w:r>
        <w:rPr>
          <w:rFonts w:ascii="Calibri" w:hAnsi="Calibri" w:eastAsia="Calibri" w:cs="Calibri"/>
          <w:i/>
          <w:iCs/>
          <w:color w:val="000000"/>
          <w:sz w:val="22"/>
          <w:szCs w:val="22"/>
        </w:rPr>
        <w:t xml:space="preserve">Corynebacterium flaccumfaciens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aurantiacum </w:t>
      </w:r>
      <w:r>
        <w:rPr>
          <w:rFonts w:ascii="Calibri" w:hAnsi="Calibri" w:eastAsia="Calibri" w:cs="Calibri"/>
          <w:color w:val="000000"/>
          <w:sz w:val="22"/>
          <w:szCs w:val="22"/>
        </w:rPr>
        <w:t xml:space="preserve">(Schuster &amp; Christiansen, 1957). Another variant with yellow colony morphology and producing a blue to purple soluble pigment in culture media, inducing purple discoloration of the seed coat, was also observed in Nebraska in the 1960s and named </w:t>
      </w:r>
      <w:r>
        <w:rPr>
          <w:rFonts w:ascii="Calibri" w:hAnsi="Calibri" w:eastAsia="Calibri" w:cs="Calibri"/>
          <w:i/>
          <w:iCs/>
          <w:color w:val="000000"/>
          <w:sz w:val="22"/>
          <w:szCs w:val="22"/>
        </w:rPr>
        <w:t xml:space="preserve">Corynebacterium flaccumfaciens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violaceum </w:t>
      </w:r>
      <w:r>
        <w:rPr>
          <w:rFonts w:ascii="Calibri" w:hAnsi="Calibri" w:eastAsia="Calibri" w:cs="Calibri"/>
          <w:color w:val="000000"/>
          <w:sz w:val="22"/>
          <w:szCs w:val="22"/>
        </w:rPr>
        <w:t xml:space="preserve">(Schuster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These two variants, however, were not given taxonomic/nomenclatorial status in the following years, even though the purple variant was much later also discovered in Canada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After further (polyphasic) taxonomic studies on the phytopathogenic members of the genus </w:t>
      </w:r>
      <w:r>
        <w:rPr>
          <w:rFonts w:ascii="Calibri" w:hAnsi="Calibri" w:eastAsia="Calibri" w:cs="Calibri"/>
          <w:i/>
          <w:iCs/>
          <w:color w:val="000000"/>
          <w:sz w:val="22"/>
          <w:szCs w:val="22"/>
        </w:rPr>
        <w:t xml:space="preserve">Corynebacterium</w:t>
      </w:r>
      <w:r>
        <w:rPr>
          <w:rFonts w:ascii="Calibri" w:hAnsi="Calibri" w:eastAsia="Calibri" w:cs="Calibri"/>
          <w:color w:val="000000"/>
          <w:sz w:val="22"/>
          <w:szCs w:val="22"/>
        </w:rPr>
        <w:t xml:space="preserve"> using DNA:DNA hybridization homology, cell wall composition and biochemical characteristics, a number of subspecies of </w:t>
      </w:r>
      <w:r>
        <w:rPr>
          <w:rFonts w:ascii="Calibri" w:hAnsi="Calibri" w:eastAsia="Calibri" w:cs="Calibri"/>
          <w:i/>
          <w:iCs/>
          <w:color w:val="000000"/>
          <w:sz w:val="22"/>
          <w:szCs w:val="22"/>
        </w:rPr>
        <w:t xml:space="preserve">C. flaccumfaciens</w:t>
      </w:r>
      <w:r>
        <w:rPr>
          <w:rFonts w:ascii="Calibri" w:hAnsi="Calibri" w:eastAsia="Calibri" w:cs="Calibri"/>
          <w:color w:val="000000"/>
          <w:sz w:val="22"/>
          <w:szCs w:val="22"/>
        </w:rPr>
        <w:t xml:space="preserve"> were recognised, including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betae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oortii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poinsettiae</w:t>
      </w:r>
      <w:r>
        <w:rPr>
          <w:rFonts w:ascii="Calibri" w:hAnsi="Calibri" w:eastAsia="Calibri" w:cs="Calibri"/>
          <w:color w:val="000000"/>
          <w:sz w:val="22"/>
          <w:szCs w:val="22"/>
        </w:rPr>
        <w:t xml:space="preserve"> (Carlson &amp; Vidaver, 1982).  This led subsequently to their placement as pathovars (pathogenic varieties) within the species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a new genus (</w:t>
      </w:r>
      <w:r>
        <w:rPr>
          <w:rFonts w:ascii="Calibri" w:hAnsi="Calibri" w:eastAsia="Calibri" w:cs="Calibri"/>
          <w:i/>
          <w:iCs/>
          <w:color w:val="000000"/>
          <w:sz w:val="22"/>
          <w:szCs w:val="22"/>
        </w:rPr>
        <w:t xml:space="preserve">Curtobacterium</w:t>
      </w:r>
      <w:r>
        <w:rPr>
          <w:rFonts w:ascii="Calibri" w:hAnsi="Calibri" w:eastAsia="Calibri" w:cs="Calibri"/>
          <w:color w:val="000000"/>
          <w:sz w:val="22"/>
          <w:szCs w:val="22"/>
        </w:rPr>
        <w:t xml:space="preserve">). The bean bacterial wilt pathogen then became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flaccumfaciens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 others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betae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poinsettiae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oortii </w:t>
      </w:r>
      <w:r>
        <w:rPr>
          <w:rFonts w:ascii="Calibri" w:hAnsi="Calibri" w:eastAsia="Calibri" w:cs="Calibri"/>
          <w:color w:val="000000"/>
          <w:sz w:val="22"/>
          <w:szCs w:val="22"/>
        </w:rPr>
        <w:t xml:space="preserve">(Collins &amp; Jones, 1983). A pathovar </w:t>
      </w:r>
      <w:r>
        <w:rPr>
          <w:rFonts w:ascii="Calibri" w:hAnsi="Calibri" w:eastAsia="Calibri" w:cs="Calibri"/>
          <w:i/>
          <w:iCs/>
          <w:color w:val="000000"/>
          <w:sz w:val="22"/>
          <w:szCs w:val="22"/>
        </w:rPr>
        <w:t xml:space="preserve">basellae</w:t>
      </w:r>
      <w:r>
        <w:rPr>
          <w:rFonts w:ascii="Calibri" w:hAnsi="Calibri" w:eastAsia="Calibri" w:cs="Calibri"/>
          <w:color w:val="000000"/>
          <w:sz w:val="22"/>
          <w:szCs w:val="22"/>
        </w:rPr>
        <w:t xml:space="preserve">, affecting spinach, has been described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as well as a pathovar </w:t>
      </w:r>
      <w:r>
        <w:rPr>
          <w:rFonts w:ascii="Calibri" w:hAnsi="Calibri" w:eastAsia="Calibri" w:cs="Calibri"/>
          <w:i/>
          <w:iCs/>
          <w:color w:val="000000"/>
          <w:sz w:val="22"/>
          <w:szCs w:val="22"/>
        </w:rPr>
        <w:t xml:space="preserve">beticola</w:t>
      </w:r>
      <w:r>
        <w:rPr>
          <w:rFonts w:ascii="Calibri" w:hAnsi="Calibri" w:eastAsia="Calibri" w:cs="Calibri"/>
          <w:color w:val="000000"/>
          <w:sz w:val="22"/>
          <w:szCs w:val="22"/>
        </w:rPr>
        <w:t xml:space="preserve"> affecting sugar beet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These new pathovars have been proposed, but not accepted so far by the ISPP Committee on the Taxonomy of Plant Pathogenic Bacteria. Finally, a new pathovar, </w:t>
      </w:r>
      <w:r>
        <w:rPr>
          <w:rFonts w:ascii="Calibri" w:hAnsi="Calibri" w:eastAsia="Calibri" w:cs="Calibri"/>
          <w:i/>
          <w:iCs/>
          <w:color w:val="000000"/>
          <w:sz w:val="22"/>
          <w:szCs w:val="22"/>
        </w:rPr>
        <w:t xml:space="preserve">C.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ilicis </w:t>
      </w:r>
      <w:r>
        <w:rPr>
          <w:rFonts w:ascii="Calibri" w:hAnsi="Calibri" w:eastAsia="Calibri" w:cs="Calibri"/>
          <w:color w:val="000000"/>
          <w:sz w:val="22"/>
          <w:szCs w:val="22"/>
        </w:rPr>
        <w:t xml:space="preserve">(formerly </w:t>
      </w:r>
      <w:r>
        <w:rPr>
          <w:rFonts w:ascii="Calibri" w:hAnsi="Calibri" w:eastAsia="Calibri" w:cs="Calibri"/>
          <w:i/>
          <w:iCs/>
          <w:color w:val="000000"/>
          <w:sz w:val="22"/>
          <w:szCs w:val="22"/>
        </w:rPr>
        <w:t xml:space="preserve">Arthrobacter ilicis</w:t>
      </w:r>
      <w:r>
        <w:rPr>
          <w:rFonts w:ascii="Calibri" w:hAnsi="Calibri" w:eastAsia="Calibri" w:cs="Calibri"/>
          <w:color w:val="000000"/>
          <w:sz w:val="22"/>
          <w:szCs w:val="22"/>
        </w:rPr>
        <w:t xml:space="preserve">, causing bacterial blight of American holly (</w:t>
      </w:r>
      <w:r>
        <w:rPr>
          <w:rFonts w:ascii="Calibri" w:hAnsi="Calibri" w:eastAsia="Calibri" w:cs="Calibri"/>
          <w:i/>
          <w:iCs/>
          <w:color w:val="000000"/>
          <w:sz w:val="22"/>
          <w:szCs w:val="22"/>
        </w:rPr>
        <w:t xml:space="preserve">Ilex opaca</w:t>
      </w:r>
      <w:r>
        <w:rPr>
          <w:rFonts w:ascii="Calibri" w:hAnsi="Calibri" w:eastAsia="Calibri" w:cs="Calibri"/>
          <w:color w:val="000000"/>
          <w:sz w:val="22"/>
          <w:szCs w:val="22"/>
        </w:rPr>
        <w:t xml:space="preserve">) was named by Agarkova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A variant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with pink-pigmented colonies, inducing orange-stained seed coats, was described from Nebraska in 2007 (Harveson &amp; Vidaver, 2008;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 red-pigmented variant, inducing deep orange-stained seed coats, was isolated in 2014 in central Iran (Markazi province) from common bean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further, recent polyphasic study, including pathogenicity tests, MLSA and Box-PCR studies, showed that there are two lineages within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strains, one with yellow-pigmented colonies and one with red/orange-pigmented colonies. Furthermore, it was found that non-pathogenic strains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could also be isolated from non-hosts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are all Fabaceae, including edible dry beans: </w:t>
      </w:r>
      <w:r>
        <w:rPr>
          <w:rFonts w:ascii="Calibri" w:hAnsi="Calibri" w:eastAsia="Calibri" w:cs="Calibri"/>
          <w:i/>
          <w:iCs/>
          <w:color w:val="000000"/>
          <w:sz w:val="22"/>
          <w:szCs w:val="22"/>
        </w:rPr>
        <w:t xml:space="preserve">Phaseolus </w:t>
      </w:r>
      <w:r>
        <w:rPr>
          <w:rFonts w:ascii="Calibri" w:hAnsi="Calibri" w:eastAsia="Calibri" w:cs="Calibri"/>
          <w:color w:val="000000"/>
          <w:sz w:val="22"/>
          <w:szCs w:val="22"/>
        </w:rPr>
        <w:t xml:space="preserve">spp., especially common bean (</w:t>
      </w:r>
      <w:r>
        <w:rPr>
          <w:rFonts w:ascii="Calibri" w:hAnsi="Calibri" w:eastAsia="Calibri" w:cs="Calibri"/>
          <w:i/>
          <w:iCs/>
          <w:color w:val="000000"/>
          <w:sz w:val="22"/>
          <w:szCs w:val="22"/>
        </w:rPr>
        <w:t xml:space="preserve">P. vulgaris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but also runner bean (</w:t>
      </w:r>
      <w:r>
        <w:rPr>
          <w:rFonts w:ascii="Calibri" w:hAnsi="Calibri" w:eastAsia="Calibri" w:cs="Calibri"/>
          <w:i/>
          <w:iCs/>
          <w:color w:val="000000"/>
          <w:sz w:val="22"/>
          <w:szCs w:val="22"/>
        </w:rPr>
        <w:t xml:space="preserve">P. coccineus</w:t>
      </w:r>
      <w:r>
        <w:rPr>
          <w:rFonts w:ascii="Calibri" w:hAnsi="Calibri" w:eastAsia="Calibri" w:cs="Calibri"/>
          <w:color w:val="000000"/>
          <w:sz w:val="22"/>
          <w:szCs w:val="22"/>
        </w:rPr>
        <w:t xml:space="preserve">) and lima bean (</w:t>
      </w:r>
      <w:r>
        <w:rPr>
          <w:rFonts w:ascii="Calibri" w:hAnsi="Calibri" w:eastAsia="Calibri" w:cs="Calibri"/>
          <w:i/>
          <w:iCs/>
          <w:color w:val="000000"/>
          <w:sz w:val="22"/>
          <w:szCs w:val="22"/>
        </w:rPr>
        <w:t xml:space="preserve">P. lunatus</w:t>
      </w:r>
      <w:r>
        <w:rPr>
          <w:rFonts w:ascii="Calibri" w:hAnsi="Calibri" w:eastAsia="Calibri" w:cs="Calibri"/>
          <w:color w:val="000000"/>
          <w:sz w:val="22"/>
          <w:szCs w:val="22"/>
        </w:rPr>
        <w:t xml:space="preserve">); adzuki or red mung bean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mung bean (</w:t>
      </w:r>
      <w:r>
        <w:rPr>
          <w:rFonts w:ascii="Calibri" w:hAnsi="Calibri" w:eastAsia="Calibri" w:cs="Calibri"/>
          <w:i/>
          <w:iCs/>
          <w:color w:val="000000"/>
          <w:sz w:val="22"/>
          <w:szCs w:val="22"/>
        </w:rPr>
        <w:t xml:space="preserve">V. radiata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black gram (</w:t>
      </w:r>
      <w:r>
        <w:rPr>
          <w:rFonts w:ascii="Calibri" w:hAnsi="Calibri" w:eastAsia="Calibri" w:cs="Calibri"/>
          <w:i/>
          <w:iCs/>
          <w:color w:val="000000"/>
          <w:sz w:val="22"/>
          <w:szCs w:val="22"/>
        </w:rPr>
        <w:t xml:space="preserve">V.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can also attack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pea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cowpea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and dolichos bean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On soybean the disease and its causal agent were first reported in the USA in Iowa in 1975 and the disease was named bacterial tan spot (Dunleavy, 1983). In 2013 soybean was also reported as a host from Brazil (Soares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Epiphytic and endophytic colonization can occur in other non-fabaceous crops. Under field conditions in Brazil,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was found to colonize, without causing symptoms, barley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black oat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canola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common or white oat (</w:t>
      </w:r>
      <w:r>
        <w:rPr>
          <w:rFonts w:ascii="Calibri" w:hAnsi="Calibri" w:eastAsia="Calibri" w:cs="Calibri"/>
          <w:i/>
          <w:iCs/>
          <w:color w:val="000000"/>
          <w:sz w:val="22"/>
          <w:szCs w:val="22"/>
        </w:rPr>
        <w:t xml:space="preserve">A. sativa</w:t>
      </w:r>
      <w:r>
        <w:rPr>
          <w:rFonts w:ascii="Calibri" w:hAnsi="Calibri" w:eastAsia="Calibri" w:cs="Calibri"/>
          <w:color w:val="000000"/>
          <w:sz w:val="22"/>
          <w:szCs w:val="22"/>
        </w:rPr>
        <w:t xml:space="preserve">), ryegrass (</w:t>
      </w:r>
      <w:r>
        <w:rPr>
          <w:rFonts w:ascii="Calibri" w:hAnsi="Calibri" w:eastAsia="Calibri" w:cs="Calibri"/>
          <w:i/>
          <w:iCs/>
          <w:color w:val="000000"/>
          <w:sz w:val="22"/>
          <w:szCs w:val="22"/>
        </w:rPr>
        <w:t xml:space="preserve">Lolium</w:t>
      </w:r>
      <w:r>
        <w:rPr>
          <w:rFonts w:ascii="Calibri" w:hAnsi="Calibri" w:eastAsia="Calibri" w:cs="Calibri"/>
          <w:color w:val="000000"/>
          <w:sz w:val="22"/>
          <w:szCs w:val="22"/>
        </w:rPr>
        <w:t xml:space="preserve"> spp.) and wheat (</w:t>
      </w:r>
      <w:r>
        <w:rPr>
          <w:rFonts w:ascii="Calibri" w:hAnsi="Calibri" w:eastAsia="Calibri" w:cs="Calibri"/>
          <w:i/>
          <w:iCs/>
          <w:color w:val="000000"/>
          <w:sz w:val="22"/>
          <w:szCs w:val="22"/>
        </w:rPr>
        <w:t xml:space="preserve">Triticum</w:t>
      </w:r>
      <w:r>
        <w:rPr>
          <w:rFonts w:ascii="Calibri" w:hAnsi="Calibri" w:eastAsia="Calibri" w:cs="Calibri"/>
          <w:color w:val="000000"/>
          <w:sz w:val="22"/>
          <w:szCs w:val="22"/>
        </w:rPr>
        <w:t xml:space="preserve"> spp.), when they were cultivated in rotation with common bean. All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strains isolated from these plants were pathogenic to common bean (Gonçalves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In the USA,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isolated dry bean-pathogenic orange and yellow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strains from wheat plants also infected by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showing black chaff symptoms, which are typical for infections by the latter bacterium, and from maize leaves also infected with Goss’ wilt disease, caused by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nebraskensis</w:t>
      </w:r>
      <w:r>
        <w:rPr>
          <w:rFonts w:ascii="Calibri" w:hAnsi="Calibri" w:eastAsia="Calibri" w:cs="Calibri"/>
          <w:color w:val="000000"/>
          <w:sz w:val="22"/>
          <w:szCs w:val="22"/>
        </w:rPr>
        <w:t xml:space="preserve">. In Iran, dry bean-pathogenic strains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were isolated from symptomless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and tomato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lycopersicum</w:t>
      </w:r>
      <w:r>
        <w:rPr>
          <w:rFonts w:ascii="Calibri" w:hAnsi="Calibri" w:eastAsia="Calibri" w:cs="Calibri"/>
          <w:color w:val="000000"/>
          <w:sz w:val="22"/>
          <w:szCs w:val="22"/>
        </w:rPr>
        <w:t xml:space="preserve">) plants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has been detected in weeds such as </w:t>
      </w:r>
      <w:r>
        <w:rPr>
          <w:rFonts w:ascii="Calibri" w:hAnsi="Calibri" w:eastAsia="Calibri" w:cs="Calibri"/>
          <w:i/>
          <w:iCs/>
          <w:color w:val="000000"/>
          <w:sz w:val="22"/>
          <w:szCs w:val="22"/>
        </w:rPr>
        <w:t xml:space="preserve">Lupinus polyphyllus </w:t>
      </w:r>
      <w:r>
        <w:rPr>
          <w:rFonts w:ascii="Calibri" w:hAnsi="Calibri" w:eastAsia="Calibri" w:cs="Calibri"/>
          <w:color w:val="000000"/>
          <w:sz w:val="22"/>
          <w:szCs w:val="22"/>
        </w:rPr>
        <w:t xml:space="preserve">(Schuster &amp; Sayre, 1967),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 </w:t>
      </w:r>
      <w:r>
        <w:rPr>
          <w:rFonts w:ascii="Calibri" w:hAnsi="Calibri" w:eastAsia="Calibri" w:cs="Calibri"/>
          <w:color w:val="000000"/>
          <w:sz w:val="22"/>
          <w:szCs w:val="22"/>
        </w:rPr>
        <w:t xml:space="preserve">(Schuster, 1959) and </w:t>
      </w:r>
      <w:r>
        <w:rPr>
          <w:rFonts w:ascii="Calibri" w:hAnsi="Calibri" w:eastAsia="Calibri" w:cs="Calibri"/>
          <w:i/>
          <w:iCs/>
          <w:color w:val="000000"/>
          <w:sz w:val="22"/>
          <w:szCs w:val="22"/>
        </w:rPr>
        <w:t xml:space="preserve">Ipomoea lonchophylla</w:t>
      </w:r>
      <w:r>
        <w:rPr>
          <w:rFonts w:ascii="Calibri" w:hAnsi="Calibri" w:eastAsia="Calibri" w:cs="Calibri"/>
          <w:color w:val="000000"/>
          <w:sz w:val="22"/>
          <w:szCs w:val="22"/>
        </w:rPr>
        <w:t xml:space="preserve"> (Condé &amp; Diatloff, 1991;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reported that experiments using artificial inoculation under field conditions showed that the following weeds are potential, symptomless, hosts for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insularis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fosbergii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 Senna obtusifolia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For additional information, see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insularis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fosbergii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lonchophylla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Zornia glabra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wilt was first observed in the USA (South Dakota) in 1920, and in subsequent years in Idaho, Maryland, Michigan, Montana, Virginia and Washington DC (Hedges, 1926). From the 1920s to the 1960s, the disease spread to four more states (Colorado, Nebraska, North Dakota, and Wyoming) with severe outbreaks occurring in the 1930s and 1960s (Harveson, 2013). The disease was subsequently observed in Ontario, Canada in 1954 (Patrick, 1954) and Mexico in 1955 (Yerkes &amp; Crispin, 1956). After a period of low incidence there was a substantial reoccurrence of the disease in North America, especially in Colorado, Wyoming and Nebraska in the USA and Alberta in Canada in the 2000s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America the bacterium was reported on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from Colombia (1982), Venezuela (1990) and Brazil (1995), see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 outside the Americas was from Australia (Wood &amp; Easdown, 1990), where mung bean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and cowpea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were the hosts affected.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incidental records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on common bean and soybean have been made and in some of these cases, the disease was later reported to be eradicated. Until now, no economic losses have been reported in bean or soybean crops (Bastas &amp; Sahin, 2017; CABI, 2020; 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Ishimaru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O’Leary &amp; Gilbertson, 2020; Sammer &amp; Reiher, 2012; Sonmezalp, 1966).</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finding in the Middle East was in Iran in 2013 in common bean and cowpea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and 2015b).</w:t>
      </w:r>
    </w:p>
    <w:p>
      <w:pPr>
        <w:widowControl w:val="on"/>
        <w:pBdr/>
        <w:spacing w:before="220" w:after="220" w:line="240" w:lineRule="auto"/>
        <w:ind w:left="0" w:right="0"/>
        <w:jc w:val="both"/>
      </w:pPr>
      <w:r>
        <w:rPr>
          <w:rFonts w:ascii="Calibri" w:hAnsi="Calibri" w:eastAsia="Calibri" w:cs="Calibri"/>
          <w:color w:val="000000"/>
          <w:sz w:val="22"/>
          <w:szCs w:val="22"/>
        </w:rPr>
        <w:t xml:space="preserve">In Africa, the first confirmed case is from Zambia in soybean (Pawlowski and Hartman, 2019).</w:t>
      </w:r>
    </w:p>
    <w:p>
      <w:r>
        <w:drawing>
          <wp:inline distT="0" distB="0" distL="0" distR="0">
            <wp:extent cx="6120000" cy="3067200"/>
            <wp:docPr id="70526776" name="name8607661fce3fd9d35" descr="CORBF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FL_distribution_map.jpg"/>
                    <pic:cNvPicPr/>
                  </pic:nvPicPr>
                  <pic:blipFill>
                    <a:blip r:embed="rId7745661fce3fd9d3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Russia (Central Russia, Far East, Southern Russia),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Mauritius, Tunisia, Zambia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Ontario, Québec, Saskatchewan), United States of America (Colorado, Connecticut, Idaho, Iowa, Michigan, Montana, Nebraska, North Dakota, Ohio, Oregon, Virginia, Wisconsin,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(Distrito Federal, Goias, Mato Grosso do Sul, Minas Gerais, Parana, Santa Catarina, Sao Paulo), Colombia,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Victoria)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is seedborne and can be transmitted both within and on the seed; it is very resistant to drying and has been found to remain viable for up to 24 years in seed stored under laboratory conditions (Burkholder, 1945). In soil, survival is much shorter and, in the case of bean crops rotated with wheat, survival does not exceed two winters. The bacterium is able to survive longer in plant debris and non-hosts, including non-leguminous crops and weeds. The practice of minimum tillage or no-tillage farming for soil moisture conservation therefore enhances survival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and favours new infections in bean crops (Gonçalves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2018; Silva Júnior 2012; Urrea &amp; Harveson,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bacterium may enter roots and above-ground plant parts through wounds, usually under windy, hailstorm type of weather. Entry through stomata is rare, unlike other bacterial bean pathogens. There are no reports of vectors, but the nematode </w:t>
      </w:r>
      <w:r>
        <w:rPr>
          <w:rFonts w:ascii="Calibri" w:hAnsi="Calibri" w:eastAsia="Calibri" w:cs="Calibri"/>
          <w:i/>
          <w:iCs/>
          <w:color w:val="000000"/>
          <w:sz w:val="22"/>
          <w:szCs w:val="22"/>
        </w:rPr>
        <w:t xml:space="preserve">Meloidogyne incognita </w:t>
      </w:r>
      <w:r>
        <w:rPr>
          <w:rFonts w:ascii="Calibri" w:hAnsi="Calibri" w:eastAsia="Calibri" w:cs="Calibri"/>
          <w:color w:val="000000"/>
          <w:sz w:val="22"/>
          <w:szCs w:val="22"/>
        </w:rPr>
        <w:t xml:space="preserve">may assist entry by wounding roots (Schuster, 1959).</w:t>
      </w:r>
    </w:p>
    <w:p>
      <w:pPr>
        <w:widowControl w:val="on"/>
        <w:pBdr/>
        <w:spacing w:before="220" w:after="220" w:line="240" w:lineRule="auto"/>
        <w:ind w:left="0" w:right="0"/>
        <w:jc w:val="both"/>
      </w:pPr>
      <w:r>
        <w:rPr>
          <w:rFonts w:ascii="Calibri" w:hAnsi="Calibri" w:eastAsia="Calibri" w:cs="Calibri"/>
          <w:color w:val="000000"/>
          <w:sz w:val="22"/>
          <w:szCs w:val="22"/>
        </w:rPr>
        <w:t xml:space="preserve">Inside the plant the bacterium spreads mainly via the xylem, where it is often present in biofilms.</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development and expression is stimulated by temperatures above 30°C. Latent infection and colonization of seeds and plants is possible, especially at lower temperatures.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can infect plants in the absence of rain; however, disease progression is associated with warm moist conditions and spread of the bacterium is favoured by overhead sprinkler irrigation. The more recent outbreaks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in North America, observed after some 20 years of non-detection, may result from changed cultural practices (such as increased sprinkler irrigation), climate change to warmer and moister summers, spread from alternative hosts and lack of experience with the disease because of the long period in which it has not been recorded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Harveson &amp; Vidaver, 2008; Harveson, 2013;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Host species/cultivar susceptibility, weather conditions and agricultural practices are therefore important factors in disease outbreaks and their severity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information on race variation. Yellow colony variants, however, are more virulent than the red/orange ones on a number of hosts including cowpea, lima bean, broad bean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and pea and only these yellow colony variants cause disease on hairy vetch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a major weed in dry bean growing areas of Iran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w:t>
      </w:r>
    </w:p>
    <w:p>
      <w:pPr>
        <w:widowControl w:val="on"/>
        <w:pBdr/>
        <w:spacing w:before="220" w:after="220" w:line="240" w:lineRule="auto"/>
        <w:ind w:left="0" w:right="0"/>
        <w:jc w:val="both"/>
      </w:pPr>
      <w:r>
        <w:rPr>
          <w:rFonts w:ascii="Calibri" w:hAnsi="Calibri" w:eastAsia="Calibri" w:cs="Calibri"/>
          <w:color w:val="000000"/>
          <w:sz w:val="22"/>
          <w:szCs w:val="22"/>
        </w:rPr>
        <w:t xml:space="preserve">In a comparative genomics study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with actinobacterial plant pathogens, a set of unique low G+C% content genomic islands were detected in the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genome. Homologous sequences of pathogenicity-determining loci found in these islands were those responsible for production of 1,4-beta-xylanase (</w:t>
      </w:r>
      <w:r>
        <w:rPr>
          <w:rFonts w:ascii="Calibri" w:hAnsi="Calibri" w:eastAsia="Calibri" w:cs="Calibri"/>
          <w:i/>
          <w:iCs/>
          <w:color w:val="000000"/>
          <w:sz w:val="22"/>
          <w:szCs w:val="22"/>
        </w:rPr>
        <w:t xml:space="preserve">xylA</w:t>
      </w:r>
      <w:r>
        <w:rPr>
          <w:rFonts w:ascii="Calibri" w:hAnsi="Calibri" w:eastAsia="Calibri" w:cs="Calibri"/>
          <w:color w:val="000000"/>
          <w:sz w:val="22"/>
          <w:szCs w:val="22"/>
        </w:rPr>
        <w:t xml:space="preserve">), pectate lyase (</w:t>
      </w:r>
      <w:r>
        <w:rPr>
          <w:rFonts w:ascii="Calibri" w:hAnsi="Calibri" w:eastAsia="Calibri" w:cs="Calibri"/>
          <w:i/>
          <w:iCs/>
          <w:color w:val="000000"/>
          <w:sz w:val="22"/>
          <w:szCs w:val="22"/>
        </w:rPr>
        <w:t xml:space="preserve">pelA1</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pelA2</w:t>
      </w:r>
      <w:r>
        <w:rPr>
          <w:rFonts w:ascii="Calibri" w:hAnsi="Calibri" w:eastAsia="Calibri" w:cs="Calibri"/>
          <w:color w:val="000000"/>
          <w:sz w:val="22"/>
          <w:szCs w:val="22"/>
        </w:rPr>
        <w:t xml:space="preserve">), serine protease (</w:t>
      </w:r>
      <w:r>
        <w:rPr>
          <w:rFonts w:ascii="Calibri" w:hAnsi="Calibri" w:eastAsia="Calibri" w:cs="Calibri"/>
          <w:i/>
          <w:iCs/>
          <w:color w:val="000000"/>
          <w:sz w:val="22"/>
          <w:szCs w:val="22"/>
        </w:rPr>
        <w:t xml:space="preserve">chpC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chpG</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pat-1</w:t>
      </w:r>
      <w:r>
        <w:rPr>
          <w:rFonts w:ascii="Calibri" w:hAnsi="Calibri" w:eastAsia="Calibri" w:cs="Calibri"/>
          <w:color w:val="000000"/>
          <w:sz w:val="22"/>
          <w:szCs w:val="22"/>
        </w:rPr>
        <w:t xml:space="preserve">), and sortase (</w:t>
      </w:r>
      <w:r>
        <w:rPr>
          <w:rFonts w:ascii="Calibri" w:hAnsi="Calibri" w:eastAsia="Calibri" w:cs="Calibri"/>
          <w:i/>
          <w:iCs/>
          <w:color w:val="000000"/>
          <w:sz w:val="22"/>
          <w:szCs w:val="22"/>
        </w:rPr>
        <w:t xml:space="preserve">srtA</w:t>
      </w:r>
      <w:r>
        <w:rPr>
          <w:rFonts w:ascii="Calibri" w:hAnsi="Calibri" w:eastAsia="Calibri" w:cs="Calibri"/>
          <w:color w:val="000000"/>
          <w:sz w:val="22"/>
          <w:szCs w:val="22"/>
        </w:rPr>
        <w:t xml:space="preserve">)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also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Hedges (1926),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Zaumeyer (1932), Zaumeyer &amp; Thomas (1957).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severe symptoms occur on young </w:t>
      </w:r>
      <w:r>
        <w:rPr>
          <w:rFonts w:ascii="Calibri" w:hAnsi="Calibri" w:eastAsia="Calibri" w:cs="Calibri"/>
          <w:i/>
          <w:iCs/>
          <w:color w:val="000000"/>
          <w:sz w:val="22"/>
          <w:szCs w:val="22"/>
        </w:rPr>
        <w:t xml:space="preserve">Phaseolus </w:t>
      </w:r>
      <w:r>
        <w:rPr>
          <w:rFonts w:ascii="Calibri" w:hAnsi="Calibri" w:eastAsia="Calibri" w:cs="Calibri"/>
          <w:color w:val="000000"/>
          <w:sz w:val="22"/>
          <w:szCs w:val="22"/>
        </w:rPr>
        <w:t xml:space="preserve">plants just emerged from seed. When infected, they usually die. If plants survive an early attack, or are infected at a later stage of growth, they may survive throughout the season and bear mature seed. All the developmental stages of the plant are susceptible. The disease is characterized by initial interveinal chlorosis that becomes later necrotic due to systemic vascular infection, leading to wilting of leaves or parts of leaves during the heat of the day and recovery as the temperature drops in the evening. Bacterial plugging of the vessels cuts off the water supply and the leaves turn brown and fall prematurely. Wilting may eventually cause plant death. During hailstorms or under strong winds necrotic tissues may easily rupture; symptomatic leaves will then have a ragged appearance and may drop down. </w:t>
      </w:r>
    </w:p>
    <w:p>
      <w:pPr>
        <w:widowControl w:val="on"/>
        <w:pBdr/>
        <w:spacing w:before="220" w:after="220" w:line="240" w:lineRule="auto"/>
        <w:ind w:left="0" w:right="0"/>
        <w:jc w:val="both"/>
      </w:pPr>
      <w:r>
        <w:rPr>
          <w:rFonts w:ascii="Calibri" w:hAnsi="Calibri" w:eastAsia="Calibri" w:cs="Calibri"/>
          <w:color w:val="000000"/>
          <w:sz w:val="22"/>
          <w:szCs w:val="22"/>
        </w:rPr>
        <w:t xml:space="preserve">Occasionally these typical wilting symptoms may be absent, but instead there are golden-yellow necrotic leaf lesions, closely resembling those of common blight caused by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phaseoli </w:t>
      </w:r>
      <w:r>
        <w:rPr>
          <w:rFonts w:ascii="Calibri" w:hAnsi="Calibri" w:eastAsia="Calibri" w:cs="Calibri"/>
          <w:color w:val="000000"/>
          <w:sz w:val="22"/>
          <w:szCs w:val="22"/>
        </w:rPr>
        <w:t xml:space="preserve">(EPPO/CABI, 1996). The lesion margin, however, is more irregular in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infections. In general, there is no water-soaking of stems and leaves, as found in common blight and halo blight (</w:t>
      </w:r>
      <w:r>
        <w:rPr>
          <w:rFonts w:ascii="Calibri" w:hAnsi="Calibri" w:eastAsia="Calibri" w:cs="Calibri"/>
          <w:i/>
          <w:iCs/>
          <w:color w:val="000000"/>
          <w:sz w:val="22"/>
          <w:szCs w:val="22"/>
        </w:rPr>
        <w:t xml:space="preserve">Pseudomonas savastanoi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phaseolicola</w:t>
      </w:r>
      <w:r>
        <w:rPr>
          <w:rFonts w:ascii="Calibri" w:hAnsi="Calibri" w:eastAsia="Calibri" w:cs="Calibri"/>
          <w:color w:val="000000"/>
          <w:sz w:val="22"/>
          <w:szCs w:val="22"/>
        </w:rPr>
        <w:t xml:space="preserve">) infections.</w:t>
      </w:r>
    </w:p>
    <w:p>
      <w:pPr>
        <w:widowControl w:val="on"/>
        <w:pBdr/>
        <w:spacing w:before="220" w:after="220" w:line="240" w:lineRule="auto"/>
        <w:ind w:left="0" w:right="0"/>
        <w:jc w:val="both"/>
      </w:pPr>
      <w:r>
        <w:rPr>
          <w:rFonts w:ascii="Calibri" w:hAnsi="Calibri" w:eastAsia="Calibri" w:cs="Calibri"/>
          <w:color w:val="000000"/>
          <w:sz w:val="22"/>
          <w:szCs w:val="22"/>
        </w:rPr>
        <w:t xml:space="preserve">On pods the disease is much more conspicuous than common blight. All the seeds in a pod may be infected, while the pod remains apparently healthy. This is due to the pathogen infecting the seed via the vascular system, following the sutures of the pods, which may be discoloured. On young pods, water-soaked spots occasionally appear, the area turning to either a yellowish-green or darker colour than the rest of the pod. On ripe pods lesions are more conspicuous, being an olive-green colour in contrast to the yellow colour of the normal pod. It should be noted that seemingly vigorous plants may bear one or more shrivelled shoots or infected pods which are hidden by healthy foliage.</w:t>
      </w:r>
    </w:p>
    <w:p>
      <w:pPr>
        <w:widowControl w:val="on"/>
        <w:pBdr/>
        <w:spacing w:before="220" w:after="220" w:line="240" w:lineRule="auto"/>
        <w:ind w:left="0" w:right="0"/>
        <w:jc w:val="both"/>
      </w:pPr>
      <w:r>
        <w:rPr>
          <w:rFonts w:ascii="Calibri" w:hAnsi="Calibri" w:eastAsia="Calibri" w:cs="Calibri"/>
          <w:color w:val="000000"/>
          <w:sz w:val="22"/>
          <w:szCs w:val="22"/>
        </w:rPr>
        <w:t xml:space="preserve">When older plants are heavily infected, flowers may also be blighted and seed set severely reduced (Wood &amp; Easdown, 1990).</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white-seeded bean cultivars, when infected systemically, may be discoloured and appear yellow, orange, pink, or purple; however, in cultivars with coloured seed coats the discolouration is less conspicuous. There may be a little bacterial slime present at the hilum, and seeds may be shrivelled. </w:t>
      </w:r>
    </w:p>
    <w:p>
      <w:pPr>
        <w:widowControl w:val="on"/>
        <w:pBdr/>
        <w:spacing w:before="220" w:after="220" w:line="240" w:lineRule="auto"/>
        <w:ind w:left="0" w:right="0"/>
        <w:jc w:val="both"/>
      </w:pPr>
      <w:r>
        <w:rPr>
          <w:rFonts w:ascii="Calibri" w:hAnsi="Calibri" w:eastAsia="Calibri" w:cs="Calibri"/>
          <w:color w:val="000000"/>
          <w:sz w:val="22"/>
          <w:szCs w:val="22"/>
        </w:rPr>
        <w:t xml:space="preserve">On cowpea the necrotic areas on infected leaves tend to have chlorotic margins; this is less common in other hosts. On mung bean, as well as soybean, severe wilting of infected plants rarely occurs, and the intercostal necrosis has a pale brown to tan colour, leading to the name ‘tan spot’ for the disease in these two crops.   </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Hedges (1926), Zaumeyer (1932), Zaumeyer &amp; Thomas (1957), Schuster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(1968), Harveson (2013),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is an aerobic, motile, Gram-positive, non-sporing rod, occurring singly or in pairs, 0.3-0.5 x 0.6-3.0 µm with one to three lateral or polar flagella.</w:t>
      </w:r>
    </w:p>
    <w:p>
      <w:pPr>
        <w:widowControl w:val="on"/>
        <w:pBdr/>
        <w:spacing w:before="220" w:after="220" w:line="240" w:lineRule="auto"/>
        <w:ind w:left="0" w:right="0"/>
        <w:jc w:val="both"/>
      </w:pPr>
      <w:r>
        <w:rPr>
          <w:rFonts w:ascii="Calibri" w:hAnsi="Calibri" w:eastAsia="Calibri" w:cs="Calibri"/>
          <w:color w:val="000000"/>
          <w:sz w:val="22"/>
          <w:szCs w:val="22"/>
        </w:rPr>
        <w:t xml:space="preserve">Preliminary identification is hampered by the occurrence of at least five different colony colour variants on culture media: yellow, orange, pink, red and purple (yellow colony, but with purple diffusible pigment).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strains possessing different pigmentation produce bacteriocins against the other strains in culture media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w:t>
      </w:r>
    </w:p>
    <w:p>
      <w:pPr>
        <w:widowControl w:val="on"/>
        <w:pBdr/>
        <w:spacing w:before="220" w:after="220" w:line="240" w:lineRule="auto"/>
        <w:ind w:left="0" w:right="0"/>
        <w:jc w:val="both"/>
      </w:pPr>
      <w:r>
        <w:rPr>
          <w:rFonts w:ascii="Calibri" w:hAnsi="Calibri" w:eastAsia="Calibri" w:cs="Calibri"/>
          <w:color w:val="000000"/>
          <w:sz w:val="22"/>
          <w:szCs w:val="22"/>
        </w:rPr>
        <w:t xml:space="preserve">On non-selective media, such as yeast-peptone-glucose agar (YPGA) or nutrient broth yeast extract agar (NBY), after 48-72h of growth at 25-27°C colonies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are circular, 2–4 mm in diameter, smooth and with entire margins, more often convex and translucent, but sometimes also flat and semi-opaque. As stated above, their pigmentation is variable, also depending on temperature and pH, and vary from creamy to bright yellow or red/orange. Therefore, in case of doubt, several colonies should be selected.</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see EPPO (2011);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identification methods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Inspection in the field</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plants with symptoms should be followed, when possible, by laboratory diagnosis.</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 may be detected beneath the seedcoat by means of a combined cultural and immunofluorescence (IF) test (see below). Bean seed from countries where the disease is known to occur should be visually inspected for discolouration of the seed coat.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Laboratory detection and diagnosis</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isolation, IF and/or PCR can be used as screening tests. IF protocols have been described for seed tests, using polyclonal (Calzolari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or monoclonal antibodies (Diatloff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Specificity (false-negatives) and sensitivity, however, are less than PCR-based tests (McDonald &amp; Wong, 2000). </w:t>
      </w:r>
    </w:p>
    <w:p>
      <w:pPr>
        <w:widowControl w:val="on"/>
        <w:pBdr/>
        <w:spacing w:before="220" w:after="220" w:line="240" w:lineRule="auto"/>
        <w:ind w:left="0" w:right="0"/>
        <w:jc w:val="both"/>
      </w:pPr>
      <w:r>
        <w:rPr>
          <w:rFonts w:ascii="Calibri" w:hAnsi="Calibri" w:eastAsia="Calibri" w:cs="Calibri"/>
          <w:color w:val="000000"/>
          <w:sz w:val="22"/>
          <w:szCs w:val="22"/>
        </w:rPr>
        <w:t xml:space="preserve">Semi-selective media for in vitro growth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were developed by Mizuno &amp; Kawai, 1993;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Maringoni &amp; Camara, 2006. The medium of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is detailed in EPPO (2011). </w:t>
      </w:r>
    </w:p>
    <w:p>
      <w:pPr>
        <w:widowControl w:val="on"/>
        <w:pBdr/>
        <w:spacing w:before="220" w:after="220" w:line="240" w:lineRule="auto"/>
        <w:ind w:left="0" w:right="0"/>
        <w:jc w:val="both"/>
      </w:pPr>
      <w:r>
        <w:rPr>
          <w:rFonts w:ascii="Calibri" w:hAnsi="Calibri" w:eastAsia="Calibri" w:cs="Calibri"/>
          <w:color w:val="000000"/>
          <w:sz w:val="22"/>
          <w:szCs w:val="22"/>
        </w:rPr>
        <w:t xml:space="preserve">Two polymerase chain reaction (PCR) tests with different specific primer sets have been described for the identification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isolated colonies and for its detection in bean seed extracts: one according to Guimaraēs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the other according to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They are detailed in EPPO (2011). A method improving the isolation of bacteria and DNA from bean leaves, using the primers of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was developed by Puia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(2021b).</w:t>
      </w:r>
    </w:p>
    <w:p>
      <w:pPr>
        <w:widowControl w:val="on"/>
        <w:pBdr/>
        <w:spacing w:before="220" w:after="220" w:line="240" w:lineRule="auto"/>
        <w:ind w:left="0" w:right="0"/>
        <w:jc w:val="both"/>
      </w:pPr>
      <w:r>
        <w:rPr>
          <w:rFonts w:ascii="Calibri" w:hAnsi="Calibri" w:eastAsia="Calibri" w:cs="Calibri"/>
          <w:color w:val="000000"/>
          <w:sz w:val="22"/>
          <w:szCs w:val="22"/>
        </w:rPr>
        <w:t xml:space="preserve">A sensitive Loop-Mediated Isothermal Amplification (LAMP) based detection method for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has recently been developed by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could be, after further validation, useful for on-site testing of seeds and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When positive PCR results on plant/seed samples are obtained, direct isolation of viable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cells on non-specific and semi-selective agar media should be performed.</w:t>
      </w:r>
    </w:p>
    <w:p>
      <w:pPr>
        <w:widowControl w:val="on"/>
        <w:pBdr/>
        <w:spacing w:before="220" w:after="220" w:line="240" w:lineRule="auto"/>
        <w:ind w:left="0" w:right="0"/>
        <w:jc w:val="both"/>
      </w:pPr>
      <w:r>
        <w:rPr>
          <w:rFonts w:ascii="Calibri" w:hAnsi="Calibri" w:eastAsia="Calibri" w:cs="Calibri"/>
          <w:color w:val="000000"/>
          <w:sz w:val="22"/>
          <w:szCs w:val="22"/>
        </w:rPr>
        <w:t xml:space="preserve">BOX-PCR and multilocus sequence analysis (MLSA) with the housekeeping genes </w:t>
      </w:r>
      <w:r>
        <w:rPr>
          <w:rFonts w:ascii="Calibri" w:hAnsi="Calibri" w:eastAsia="Calibri" w:cs="Calibri"/>
          <w:i/>
          <w:iCs/>
          <w:color w:val="000000"/>
          <w:sz w:val="22"/>
          <w:szCs w:val="22"/>
        </w:rPr>
        <w:t xml:space="preserve">atp</w:t>
      </w:r>
      <w:r>
        <w:rPr>
          <w:rFonts w:ascii="Calibri" w:hAnsi="Calibri" w:eastAsia="Calibri" w:cs="Calibri"/>
          <w:color w:val="000000"/>
          <w:sz w:val="22"/>
          <w:szCs w:val="22"/>
        </w:rPr>
        <w:t xml:space="preserve">D, </w:t>
      </w:r>
      <w:r>
        <w:rPr>
          <w:rFonts w:ascii="Calibri" w:hAnsi="Calibri" w:eastAsia="Calibri" w:cs="Calibri"/>
          <w:i/>
          <w:iCs/>
          <w:color w:val="000000"/>
          <w:sz w:val="22"/>
          <w:szCs w:val="22"/>
        </w:rPr>
        <w:t xml:space="preserve">gyr</w:t>
      </w:r>
      <w:r>
        <w:rPr>
          <w:rFonts w:ascii="Calibri" w:hAnsi="Calibri" w:eastAsia="Calibri" w:cs="Calibri"/>
          <w:color w:val="000000"/>
          <w:sz w:val="22"/>
          <w:szCs w:val="22"/>
        </w:rPr>
        <w:t xml:space="preserve">B, ppk, </w:t>
      </w:r>
      <w:r>
        <w:rPr>
          <w:rFonts w:ascii="Calibri" w:hAnsi="Calibri" w:eastAsia="Calibri" w:cs="Calibri"/>
          <w:i/>
          <w:iCs/>
          <w:color w:val="000000"/>
          <w:sz w:val="22"/>
          <w:szCs w:val="22"/>
        </w:rPr>
        <w:t xml:space="preserve">rec</w:t>
      </w:r>
      <w:r>
        <w:rPr>
          <w:rFonts w:ascii="Calibri" w:hAnsi="Calibri" w:eastAsia="Calibri" w:cs="Calibri"/>
          <w:color w:val="000000"/>
          <w:sz w:val="22"/>
          <w:szCs w:val="22"/>
        </w:rPr>
        <w:t xml:space="preserve">A and </w:t>
      </w:r>
      <w:r>
        <w:rPr>
          <w:rFonts w:ascii="Calibri" w:hAnsi="Calibri" w:eastAsia="Calibri" w:cs="Calibri"/>
          <w:i/>
          <w:iCs/>
          <w:color w:val="000000"/>
          <w:sz w:val="22"/>
          <w:szCs w:val="22"/>
        </w:rPr>
        <w:t xml:space="preserve">rpo</w:t>
      </w:r>
      <w:r>
        <w:rPr>
          <w:rFonts w:ascii="Calibri" w:hAnsi="Calibri" w:eastAsia="Calibri" w:cs="Calibri"/>
          <w:color w:val="000000"/>
          <w:sz w:val="22"/>
          <w:szCs w:val="22"/>
        </w:rPr>
        <w:t xml:space="preserve">B can be used for identification; both methods were able to discriminate between yellow-pigmented strains and red/orange pigmented strains. Non-pathogenic strains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could be discriminated from pathogenic strains on the basis of sensitivity to sodium arsenate and sodium arsenite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Rep PCR, including Box-PCR, is described in detail in EPPO (2010).</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presumptive diagnosis with rapid tests, detection and identification methods (including methods for extraction of bacterial cells and DNA), biochemical, serological and molecular and pathogenicity tests (using inoculation of bean plantlets or hilum injury/seed inoculation) for latent and symptomatic infected material, flow chart, culture media, chemicals and reference material) are provided in the EPPO Standard PM 7/102 (1), 2011 on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Spread of the bacterium over short and long distances is mainly through movement of infected seeds (Hedges, 1926; Zaumeyer, 1932; Zaumeyer &amp; Thomas, 1957; Hsieh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Camara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Bastas &amp; Sahin, 2017,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Other parts of infected plants or their residues, however, are also potential inoculum sources (Silva Júnior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2012b; Gonçalves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Especially sprinkler irrigation and windy/hailstorm type of weather may enhance survival and dispersion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within fields where infected plants and/or their residues are present. Dispersal via machinery/humans/animals/surface water has been little investigated and is poorly understood. Persistence and continuation of infection can be due to colonization (epiphytic and endophytic) of symptomless-host plants such as crops (e.g., barley, canola, ryegrass, oat) grown in rotation with fabaceous hosts, or weeds (e.g., </w:t>
      </w:r>
      <w:r>
        <w:rPr>
          <w:rFonts w:ascii="Calibri" w:hAnsi="Calibri" w:eastAsia="Calibri" w:cs="Calibri"/>
          <w:i/>
          <w:iCs/>
          <w:color w:val="000000"/>
          <w:sz w:val="22"/>
          <w:szCs w:val="22"/>
        </w:rPr>
        <w:t xml:space="preserve">Amaranthus retroflexus, Chenopodium album</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conclusion, contaminated/infected seeds are the most likely pathway of spread to cause infection of host plants in other areas of the world. Symptomless weed and crop hosts play a local role. No insect vectors have been found.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losses due to bacterial wilt disease result from lower crop yields as well as lower marketability as a result of quality loss due to discoloured and shrivelled seeds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first report of its occurrence in 1920, bacterial wilt became one of the most important bacterial diseases of beans in the USA, causing almost total losses in some years, but the disease gradually declined in later years. By the 1970s the disease had become manageable by planting pathogen-free/tested seeds, crop rotation, and sanitation measures. In the early 2000s, however, bacterial wilt re-emerged (first in North Dakota in 1995 and later in Colorado, Nebraska, and Wyoming from 2004 to 2007) and became an economically-damaging disease in those states, as well as in Canada where the yellow and orange variants were found in 2002, followed by the purple variant in 2006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soybean, yield losses were reported to be very variable depending on the year; losses were often only minor, but could reach 18.5% in the USA (Dunleavy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Dunleavy, 1984).</w:t>
      </w:r>
    </w:p>
    <w:p>
      <w:pPr>
        <w:widowControl w:val="on"/>
        <w:pBdr/>
        <w:spacing w:before="220" w:after="220" w:line="240" w:lineRule="auto"/>
        <w:ind w:left="0" w:right="0"/>
        <w:jc w:val="both"/>
      </w:pPr>
      <w:r>
        <w:rPr>
          <w:rFonts w:ascii="Calibri" w:hAnsi="Calibri" w:eastAsia="Calibri" w:cs="Calibri"/>
          <w:color w:val="000000"/>
          <w:sz w:val="22"/>
          <w:szCs w:val="22"/>
        </w:rPr>
        <w:t xml:space="preserve">Over the past ten years outbreaks with economically important yield losses have been reported from Australia, Brazil, Canada, Iran and the central high plains in the USA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Puia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In most of these countries the disease is sporadic, and its incidence varies greatly. In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endemic areas in the USA and Australia (on mung bean), disease incidence has reached more than 90% in the past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Wood &amp; Easdown, 1990).</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practically no information on yield losses or economic impact of the outbreaks or introductions recorded in Europe, including the Russian Federation.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measure to prevent the entry, establishment and spread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is the use of healthy seeds. Seed grown in dry climates is usually free from infection and therefore whenever possible it is advisable to grow seed crops in these dry areas.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(seed) treatments, including NaOCl 5% for 10 min, copper compounds and antibiotics have not been found effective against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Antibiotics eliminated bacteria only from the seed surface and showed phytotoxicity (Estefani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Harveson, 2019; Tripepi &amp; George, 1991). The use of antibiotics against plant pathogens is not permitted in many EPPO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Soares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found that treatment with acibenzolar-S-methyl was ineffective in inducing resistance of the plant to the bacterium.</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Harveson (2019) reported the results of a 7-year (2010-2016) field study investigating treatments with hydrogen peroxide and peroxyacetic acid and plant-based fatty acids. These consistently resulted in higher seed yields than copper/antibiotic treatments, although disease incidence was not reduced. This positive yield effect held true especially for heavily-infested crops.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Heat treatments</w:t>
      </w:r>
    </w:p>
    <w:p>
      <w:pPr>
        <w:widowControl w:val="on"/>
        <w:pBdr/>
        <w:spacing w:before="220" w:after="220" w:line="240" w:lineRule="auto"/>
        <w:ind w:left="0" w:right="0"/>
        <w:jc w:val="both"/>
      </w:pPr>
      <w:r>
        <w:rPr>
          <w:rFonts w:ascii="Calibri" w:hAnsi="Calibri" w:eastAsia="Calibri" w:cs="Calibri"/>
          <w:color w:val="000000"/>
          <w:sz w:val="22"/>
          <w:szCs w:val="22"/>
        </w:rPr>
        <w:t xml:space="preserve">No suitable heat treatments have been developed for use in practice. Dry heat treatments (at 52°C for 20 h and 85°C for 5 h or at 60°C and even at 70ºC for more than 3 h) alone, or in combination with pre-soaking seeds in water for more than 3 h, significantly reduced the vigour of the seeds but usually did not eliminate the bacterium (Zaumeyer &amp; Thomas, 1957; Estafena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biological control method for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is operational in practice to date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Under greenhouse conditions and artificial seed inoculation with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a treatment of seeds with a strain of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(ALB629rif) gave a disease reduction of 71% and 75%, at 20 and 30°C respectively, (Martins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Soaking seeds of great northern bean cv. US1140 in a suspension of the bacterium </w:t>
      </w:r>
      <w:r>
        <w:rPr>
          <w:rFonts w:ascii="Calibri" w:hAnsi="Calibri" w:eastAsia="Calibri" w:cs="Calibri"/>
          <w:i/>
          <w:iCs/>
          <w:color w:val="000000"/>
          <w:sz w:val="22"/>
          <w:szCs w:val="22"/>
        </w:rPr>
        <w:t xml:space="preserve">Pantoea agglomerans</w:t>
      </w:r>
      <w:r>
        <w:rPr>
          <w:rFonts w:ascii="Calibri" w:hAnsi="Calibri" w:eastAsia="Calibri" w:cs="Calibri"/>
          <w:color w:val="000000"/>
          <w:sz w:val="22"/>
          <w:szCs w:val="22"/>
        </w:rPr>
        <w:t xml:space="preserve"> gave good endophytic colonization of the entire bean seedling and in combination with artificial infection with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gave reduction in disease severity of up to 70% and better emergence and seedling growth (Hsieh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Seed treatment under greenhouse conditions with </w:t>
      </w:r>
      <w:r>
        <w:rPr>
          <w:rFonts w:ascii="Calibri" w:hAnsi="Calibri" w:eastAsia="Calibri" w:cs="Calibri"/>
          <w:i/>
          <w:iCs/>
          <w:color w:val="000000"/>
          <w:sz w:val="22"/>
          <w:szCs w:val="22"/>
        </w:rPr>
        <w:t xml:space="preserve">Rhizobium leguminosarum</w:t>
      </w:r>
      <w:r>
        <w:rPr>
          <w:rFonts w:ascii="Calibri" w:hAnsi="Calibri" w:eastAsia="Calibri" w:cs="Calibri"/>
          <w:color w:val="000000"/>
          <w:sz w:val="22"/>
          <w:szCs w:val="22"/>
        </w:rPr>
        <w:t xml:space="preserve"> biovar </w:t>
      </w:r>
      <w:r>
        <w:rPr>
          <w:rFonts w:ascii="Calibri" w:hAnsi="Calibri" w:eastAsia="Calibri" w:cs="Calibri"/>
          <w:i/>
          <w:iCs/>
          <w:color w:val="000000"/>
          <w:sz w:val="22"/>
          <w:szCs w:val="22"/>
        </w:rPr>
        <w:t xml:space="preserve">viceae</w:t>
      </w:r>
      <w:r>
        <w:rPr>
          <w:rFonts w:ascii="Calibri" w:hAnsi="Calibri" w:eastAsia="Calibri" w:cs="Calibri"/>
          <w:color w:val="000000"/>
          <w:sz w:val="22"/>
          <w:szCs w:val="22"/>
        </w:rPr>
        <w:t xml:space="preserve"> R2 had a mild protective effect for seeds that showed no or light symptoms only (Huang</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2007a).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Plant resistance</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use of healthy, tested seed, the other main control measure is the broader use of resistant cultivars. However, resistant, commercially attractive varieties are still scarce. For example, the common bean cv. Emerson is resistant, but has only a small (Europe-targeted) market. True resistance was found in a germplasm collection accession PI 325691, a wild common bean (</w:t>
      </w:r>
      <w:r>
        <w:rPr>
          <w:rFonts w:ascii="Calibri" w:hAnsi="Calibri" w:eastAsia="Calibri" w:cs="Calibri"/>
          <w:i/>
          <w:iCs/>
          <w:color w:val="000000"/>
          <w:sz w:val="22"/>
          <w:szCs w:val="22"/>
        </w:rPr>
        <w:t xml:space="preserve">P. vulgaris</w:t>
      </w:r>
      <w:r>
        <w:rPr>
          <w:rFonts w:ascii="Calibri" w:hAnsi="Calibri" w:eastAsia="Calibri" w:cs="Calibri"/>
          <w:color w:val="000000"/>
          <w:sz w:val="22"/>
          <w:szCs w:val="22"/>
        </w:rPr>
        <w:t xml:space="preserve">) from near Tzitzio, Michoacán, Mexico (Urrea &amp; Harveson, 2014). In greenhouse tests,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(2007b) determined resistance in some varieties and a line of common bean against the purple variant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 high level of resistance to three variants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(yellow, orange, and purple) was observed in the light red kidney bean cultivars AC Litekid, Chinook 2000, and Redkanner as well as dark red kidney bean cultivars Cabernet and Red Hawk in Canada and could be useful in breeding programmes (Conner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Under greenhouse conditions in Brazil, Maringoni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observed resistance in a number of local, varieties and lines of common bean. A rapid method for screening of resistance against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has been described by Hsieh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bean should preferably be grown in a rotation with non-hosts and not in succession (in the rotation scheme) with barley, black oat, oilseed rape, maize, ryegrass, sunflower, wheat and white oat when the disease is prevalent (Gonçalves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2021;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Crop debris, weed hosts and volunteer plants should be carefully removed when the disease is already present.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From its existing distribution and biology, the disease seems most likely to be important in the southern part of the EPPO region where dry bean species and soybean are widely grown. A risk evaluation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for the European Union has been made by the European Food Safety Authority which concluded that the pathogen had the potential to establish, spread and have an impact on its host crops (EFSA,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is most likely to re-enter pest-free areas or spread further via infected host seeds. No records of interception of this bacterium were made in the European Union database between 2005 and 2018 (Europhyt, 2019). Past records of the disease in Spain and Germany could possibly be linked to the import of infected seeds, although the origin of these seeds was not reported (González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Sammer &amp; Reiher, 2012).</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various literature sources cited here,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can establish itself, climate-wise, in the EPPO region. Host plants are widely grown throughout the EPPO region. In 2019, dry pulses were grown on 2.17 million hectares in the European Union territory (about 2% of the total arable land), with a production of about 4.75 million tonnes. France, the United Kingdom, Poland and Spain were the largest producers in 2019 (Eurostat,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production of soybean has been recently increasing in Europe. In 2018, 10 million tonnes of soybean were produced from</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the cultivation of 4.3 million ha. The acreage of soybean has doubled over the last seven years (Donausoja, 2021). The relatively steady growth in soybean production in the European Union halted in 2019 there was a decline in the area harvested (-5.0 %) and production (-3.4 %). Nevertheless, the 2.8 million tonnes of soybean produced in the European Union in 2019 was 1.9 million tonnes more than a decade earlier (Eurostat,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caused by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has an erratic character, prevalent in some years, absent or very minor in others. Its present distribution in Europe may therefore may well be underestimated, as in many EU/EPPO region countries no systematic surveys for this bacterium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 carried out. Declarations of eradication and absence should therefore be regarded with caution.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(quarantine) measures can be implemented to reduce the risk of long-distance dissemination of the pathogen. It can be recommended that consignments of host seeds should have been produced from pest-free areas, or from pest-free places or sites of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Seed inspections of dry beans in intra- and international transport will assist in preventing the pathogen’s spread to areas with no history of the disease. However, visual inspection of imported seeds is not very reliable due to the occurrence of latent infections and therefore, when material is imported from areas where the disease is known to occur, field inspections and laboratory testing are necessary (EPPO 2011, 2021). For the European Union, measures on certification and inspections of dry bean seeds and soybean to guarantee the health status of seeds before marketing in the EU are provided by Council Directive 2002/55/EC.</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of bacterial blight can also be achieved by rapid, reliable detection and identification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(EPPO 2011) and, the use of pathogen-free/tested seeds.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standard (EPPO 2011), whose wide and systematic application is another essential way to prevent entry and spread of the pathogen</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should be used for diagnosis.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and possible importance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needs to be checked in countries or regions where it was previously reported. This would include awareness campaigns for stakeholders. Over the past forty years, disease outbreaks/introductions have been sporadic; many years may pass between outbreaks in an infected area without any noticeable symptoms being observed (Harveson, 2013;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Agarkova IV, Lambrecht PA, Vidaver AK &amp; Harveson RM (2012) Genetic diversity among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populations in the American High Plains. </w:t>
      </w:r>
      <w:r>
        <w:rPr>
          <w:rFonts w:ascii="Calibri" w:hAnsi="Calibri" w:eastAsia="Calibri" w:cs="Calibri"/>
          <w:i/>
          <w:iCs/>
          <w:color w:val="000000"/>
          <w:sz w:val="22"/>
          <w:szCs w:val="22"/>
        </w:rPr>
        <w:t xml:space="preserve">Canadian 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788–801.</w:t>
      </w:r>
    </w:p>
    <w:p>
      <w:pPr>
        <w:widowControl w:val="on"/>
        <w:pBdr/>
        <w:spacing w:before="220" w:after="220" w:line="240" w:lineRule="auto"/>
        <w:ind w:left="0" w:right="0"/>
        <w:jc w:val="left"/>
      </w:pPr>
      <w:r>
        <w:rPr>
          <w:rFonts w:ascii="Calibri" w:hAnsi="Calibri" w:eastAsia="Calibri" w:cs="Calibri"/>
          <w:color w:val="000000"/>
          <w:sz w:val="22"/>
          <w:szCs w:val="22"/>
        </w:rPr>
        <w:t xml:space="preserve">Allen DJ (1995) An annotated list of diseases of common bean in Eastern and Southern Africa. </w:t>
      </w:r>
      <w:r>
        <w:rPr>
          <w:rFonts w:ascii="Calibri" w:hAnsi="Calibri" w:eastAsia="Calibri" w:cs="Calibri"/>
          <w:i/>
          <w:iCs/>
          <w:color w:val="000000"/>
          <w:sz w:val="22"/>
          <w:szCs w:val="22"/>
        </w:rPr>
        <w:t xml:space="preserve">Phytopathological Papers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42 pp.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Bastas KK &amp; Sahin F (2017) Evaluation of seedborne bacterial pathogens on common bean cultivars grown in central Anatolia region, Turkey. European Journal of Plant Pathology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239–253.</w:t>
      </w:r>
    </w:p>
    <w:p>
      <w:pPr>
        <w:widowControl w:val="on"/>
        <w:pBdr/>
        <w:spacing w:before="220" w:after="220" w:line="240" w:lineRule="auto"/>
        <w:ind w:left="0" w:right="0"/>
        <w:jc w:val="left"/>
      </w:pPr>
      <w:r>
        <w:rPr>
          <w:rFonts w:ascii="Calibri" w:hAnsi="Calibri" w:eastAsia="Calibri" w:cs="Calibri"/>
          <w:color w:val="000000"/>
          <w:sz w:val="22"/>
          <w:szCs w:val="22"/>
        </w:rPr>
        <w:t xml:space="preserve">Bergey DH, Breed RS, Murray EGD &amp; Hitchens AP (1939) Manual of Determinative Bacteriology. Fifth Edition, London, Bailliere, Tindall &amp; Cox, 1032 pp.</w:t>
      </w:r>
    </w:p>
    <w:p>
      <w:pPr>
        <w:widowControl w:val="on"/>
        <w:pBdr/>
        <w:spacing w:before="220" w:after="220" w:line="240" w:lineRule="auto"/>
        <w:ind w:left="0" w:right="0"/>
        <w:jc w:val="left"/>
      </w:pPr>
      <w:r>
        <w:rPr>
          <w:rFonts w:ascii="Calibri" w:hAnsi="Calibri" w:eastAsia="Calibri" w:cs="Calibri"/>
          <w:color w:val="000000"/>
          <w:sz w:val="22"/>
          <w:szCs w:val="22"/>
        </w:rPr>
        <w:t xml:space="preserve">Burkholder WH (1945) The longevity of the pathogens causing the wilt of the common bean.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743–744.</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hyperlink r:id="rId8549661fce3fdc061" w:history="1">
        <w:r>
          <w:rPr>
            <w:rFonts w:ascii="Calibri" w:hAnsi="Calibri" w:eastAsia="Calibri" w:cs="Calibri"/>
            <w:color w:val="0000CC"/>
            <w:sz w:val="22"/>
            <w:szCs w:val="22"/>
            <w:u w:val="single"/>
          </w:rPr>
          <w:t xml:space="preserve">https://www.cabi.org/isc/datasheet/15333</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Calzolari A, Tomesani M &amp; Mazzucchi U (1987) Comparison of immunofluorescence staining and indirect isolation for the detection of </w:t>
      </w:r>
      <w:r>
        <w:rPr>
          <w:rFonts w:ascii="Calibri" w:hAnsi="Calibri" w:eastAsia="Calibri" w:cs="Calibri"/>
          <w:i/>
          <w:iCs/>
          <w:color w:val="000000"/>
          <w:sz w:val="22"/>
          <w:szCs w:val="22"/>
        </w:rPr>
        <w:t xml:space="preserve">Corynebacterium flaccumfaciens </w:t>
      </w:r>
      <w:r>
        <w:rPr>
          <w:rFonts w:ascii="Calibri" w:hAnsi="Calibri" w:eastAsia="Calibri" w:cs="Calibri"/>
          <w:color w:val="000000"/>
          <w:sz w:val="22"/>
          <w:szCs w:val="22"/>
        </w:rPr>
        <w:t xml:space="preserve">in bean seeds.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157-163.
</w:t>
      </w:r>
    </w:p>
    <w:p>
      <w:pPr>
        <w:widowControl w:val="on"/>
        <w:pBdr/>
        <w:spacing w:before="220" w:after="220" w:line="240" w:lineRule="auto"/>
        <w:ind w:left="0" w:right="0"/>
        <w:jc w:val="left"/>
      </w:pPr>
      <w:r>
        <w:rPr>
          <w:rFonts w:ascii="Calibri" w:hAnsi="Calibri" w:eastAsia="Calibri" w:cs="Calibri"/>
          <w:color w:val="000000"/>
          <w:sz w:val="22"/>
          <w:szCs w:val="22"/>
        </w:rPr>
        <w:t xml:space="preserve">Camara RC, Vigo SC &amp; Maringoni AC (2009) Plant to seed transmission of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in a dry bean cultivar.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549–554.</w:t>
      </w:r>
    </w:p>
    <w:p>
      <w:pPr>
        <w:widowControl w:val="on"/>
        <w:pBdr/>
        <w:spacing w:before="220" w:after="220" w:line="240" w:lineRule="auto"/>
        <w:ind w:left="0" w:right="0"/>
        <w:jc w:val="left"/>
      </w:pPr>
      <w:r>
        <w:rPr>
          <w:rFonts w:ascii="Calibri" w:hAnsi="Calibri" w:eastAsia="Calibri" w:cs="Calibri"/>
          <w:color w:val="000000"/>
          <w:sz w:val="22"/>
          <w:szCs w:val="22"/>
        </w:rPr>
        <w:t xml:space="preserve">Carlson RR &amp; Vidaver AK (1982) Taxonomy of </w:t>
      </w:r>
      <w:r>
        <w:rPr>
          <w:rFonts w:ascii="Calibri" w:hAnsi="Calibri" w:eastAsia="Calibri" w:cs="Calibri"/>
          <w:i/>
          <w:iCs/>
          <w:color w:val="000000"/>
          <w:sz w:val="22"/>
          <w:szCs w:val="22"/>
        </w:rPr>
        <w:t xml:space="preserve">Corynebacterium</w:t>
      </w:r>
      <w:r>
        <w:rPr>
          <w:rFonts w:ascii="Calibri" w:hAnsi="Calibri" w:eastAsia="Calibri" w:cs="Calibri"/>
          <w:color w:val="000000"/>
          <w:sz w:val="22"/>
          <w:szCs w:val="22"/>
        </w:rPr>
        <w:t xml:space="preserve"> plant pathogens, including a new pathogen of wheat, based on polyacrylamide gel electrophoresis of cellular proteins. International </w:t>
      </w:r>
      <w:r>
        <w:rPr>
          <w:rFonts w:ascii="Calibri" w:hAnsi="Calibri" w:eastAsia="Calibri" w:cs="Calibri"/>
          <w:i/>
          <w:iCs/>
          <w:color w:val="000000"/>
          <w:sz w:val="22"/>
          <w:szCs w:val="22"/>
        </w:rPr>
        <w:t xml:space="preserve">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315-326.</w:t>
      </w:r>
    </w:p>
    <w:p>
      <w:pPr>
        <w:widowControl w:val="on"/>
        <w:pBdr/>
        <w:spacing w:before="220" w:after="220" w:line="240" w:lineRule="auto"/>
        <w:ind w:left="0" w:right="0"/>
        <w:jc w:val="left"/>
      </w:pPr>
      <w:r>
        <w:rPr>
          <w:rFonts w:ascii="Calibri" w:hAnsi="Calibri" w:eastAsia="Calibri" w:cs="Calibri"/>
          <w:color w:val="000000"/>
          <w:sz w:val="22"/>
          <w:szCs w:val="22"/>
        </w:rPr>
        <w:t xml:space="preserve">Chavarro CA, Lopez GCA &amp; Lenne JM (1985) Characteristics and pathogenicity of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(Hedges) Dows causal agent of bacterial wilt of </w:t>
      </w:r>
      <w:r>
        <w:rPr>
          <w:rFonts w:ascii="Calibri" w:hAnsi="Calibri" w:eastAsia="Calibri" w:cs="Calibri"/>
          <w:i/>
          <w:iCs/>
          <w:color w:val="000000"/>
          <w:sz w:val="22"/>
          <w:szCs w:val="22"/>
        </w:rPr>
        <w:t xml:space="preserve">Zornia</w:t>
      </w:r>
      <w:r>
        <w:rPr>
          <w:rFonts w:ascii="Calibri" w:hAnsi="Calibri" w:eastAsia="Calibri" w:cs="Calibri"/>
          <w:color w:val="000000"/>
          <w:sz w:val="22"/>
          <w:szCs w:val="22"/>
        </w:rPr>
        <w:t xml:space="preserve"> spp. and its effect on production of </w:t>
      </w:r>
      <w:r>
        <w:rPr>
          <w:rFonts w:ascii="Calibri" w:hAnsi="Calibri" w:eastAsia="Calibri" w:cs="Calibri"/>
          <w:i/>
          <w:iCs/>
          <w:color w:val="000000"/>
          <w:sz w:val="22"/>
          <w:szCs w:val="22"/>
        </w:rPr>
        <w:t xml:space="preserve">Z. glabra</w:t>
      </w:r>
      <w:r>
        <w:rPr>
          <w:rFonts w:ascii="Calibri" w:hAnsi="Calibri" w:eastAsia="Calibri" w:cs="Calibri"/>
          <w:color w:val="000000"/>
          <w:sz w:val="22"/>
          <w:szCs w:val="22"/>
        </w:rPr>
        <w:t xml:space="preserve"> CIAT 7847 and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Agronomica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64-79.</w:t>
      </w:r>
    </w:p>
    <w:p>
      <w:pPr>
        <w:widowControl w:val="on"/>
        <w:pBdr/>
        <w:spacing w:before="220" w:after="220" w:line="240" w:lineRule="auto"/>
        <w:ind w:left="0" w:right="0"/>
        <w:jc w:val="left"/>
      </w:pPr>
      <w:r>
        <w:rPr>
          <w:rFonts w:ascii="Calibri" w:hAnsi="Calibri" w:eastAsia="Calibri" w:cs="Calibri"/>
          <w:color w:val="000000"/>
          <w:sz w:val="22"/>
          <w:szCs w:val="22"/>
        </w:rPr>
        <w:t xml:space="preserve">Chen YF, Guo JH &amp; Fang ZD (2000) A new pathovar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on malabar spinach.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,171–175.</w:t>
      </w:r>
    </w:p>
    <w:p>
      <w:pPr>
        <w:widowControl w:val="on"/>
        <w:pBdr/>
        <w:spacing w:before="220" w:after="220" w:line="240" w:lineRule="auto"/>
        <w:ind w:left="0" w:right="0"/>
        <w:jc w:val="left"/>
      </w:pPr>
      <w:r>
        <w:rPr>
          <w:rFonts w:ascii="Calibri" w:hAnsi="Calibri" w:eastAsia="Calibri" w:cs="Calibri"/>
          <w:color w:val="000000"/>
          <w:sz w:val="22"/>
          <w:szCs w:val="22"/>
        </w:rPr>
        <w:t xml:space="preserve">Chen YF, Yin YN, Zhang XM &amp; Guo JH (2007)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beticola</w:t>
      </w:r>
      <w:r>
        <w:rPr>
          <w:rFonts w:ascii="Calibri" w:hAnsi="Calibri" w:eastAsia="Calibri" w:cs="Calibri"/>
          <w:color w:val="000000"/>
          <w:sz w:val="22"/>
          <w:szCs w:val="22"/>
        </w:rPr>
        <w:t xml:space="preserve">, a new pathovar of pathogens in sugar beet.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677–684.</w:t>
      </w:r>
    </w:p>
    <w:p>
      <w:pPr>
        <w:widowControl w:val="on"/>
        <w:pBdr/>
        <w:spacing w:before="220" w:after="220" w:line="240" w:lineRule="auto"/>
        <w:ind w:left="0" w:right="0"/>
        <w:jc w:val="left"/>
      </w:pPr>
      <w:r>
        <w:rPr>
          <w:rFonts w:ascii="Calibri" w:hAnsi="Calibri" w:eastAsia="Calibri" w:cs="Calibri"/>
          <w:color w:val="000000"/>
          <w:sz w:val="22"/>
          <w:szCs w:val="22"/>
        </w:rPr>
        <w:t xml:space="preserve">Chen G, Khojasteh M, Taheri-Dehkordi A, Taghavi SM, Rahimi T &amp; Osdaghi E (2020) Complete genome sequencing provides novel insight into the virulence repertories and phylogenetic position of dry beans pathogen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268-280. </w:t>
      </w:r>
      <w:hyperlink r:id="rId5723661fce3fdc51c" w:history="1">
        <w:r>
          <w:rPr>
            <w:rFonts w:ascii="Calibri" w:hAnsi="Calibri" w:eastAsia="Calibri" w:cs="Calibri"/>
            <w:color w:val="0000CC"/>
            <w:sz w:val="22"/>
            <w:szCs w:val="22"/>
            <w:u w:val="single"/>
          </w:rPr>
          <w:t xml:space="preserve">https://doi.org/10.1094/PHYTO-06-20-0243-R</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Collins MD &amp; Jones D (1983) Reclassification of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Corynebacterium betae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Corynebacterium oortii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Corynebacterium poinsettiae</w:t>
      </w:r>
      <w:r>
        <w:rPr>
          <w:rFonts w:ascii="Calibri" w:hAnsi="Calibri" w:eastAsia="Calibri" w:cs="Calibri"/>
          <w:color w:val="000000"/>
          <w:sz w:val="22"/>
          <w:szCs w:val="22"/>
        </w:rPr>
        <w:t xml:space="preserve"> in the genus </w:t>
      </w:r>
      <w:r>
        <w:rPr>
          <w:rFonts w:ascii="Calibri" w:hAnsi="Calibri" w:eastAsia="Calibri" w:cs="Calibri"/>
          <w:i/>
          <w:iCs/>
          <w:color w:val="000000"/>
          <w:sz w:val="22"/>
          <w:szCs w:val="22"/>
        </w:rPr>
        <w:t xml:space="preserve">Curtobacterium</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3545-3548.</w:t>
      </w:r>
    </w:p>
    <w:p>
      <w:pPr>
        <w:widowControl w:val="on"/>
        <w:pBdr/>
        <w:spacing w:before="220" w:after="220" w:line="240" w:lineRule="auto"/>
        <w:ind w:left="0" w:right="0"/>
        <w:jc w:val="left"/>
      </w:pPr>
      <w:r>
        <w:rPr>
          <w:rFonts w:ascii="Calibri" w:hAnsi="Calibri" w:eastAsia="Calibri" w:cs="Calibri"/>
          <w:color w:val="000000"/>
          <w:sz w:val="22"/>
          <w:szCs w:val="22"/>
        </w:rPr>
        <w:t xml:space="preserve">Condè BD &amp; Diatloff A (1991) Diseases in mungbean. In: Imrie BC, Lawn RJ (eds.). Mungbean: The Australian Experience. </w:t>
      </w:r>
      <w:r>
        <w:rPr>
          <w:rFonts w:ascii="Calibri" w:hAnsi="Calibri" w:eastAsia="Calibri" w:cs="Calibri"/>
          <w:i/>
          <w:iCs/>
          <w:color w:val="000000"/>
          <w:sz w:val="22"/>
          <w:szCs w:val="22"/>
        </w:rPr>
        <w:t xml:space="preserve">Proceedings of the first Australian mungbean workshop. CSIRO Division of Tropical Crops and Pastures, Brisbane</w:t>
      </w:r>
      <w:r>
        <w:rPr>
          <w:rFonts w:ascii="Calibri" w:hAnsi="Calibri" w:eastAsia="Calibri" w:cs="Calibri"/>
          <w:color w:val="000000"/>
          <w:sz w:val="22"/>
          <w:szCs w:val="22"/>
        </w:rPr>
        <w:t xml:space="preserve">. pp. 73–77.</w:t>
      </w:r>
    </w:p>
    <w:p>
      <w:pPr>
        <w:widowControl w:val="on"/>
        <w:pBdr/>
        <w:spacing w:before="220" w:after="220" w:line="240" w:lineRule="auto"/>
        <w:ind w:left="0" w:right="0"/>
        <w:jc w:val="left"/>
      </w:pPr>
      <w:r>
        <w:rPr>
          <w:rFonts w:ascii="Calibri" w:hAnsi="Calibri" w:eastAsia="Calibri" w:cs="Calibri"/>
          <w:color w:val="000000"/>
          <w:sz w:val="22"/>
          <w:szCs w:val="22"/>
        </w:rPr>
        <w:t xml:space="preserve">Conner RL, Balasubramanian P, Erickson RS, Huang HC &amp; Mündel HH (2008) Bacterial wilt resistance in kidney beans.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1109–1113.</w:t>
      </w:r>
    </w:p>
    <w:p>
      <w:pPr>
        <w:widowControl w:val="on"/>
        <w:pBdr/>
        <w:spacing w:before="220" w:after="220" w:line="240" w:lineRule="auto"/>
        <w:ind w:left="0" w:right="0"/>
        <w:jc w:val="left"/>
      </w:pPr>
      <w:r>
        <w:rPr>
          <w:rFonts w:ascii="Calibri" w:hAnsi="Calibri" w:eastAsia="Calibri" w:cs="Calibri"/>
          <w:color w:val="000000"/>
          <w:sz w:val="22"/>
          <w:szCs w:val="22"/>
        </w:rPr>
        <w:t xml:space="preserve">Diatloff A, Wong WC &amp; Wood BA (1993) Non-destructive methods of detecting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mungbean seeds. </w:t>
      </w:r>
      <w:r>
        <w:rPr>
          <w:rFonts w:ascii="Calibri" w:hAnsi="Calibri" w:eastAsia="Calibri" w:cs="Calibri"/>
          <w:i/>
          <w:iCs/>
          <w:color w:val="000000"/>
          <w:sz w:val="22"/>
          <w:szCs w:val="22"/>
        </w:rPr>
        <w:t xml:space="preserve">Letters in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269–273.</w:t>
      </w:r>
    </w:p>
    <w:p>
      <w:pPr>
        <w:widowControl w:val="on"/>
        <w:pBdr/>
        <w:spacing w:before="220" w:after="220" w:line="240" w:lineRule="auto"/>
        <w:ind w:left="0" w:right="0"/>
        <w:jc w:val="left"/>
      </w:pPr>
      <w:r>
        <w:rPr>
          <w:rFonts w:ascii="Calibri" w:hAnsi="Calibri" w:eastAsia="Calibri" w:cs="Calibri"/>
          <w:color w:val="000000"/>
          <w:sz w:val="22"/>
          <w:szCs w:val="22"/>
        </w:rPr>
        <w:t xml:space="preserve">Donausoja (2021) Soya cultivation in Europe. </w:t>
      </w:r>
      <w:hyperlink r:id="rId6402661fce3fdc7f3" w:history="1">
        <w:r>
          <w:rPr>
            <w:rFonts w:ascii="Calibri" w:hAnsi="Calibri" w:eastAsia="Calibri" w:cs="Calibri"/>
            <w:color w:val="0000CC"/>
            <w:sz w:val="22"/>
            <w:szCs w:val="22"/>
            <w:u w:val="single"/>
          </w:rPr>
          <w:t xml:space="preserve">https://www.donausoja.org/fileadmin/user_upload/Downloads/Soya_cultivation_in_Europe_plus_DS_Benefits.pdf</w:t>
        </w:r>
      </w:hyperlink>
      <w:r>
        <w:rPr>
          <w:rFonts w:ascii="Calibri" w:hAnsi="Calibri" w:eastAsia="Calibri" w:cs="Calibri"/>
          <w:color w:val="000000"/>
          <w:sz w:val="22"/>
          <w:szCs w:val="22"/>
        </w:rPr>
        <w:t xml:space="preserve">. Retrieved 2021-06-11.</w:t>
      </w:r>
    </w:p>
    <w:p>
      <w:pPr>
        <w:widowControl w:val="on"/>
        <w:pBdr/>
        <w:spacing w:before="220" w:after="220" w:line="240" w:lineRule="auto"/>
        <w:ind w:left="0" w:right="0"/>
        <w:jc w:val="left"/>
      </w:pPr>
      <w:r>
        <w:rPr>
          <w:rFonts w:ascii="Calibri" w:hAnsi="Calibri" w:eastAsia="Calibri" w:cs="Calibri"/>
          <w:color w:val="000000"/>
          <w:sz w:val="22"/>
          <w:szCs w:val="22"/>
        </w:rPr>
        <w:t xml:space="preserve">Dowson WJ (1942) The generic name of the Gram-positive bacterial plant pathogens. </w:t>
      </w:r>
      <w:r>
        <w:rPr>
          <w:rFonts w:ascii="Calibri" w:hAnsi="Calibri" w:eastAsia="Calibri" w:cs="Calibri"/>
          <w:i/>
          <w:iCs/>
          <w:color w:val="000000"/>
          <w:sz w:val="22"/>
          <w:szCs w:val="22"/>
        </w:rPr>
        <w:t xml:space="preserve">Transactions of 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311-314.</w:t>
      </w:r>
    </w:p>
    <w:p>
      <w:pPr>
        <w:widowControl w:val="on"/>
        <w:pBdr/>
        <w:spacing w:before="220" w:after="220" w:line="240" w:lineRule="auto"/>
        <w:ind w:left="0" w:right="0"/>
        <w:jc w:val="left"/>
      </w:pPr>
      <w:r>
        <w:rPr>
          <w:rFonts w:ascii="Calibri" w:hAnsi="Calibri" w:eastAsia="Calibri" w:cs="Calibri"/>
          <w:color w:val="000000"/>
          <w:sz w:val="22"/>
          <w:szCs w:val="22"/>
        </w:rPr>
        <w:t xml:space="preserve">Dunleavy JM (1983) Bacterial tan spot, a new foliar disease of soybeans.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473–476.</w:t>
      </w:r>
    </w:p>
    <w:p>
      <w:pPr>
        <w:widowControl w:val="on"/>
        <w:pBdr/>
        <w:spacing w:before="220" w:after="220" w:line="240" w:lineRule="auto"/>
        <w:ind w:left="0" w:right="0"/>
        <w:jc w:val="left"/>
      </w:pPr>
      <w:r>
        <w:rPr>
          <w:rFonts w:ascii="Calibri" w:hAnsi="Calibri" w:eastAsia="Calibri" w:cs="Calibri"/>
          <w:color w:val="000000"/>
          <w:sz w:val="22"/>
          <w:szCs w:val="22"/>
        </w:rPr>
        <w:t xml:space="preserve">Dunleavy JM (1984) Yield losses in soybeans caused by bacterial tan spot.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774-776.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(M.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Pest categorisation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2018,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5299, 22 pp. </w:t>
      </w:r>
      <w:hyperlink r:id="rId4044661fce3fdca3e" w:history="1">
        <w:r>
          <w:rPr>
            <w:rFonts w:ascii="Calibri" w:hAnsi="Calibri" w:eastAsia="Calibri" w:cs="Calibri"/>
            <w:color w:val="0000CC"/>
            <w:sz w:val="22"/>
            <w:szCs w:val="22"/>
            <w:u w:val="single"/>
          </w:rPr>
          <w:t xml:space="preserve">https://doi.org/10.2903/j.efsa.2018.5299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Accessed May 2018. Available online: </w:t>
      </w:r>
      <w:hyperlink r:id="rId3860661fce3fdca76"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Retrieved June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(2010) PM 7 ⁄ 100 Rep-PCR tests for identification of bacteria.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365–368.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PM 7/102(1) </w:t>
      </w:r>
      <w:r>
        <w:rPr>
          <w:rFonts w:ascii="Calibri" w:hAnsi="Calibri" w:eastAsia="Calibri" w:cs="Calibri"/>
          <w:i/>
          <w:iCs/>
          <w:color w:val="000000"/>
          <w:sz w:val="22"/>
          <w:szCs w:val="22"/>
        </w:rPr>
        <w:t xml:space="preserve">Curtobacterium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320-328 (see also corrigendum to this Standard published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(2021) 51 (1), 234).</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(2019) Europhyt-interceptions, European Union notification system for plant health interceptions Annual Report 2018. DG(SANTE) 2019-6845,55 pp.</w:t>
      </w:r>
    </w:p>
    <w:p>
      <w:pPr>
        <w:widowControl w:val="on"/>
        <w:pBdr/>
        <w:spacing w:before="220" w:after="220" w:line="240" w:lineRule="auto"/>
        <w:ind w:left="0" w:right="0"/>
        <w:jc w:val="left"/>
      </w:pPr>
      <w:r>
        <w:rPr>
          <w:rFonts w:ascii="Calibri" w:hAnsi="Calibri" w:eastAsia="Calibri" w:cs="Calibri"/>
          <w:color w:val="000000"/>
          <w:sz w:val="22"/>
          <w:szCs w:val="22"/>
        </w:rPr>
        <w:t xml:space="preserve">Estefani RCC, Miranda Filho RJ &amp; Uesugi CH (2007) [Thermal and chemical treatments of common bean seeds: efficiency in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eradication and effects on the physiological quality of seeds].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434-438 (in Portuguese). </w:t>
      </w:r>
      <w:hyperlink r:id="rId7268661fce3fdcd69" w:history="1">
        <w:r>
          <w:rPr>
            <w:rFonts w:ascii="Calibri" w:hAnsi="Calibri" w:eastAsia="Calibri" w:cs="Calibri"/>
            <w:color w:val="0000CC"/>
            <w:sz w:val="22"/>
            <w:szCs w:val="22"/>
            <w:u w:val="single"/>
          </w:rPr>
          <w:t xml:space="preserve">https://doi.org/10.1590/S0100-41582007000500011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Eurostat (2021) </w:t>
      </w:r>
      <w:hyperlink r:id="rId7871661fce3fdcda2" w:history="1">
        <w:r>
          <w:rPr>
            <w:rFonts w:ascii="Calibri" w:hAnsi="Calibri" w:eastAsia="Calibri" w:cs="Calibri"/>
            <w:color w:val="0000CC"/>
            <w:sz w:val="22"/>
            <w:szCs w:val="22"/>
            <w:u w:val="single"/>
          </w:rPr>
          <w:t xml:space="preserve">https://ec.europa.eu/eurostat/web/products-datasets/-/tag00094</w:t>
        </w:r>
      </w:hyperlink>
      <w:r>
        <w:rPr>
          <w:rFonts w:ascii="Calibri" w:hAnsi="Calibri" w:eastAsia="Calibri" w:cs="Calibri"/>
          <w:color w:val="000000"/>
          <w:sz w:val="22"/>
          <w:szCs w:val="22"/>
        </w:rPr>
        <w:t xml:space="preserve">. Retrieved 2021-06-11.</w:t>
      </w:r>
    </w:p>
    <w:p>
      <w:pPr>
        <w:widowControl w:val="on"/>
        <w:pBdr/>
        <w:spacing w:before="220" w:after="220" w:line="240" w:lineRule="auto"/>
        <w:ind w:left="0" w:right="0"/>
        <w:jc w:val="left"/>
      </w:pPr>
      <w:r>
        <w:rPr>
          <w:rFonts w:ascii="Calibri" w:hAnsi="Calibri" w:eastAsia="Calibri" w:cs="Calibri"/>
          <w:color w:val="000000"/>
          <w:sz w:val="22"/>
          <w:szCs w:val="22"/>
        </w:rPr>
        <w:t xml:space="preserve">Gonçalves RM, Schipanski CA, Koguishi L, Soman JM, Sakate RK, Silva Junior TAF &amp; Maringoni AC (2017) Alternative hosts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causal agent of bean bacterial wilt.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357–365.</w:t>
      </w:r>
    </w:p>
    <w:p>
      <w:pPr>
        <w:widowControl w:val="on"/>
        <w:pBdr/>
        <w:spacing w:before="220" w:after="220" w:line="240" w:lineRule="auto"/>
        <w:ind w:left="0" w:right="0"/>
        <w:jc w:val="left"/>
      </w:pPr>
      <w:r>
        <w:rPr>
          <w:rFonts w:ascii="Calibri" w:hAnsi="Calibri" w:eastAsia="Calibri" w:cs="Calibri"/>
          <w:color w:val="000000"/>
          <w:sz w:val="22"/>
          <w:szCs w:val="22"/>
        </w:rPr>
        <w:t xml:space="preserve">Gon</w:t>
      </w:r>
      <w:r>
        <w:rPr>
          <w:rFonts w:ascii="Calibri" w:hAnsi="Calibri" w:eastAsia="Calibri" w:cs="Calibri"/>
          <w:color w:val="000000"/>
          <w:sz w:val="22"/>
          <w:szCs w:val="22"/>
        </w:rPr>
        <w:t xml:space="preserve">ç</w:t>
      </w:r>
      <w:r>
        <w:rPr>
          <w:rFonts w:ascii="Calibri" w:hAnsi="Calibri" w:eastAsia="Calibri" w:cs="Calibri"/>
          <w:color w:val="000000"/>
          <w:sz w:val="22"/>
          <w:szCs w:val="22"/>
        </w:rPr>
        <w:t xml:space="preserve">alves RM, Balbi-Peña MI, Soman JM, Maringoni AC, Taghouti G, Fischer-le Saux M &amp; Portier P (2019) Genetic diversity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revealed by multilocus sequence analysis</w:t>
      </w:r>
      <w:r>
        <w:rPr>
          <w:rFonts w:ascii="Calibri" w:hAnsi="Calibri" w:eastAsia="Calibri" w:cs="Calibri"/>
          <w:i/>
          <w:iCs/>
          <w:color w:val="000000"/>
          <w:sz w:val="22"/>
          <w:szCs w:val="22"/>
        </w:rPr>
        <w:t xml:space="preserve">. 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154 </w:t>
      </w:r>
      <w:r>
        <w:rPr>
          <w:rFonts w:ascii="Calibri" w:hAnsi="Calibri" w:eastAsia="Calibri" w:cs="Calibri"/>
          <w:color w:val="000000"/>
          <w:sz w:val="22"/>
          <w:szCs w:val="22"/>
        </w:rPr>
        <w:t xml:space="preserve">189-202. </w:t>
      </w:r>
      <w:hyperlink r:id="rId3426661fce3fdcf1c" w:history="1">
        <w:r>
          <w:rPr>
            <w:rFonts w:ascii="Calibri" w:hAnsi="Calibri" w:eastAsia="Calibri" w:cs="Calibri"/>
            <w:color w:val="0000CC"/>
            <w:sz w:val="22"/>
            <w:szCs w:val="22"/>
            <w:u w:val="single"/>
          </w:rPr>
          <w:t xml:space="preserve">https://doi.org/10.1007/s10658-018-01648-0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Gonçalves RM, da Silva Júnior TAF, Soman JM &amp; Maringoni AC (2021) Effect of crop rotation on common bean cultivars against bacterial wilt caused by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159, </w:t>
      </w:r>
      <w:r>
        <w:rPr>
          <w:rFonts w:ascii="Calibri" w:hAnsi="Calibri" w:eastAsia="Calibri" w:cs="Calibri"/>
          <w:color w:val="000000"/>
          <w:sz w:val="22"/>
          <w:szCs w:val="22"/>
        </w:rPr>
        <w:t xml:space="preserve">485–493. </w:t>
      </w:r>
      <w:hyperlink r:id="rId8772661fce3fdcfde" w:history="1">
        <w:r>
          <w:rPr>
            <w:rFonts w:ascii="Calibri" w:hAnsi="Calibri" w:eastAsia="Calibri" w:cs="Calibri"/>
            <w:color w:val="0000CC"/>
            <w:sz w:val="22"/>
            <w:szCs w:val="22"/>
            <w:u w:val="single"/>
          </w:rPr>
          <w:t xml:space="preserve">https://doi.org/10.1007/s10658-020-02176-6</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Gonz</w:t>
      </w:r>
      <w:r>
        <w:rPr>
          <w:rFonts w:ascii="Calibri" w:hAnsi="Calibri" w:eastAsia="Calibri" w:cs="Calibri"/>
          <w:color w:val="000000"/>
          <w:sz w:val="22"/>
          <w:szCs w:val="22"/>
        </w:rPr>
        <w:t xml:space="preserve">á</w:t>
      </w:r>
      <w:r>
        <w:rPr>
          <w:rFonts w:ascii="Calibri" w:hAnsi="Calibri" w:eastAsia="Calibri" w:cs="Calibri"/>
          <w:color w:val="000000"/>
          <w:sz w:val="22"/>
          <w:szCs w:val="22"/>
        </w:rPr>
        <w:t xml:space="preserve">lez AJ, Tello JC &amp; Rodicio MR (2005) Bacterial wilt of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in south-eastern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1361.
</w:t>
      </w:r>
    </w:p>
    <w:p>
      <w:pPr>
        <w:widowControl w:val="on"/>
        <w:pBdr/>
        <w:spacing w:before="220" w:after="220" w:line="240" w:lineRule="auto"/>
        <w:ind w:left="0" w:right="0"/>
        <w:jc w:val="left"/>
      </w:pPr>
      <w:r>
        <w:rPr>
          <w:rFonts w:ascii="Calibri" w:hAnsi="Calibri" w:eastAsia="Calibri" w:cs="Calibri"/>
          <w:color w:val="000000"/>
          <w:sz w:val="22"/>
          <w:szCs w:val="22"/>
        </w:rPr>
        <w:t xml:space="preserve">Guimaraēs</w:t>
      </w:r>
      <w:r>
        <w:rPr>
          <w:rFonts w:ascii="Calibri" w:hAnsi="Calibri" w:eastAsia="Calibri" w:cs="Calibri"/>
          <w:color w:val="000000"/>
          <w:sz w:val="22"/>
          <w:szCs w:val="22"/>
        </w:rPr>
        <w:t xml:space="preserve"> PM, Palmano S, Smith JJ, Grossi de Sá MF &amp; Saddler MF (2001) Development of a PCR test for the detection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1–10. </w:t>
      </w:r>
      <w:hyperlink r:id="rId1174661fce3fdd172" w:history="1">
        <w:r>
          <w:rPr>
            <w:rFonts w:ascii="Calibri" w:hAnsi="Calibri" w:eastAsia="Calibri" w:cs="Calibri"/>
            <w:color w:val="0000CC"/>
            <w:sz w:val="22"/>
            <w:szCs w:val="22"/>
            <w:u w:val="single"/>
          </w:rPr>
          <w:t xml:space="preserve">https://doi.org/10.1023/A:1012077425747</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(2013) The multicolored bacterium. In: </w:t>
      </w:r>
      <w:r>
        <w:rPr>
          <w:rFonts w:ascii="Calibri" w:hAnsi="Calibri" w:eastAsia="Calibri" w:cs="Calibri"/>
          <w:i/>
          <w:iCs/>
          <w:color w:val="000000"/>
          <w:sz w:val="22"/>
          <w:szCs w:val="22"/>
        </w:rPr>
        <w:t xml:space="preserve">APS Features. </w:t>
      </w:r>
      <w:hyperlink r:id="rId4797661fce3fdd1cb" w:history="1">
        <w:r>
          <w:rPr>
            <w:rFonts w:ascii="Calibri" w:hAnsi="Calibri" w:eastAsia="Calibri" w:cs="Calibri"/>
            <w:color w:val="0000CC"/>
            <w:sz w:val="22"/>
            <w:szCs w:val="22"/>
            <w:u w:val="single"/>
          </w:rPr>
          <w:t xml:space="preserve">https://www.apsnet.org/edcenter/apsnetfeatures/Pages/bacterium.aspx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(2019) Managing dry bean bacterial diseases in Nebraska with new copper-alternative chemicals.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,14–19.</w:t>
      </w:r>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Schwartz HF, Vidaver AK, Lambrecht PA &amp; Otto KL (2006) New outbreaks of bacterial wilt of dry bean in western Nebraska observed from field infections.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81.</w:t>
      </w:r>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Schwartz HF, Urrea CA &amp; Yonts CD (2015) Bacterial wilt of dry-edible beans in the central high plains of the U.S.: past, present, and future.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1665–1677.</w:t>
      </w:r>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&amp; Vidaver AK (2008) A new color variant of the dry bean bacterial wilt pathogen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found in western Nebraska. Plant Health Progress. Published online: </w:t>
      </w:r>
      <w:hyperlink r:id="rId2855661fce3fdd382" w:history="1">
        <w:r>
          <w:rPr>
            <w:rFonts w:ascii="Calibri" w:hAnsi="Calibri" w:eastAsia="Calibri" w:cs="Calibri"/>
            <w:color w:val="0000CC"/>
            <w:sz w:val="22"/>
            <w:szCs w:val="22"/>
            <w:u w:val="single"/>
          </w:rPr>
          <w:t xml:space="preserve">https://doi.org/10.1094/php-2008-0815-01-br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Hedges F (1922) A bacterial wilt of bean caused by </w:t>
      </w:r>
      <w:r>
        <w:rPr>
          <w:rFonts w:ascii="Calibri" w:hAnsi="Calibri" w:eastAsia="Calibri" w:cs="Calibri"/>
          <w:i/>
          <w:iCs/>
          <w:color w:val="000000"/>
          <w:sz w:val="22"/>
          <w:szCs w:val="22"/>
        </w:rPr>
        <w:t xml:space="preserve">Bacterium flaccumfaciens</w:t>
      </w:r>
      <w:r>
        <w:rPr>
          <w:rFonts w:ascii="Calibri" w:hAnsi="Calibri" w:eastAsia="Calibri" w:cs="Calibri"/>
          <w:color w:val="000000"/>
          <w:sz w:val="22"/>
          <w:szCs w:val="22"/>
        </w:rPr>
        <w:t xml:space="preserve"> nov. sp.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433-434.</w:t>
      </w:r>
    </w:p>
    <w:p>
      <w:pPr>
        <w:widowControl w:val="on"/>
        <w:pBdr/>
        <w:spacing w:before="220" w:after="220" w:line="240" w:lineRule="auto"/>
        <w:ind w:left="0" w:right="0"/>
        <w:jc w:val="left"/>
      </w:pPr>
      <w:r>
        <w:rPr>
          <w:rFonts w:ascii="Calibri" w:hAnsi="Calibri" w:eastAsia="Calibri" w:cs="Calibri"/>
          <w:color w:val="000000"/>
          <w:sz w:val="22"/>
          <w:szCs w:val="22"/>
        </w:rPr>
        <w:t xml:space="preserve">Hedges F (1926) Bacterial wilt of beans (</w:t>
      </w:r>
      <w:r>
        <w:rPr>
          <w:rFonts w:ascii="Calibri" w:hAnsi="Calibri" w:eastAsia="Calibri" w:cs="Calibri"/>
          <w:i/>
          <w:iCs/>
          <w:color w:val="000000"/>
          <w:sz w:val="22"/>
          <w:szCs w:val="22"/>
        </w:rPr>
        <w:t xml:space="preserve">Bacterium flaccumfaciens </w:t>
      </w:r>
      <w:r>
        <w:rPr>
          <w:rFonts w:ascii="Calibri" w:hAnsi="Calibri" w:eastAsia="Calibri" w:cs="Calibri"/>
          <w:color w:val="000000"/>
          <w:sz w:val="22"/>
          <w:szCs w:val="22"/>
        </w:rPr>
        <w:t xml:space="preserve">Hedges), including comparisons with </w:t>
      </w:r>
      <w:r>
        <w:rPr>
          <w:rFonts w:ascii="Calibri" w:hAnsi="Calibri" w:eastAsia="Calibri" w:cs="Calibri"/>
          <w:i/>
          <w:iCs/>
          <w:color w:val="000000"/>
          <w:sz w:val="22"/>
          <w:szCs w:val="22"/>
        </w:rPr>
        <w:t xml:space="preserve">Bacterium 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1-22.</w:t>
      </w:r>
    </w:p>
    <w:p>
      <w:pPr>
        <w:widowControl w:val="on"/>
        <w:pBdr/>
        <w:spacing w:before="220" w:after="220" w:line="240" w:lineRule="auto"/>
        <w:ind w:left="0" w:right="0"/>
        <w:jc w:val="left"/>
      </w:pPr>
      <w:r>
        <w:rPr>
          <w:rFonts w:ascii="Calibri" w:hAnsi="Calibri" w:eastAsia="Calibri" w:cs="Calibri"/>
          <w:color w:val="000000"/>
          <w:sz w:val="22"/>
          <w:szCs w:val="22"/>
        </w:rPr>
        <w:t xml:space="preserve">Hsieh TF, Huang HC, Mündel HH &amp; Erickson SR (2003) A rapid indoor technique for screening common bean (</w:t>
      </w:r>
      <w:r>
        <w:rPr>
          <w:rFonts w:ascii="Calibri" w:hAnsi="Calibri" w:eastAsia="Calibri" w:cs="Calibri"/>
          <w:i/>
          <w:iCs/>
          <w:color w:val="000000"/>
          <w:sz w:val="22"/>
          <w:szCs w:val="22"/>
        </w:rPr>
        <w:t xml:space="preserve">Phaseolus vulgaris </w:t>
      </w:r>
      <w:r>
        <w:rPr>
          <w:rFonts w:ascii="Calibri" w:hAnsi="Calibri" w:eastAsia="Calibri" w:cs="Calibri"/>
          <w:color w:val="000000"/>
          <w:sz w:val="22"/>
          <w:szCs w:val="22"/>
        </w:rPr>
        <w:t xml:space="preserve">L.) for resistance to bacterial wilt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(Hedges) Collins and Jones]. </w:t>
      </w:r>
      <w:r>
        <w:rPr>
          <w:rFonts w:ascii="Calibri" w:hAnsi="Calibri" w:eastAsia="Calibri" w:cs="Calibri"/>
          <w:i/>
          <w:iCs/>
          <w:color w:val="000000"/>
          <w:sz w:val="22"/>
          <w:szCs w:val="22"/>
        </w:rPr>
        <w:t xml:space="preserve">Revista Mexicana de Fitopatología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370–374.</w:t>
      </w:r>
    </w:p>
    <w:p>
      <w:pPr>
        <w:widowControl w:val="on"/>
        <w:pBdr/>
        <w:spacing w:before="220" w:after="220" w:line="240" w:lineRule="auto"/>
        <w:ind w:left="0" w:right="0"/>
        <w:jc w:val="left"/>
      </w:pPr>
      <w:r>
        <w:rPr>
          <w:rFonts w:ascii="Calibri" w:hAnsi="Calibri" w:eastAsia="Calibri" w:cs="Calibri"/>
          <w:color w:val="000000"/>
          <w:sz w:val="22"/>
          <w:szCs w:val="22"/>
        </w:rPr>
        <w:t xml:space="preserve">Hsieh TF, Huang HC, &amp; Erickson RS (2005) Biological control of bacterial wilt of bean using a bacterial endophyte, </w:t>
      </w:r>
      <w:r>
        <w:rPr>
          <w:rFonts w:ascii="Calibri" w:hAnsi="Calibri" w:eastAsia="Calibri" w:cs="Calibri"/>
          <w:i/>
          <w:iCs/>
          <w:color w:val="000000"/>
          <w:sz w:val="22"/>
          <w:szCs w:val="22"/>
        </w:rPr>
        <w:t xml:space="preserve">Pantoea agglomerans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608–614.</w:t>
      </w:r>
    </w:p>
    <w:p>
      <w:pPr>
        <w:widowControl w:val="on"/>
        <w:pBdr/>
        <w:spacing w:before="220" w:after="220" w:line="240" w:lineRule="auto"/>
        <w:ind w:left="0" w:right="0"/>
        <w:jc w:val="left"/>
      </w:pPr>
      <w:r>
        <w:rPr>
          <w:rFonts w:ascii="Calibri" w:hAnsi="Calibri" w:eastAsia="Calibri" w:cs="Calibri"/>
          <w:color w:val="000000"/>
          <w:sz w:val="22"/>
          <w:szCs w:val="22"/>
        </w:rPr>
        <w:t xml:space="preserve">Hsieh TF, Huang HC &amp; Erickson RS (2006) Bacterial wilt of common bean: effect of seedborne inoculum on disease incidence and seedling vigour. </w:t>
      </w:r>
      <w:r>
        <w:rPr>
          <w:rFonts w:ascii="Calibri" w:hAnsi="Calibri" w:eastAsia="Calibri" w:cs="Calibri"/>
          <w:i/>
          <w:iCs/>
          <w:color w:val="000000"/>
          <w:sz w:val="22"/>
          <w:szCs w:val="22"/>
        </w:rPr>
        <w:t xml:space="preserve">Seed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57-67.</w:t>
      </w:r>
    </w:p>
    <w:p>
      <w:pPr>
        <w:widowControl w:val="on"/>
        <w:pBdr/>
        <w:spacing w:before="220" w:after="220" w:line="240" w:lineRule="auto"/>
        <w:ind w:left="0" w:right="0"/>
        <w:jc w:val="left"/>
      </w:pPr>
      <w:r>
        <w:rPr>
          <w:rFonts w:ascii="Calibri" w:hAnsi="Calibri" w:eastAsia="Calibri" w:cs="Calibri"/>
          <w:color w:val="000000"/>
          <w:sz w:val="22"/>
          <w:szCs w:val="22"/>
        </w:rPr>
        <w:t xml:space="preserve">Huang HC, Erickson RS, Yanke LJ, Chelle CD &amp; Mündel HH (2006) First report of the purple variant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causal agent of bacterial wilt of bean, in Canada.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1262.</w:t>
      </w:r>
    </w:p>
    <w:p>
      <w:pPr>
        <w:widowControl w:val="on"/>
        <w:pBdr/>
        <w:spacing w:before="220" w:after="220" w:line="240" w:lineRule="auto"/>
        <w:ind w:left="0" w:right="0"/>
        <w:jc w:val="left"/>
      </w:pPr>
      <w:r>
        <w:rPr>
          <w:rFonts w:ascii="Calibri" w:hAnsi="Calibri" w:eastAsia="Calibri" w:cs="Calibri"/>
          <w:color w:val="000000"/>
          <w:sz w:val="22"/>
          <w:szCs w:val="22"/>
        </w:rPr>
        <w:t xml:space="preserve">Huang HC, Erickson RS &amp; Hsieh TF (2007a) Control of bacterial wilt of bean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by seed treatment with </w:t>
      </w:r>
      <w:r>
        <w:rPr>
          <w:rFonts w:ascii="Calibri" w:hAnsi="Calibri" w:eastAsia="Calibri" w:cs="Calibri"/>
          <w:i/>
          <w:iCs/>
          <w:color w:val="000000"/>
          <w:sz w:val="22"/>
          <w:szCs w:val="22"/>
        </w:rPr>
        <w:t xml:space="preserve">Rhizobium leguminosarum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1055–1061.</w:t>
      </w:r>
    </w:p>
    <w:p>
      <w:pPr>
        <w:widowControl w:val="on"/>
        <w:pBdr/>
        <w:spacing w:before="220" w:after="220" w:line="240" w:lineRule="auto"/>
        <w:ind w:left="0" w:right="0"/>
        <w:jc w:val="left"/>
      </w:pPr>
      <w:r>
        <w:rPr>
          <w:rFonts w:ascii="Calibri" w:hAnsi="Calibri" w:eastAsia="Calibri" w:cs="Calibri"/>
          <w:color w:val="000000"/>
          <w:sz w:val="22"/>
          <w:szCs w:val="22"/>
        </w:rPr>
        <w:t xml:space="preserve">Huang HC, Mündel HH, Erickson RS, Chelle CD, Balasubramanian PM, Kiehn F &amp; Conner RL (2007b) Resistance of common bean (</w:t>
      </w:r>
      <w:r>
        <w:rPr>
          <w:rFonts w:ascii="Calibri" w:hAnsi="Calibri" w:eastAsia="Calibri" w:cs="Calibri"/>
          <w:i/>
          <w:iCs/>
          <w:color w:val="000000"/>
          <w:sz w:val="22"/>
          <w:szCs w:val="22"/>
        </w:rPr>
        <w:t xml:space="preserve">Phaseolus vulgaris </w:t>
      </w:r>
      <w:r>
        <w:rPr>
          <w:rFonts w:ascii="Calibri" w:hAnsi="Calibri" w:eastAsia="Calibri" w:cs="Calibri"/>
          <w:color w:val="000000"/>
          <w:sz w:val="22"/>
          <w:szCs w:val="22"/>
        </w:rPr>
        <w:t xml:space="preserve">L.) cultivars and germplasm lines to the purple variant of bacterial wilt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91–95.</w:t>
      </w:r>
    </w:p>
    <w:p>
      <w:pPr>
        <w:widowControl w:val="on"/>
        <w:pBdr/>
        <w:spacing w:before="220" w:after="220" w:line="240" w:lineRule="auto"/>
        <w:ind w:left="0" w:right="0"/>
        <w:jc w:val="left"/>
      </w:pPr>
      <w:r>
        <w:rPr>
          <w:rFonts w:ascii="Calibri" w:hAnsi="Calibri" w:eastAsia="Calibri" w:cs="Calibri"/>
          <w:color w:val="000000"/>
          <w:sz w:val="22"/>
          <w:szCs w:val="22"/>
        </w:rPr>
        <w:t xml:space="preserve">Huang HC, Erickson RS, Balasubramanian PM, Hsieh TF &amp; Conner RL (2009) Resurgence of bacterial wilt of common bean in North America.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290–300.</w:t>
      </w:r>
    </w:p>
    <w:p>
      <w:pPr>
        <w:widowControl w:val="on"/>
        <w:pBdr/>
        <w:spacing w:before="220" w:after="220" w:line="240" w:lineRule="auto"/>
        <w:ind w:left="0" w:right="0"/>
        <w:jc w:val="left"/>
      </w:pPr>
      <w:r>
        <w:rPr>
          <w:rFonts w:ascii="Calibri" w:hAnsi="Calibri" w:eastAsia="Calibri" w:cs="Calibri"/>
          <w:color w:val="000000"/>
          <w:sz w:val="22"/>
          <w:szCs w:val="22"/>
        </w:rPr>
        <w:t xml:space="preserve">Ishimaru C, Mohan SK &amp; Franc GD (2005) Bacterial wilt. In: Schwartz, H.F., Steadman, J.R., Hall, R. and Forster, R.L. (Eds.). Compendium of Bean Diseases, 2nd edition. St. Paul, MN: American Phytopathological Society, pp. 50–52.</w:t>
      </w:r>
    </w:p>
    <w:p>
      <w:pPr>
        <w:widowControl w:val="on"/>
        <w:pBdr/>
        <w:spacing w:before="220" w:after="220" w:line="240" w:lineRule="auto"/>
        <w:ind w:left="0" w:right="0"/>
        <w:jc w:val="left"/>
      </w:pPr>
      <w:r>
        <w:rPr>
          <w:rFonts w:ascii="Calibri" w:hAnsi="Calibri" w:eastAsia="Calibri" w:cs="Calibri"/>
          <w:color w:val="000000"/>
          <w:sz w:val="22"/>
          <w:szCs w:val="22"/>
        </w:rPr>
        <w:t xml:space="preserve">Martins SJ, Medeiros FHV, Souza RM &amp; Vilela LAF (2014) Is curtobacterium wilt biocontrol temperature dependent? </w:t>
      </w:r>
      <w:r>
        <w:rPr>
          <w:rFonts w:ascii="Calibri" w:hAnsi="Calibri" w:eastAsia="Calibri" w:cs="Calibri"/>
          <w:i/>
          <w:iCs/>
          <w:color w:val="000000"/>
          <w:sz w:val="22"/>
          <w:szCs w:val="22"/>
        </w:rPr>
        <w:t xml:space="preserve">Acta Scientiarum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Agronomy, Maringá</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409–415.</w:t>
      </w:r>
    </w:p>
    <w:p>
      <w:pPr>
        <w:widowControl w:val="on"/>
        <w:pBdr/>
        <w:spacing w:before="220" w:after="220" w:line="240" w:lineRule="auto"/>
        <w:ind w:left="0" w:right="0"/>
        <w:jc w:val="left"/>
      </w:pPr>
      <w:r>
        <w:rPr>
          <w:rFonts w:ascii="Calibri" w:hAnsi="Calibri" w:eastAsia="Calibri" w:cs="Calibri"/>
          <w:color w:val="000000"/>
          <w:sz w:val="22"/>
          <w:szCs w:val="22"/>
        </w:rPr>
        <w:t xml:space="preserve">Maringoni AC &amp; Camara RC (2006)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detection in bean seeds using a semi-selective culture medium. </w:t>
      </w:r>
      <w:r>
        <w:rPr>
          <w:rFonts w:ascii="Calibri" w:hAnsi="Calibri" w:eastAsia="Calibri" w:cs="Calibri"/>
          <w:i/>
          <w:iCs/>
          <w:color w:val="000000"/>
          <w:sz w:val="22"/>
          <w:szCs w:val="22"/>
        </w:rPr>
        <w:t xml:space="preserve">Brazilian 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451–455.</w:t>
      </w:r>
    </w:p>
    <w:p>
      <w:pPr>
        <w:widowControl w:val="on"/>
        <w:pBdr/>
        <w:spacing w:before="220" w:after="220" w:line="240" w:lineRule="auto"/>
        <w:ind w:left="0" w:right="0"/>
        <w:jc w:val="left"/>
      </w:pPr>
      <w:r>
        <w:rPr>
          <w:rFonts w:ascii="Calibri" w:hAnsi="Calibri" w:eastAsia="Calibri" w:cs="Calibri"/>
          <w:color w:val="000000"/>
          <w:sz w:val="22"/>
          <w:szCs w:val="22"/>
        </w:rPr>
        <w:t xml:space="preserve">Maringoni AC, Ishiszuka MS, da Silva AP, Soman JM, Moura MF, dos Santos RL, da Silva Júnior TAF, Chiorato AF, Carbonell SAM &amp; Fonseca Júnior NS (2015) Reaction and colonization of common bean genotypes by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Breeding and Applied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87–93.</w:t>
      </w:r>
    </w:p>
    <w:p>
      <w:pPr>
        <w:widowControl w:val="on"/>
        <w:pBdr/>
        <w:spacing w:before="220" w:after="220" w:line="240" w:lineRule="auto"/>
        <w:ind w:left="0" w:right="0"/>
        <w:jc w:val="left"/>
      </w:pPr>
      <w:r>
        <w:rPr>
          <w:rFonts w:ascii="Calibri" w:hAnsi="Calibri" w:eastAsia="Calibri" w:cs="Calibri"/>
          <w:color w:val="000000"/>
          <w:sz w:val="22"/>
          <w:szCs w:val="22"/>
        </w:rPr>
        <w:t xml:space="preserve">McDonald JG &amp; Wong E (2000) High diversity in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characterized by serology and rep-PCR genomic fingerprinting.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17–22.</w:t>
      </w:r>
    </w:p>
    <w:p>
      <w:pPr>
        <w:widowControl w:val="on"/>
        <w:pBdr/>
        <w:spacing w:before="220" w:after="220" w:line="240" w:lineRule="auto"/>
        <w:ind w:left="0" w:right="0"/>
        <w:jc w:val="left"/>
      </w:pPr>
      <w:r>
        <w:rPr>
          <w:rFonts w:ascii="Calibri" w:hAnsi="Calibri" w:eastAsia="Calibri" w:cs="Calibri"/>
          <w:color w:val="000000"/>
          <w:sz w:val="22"/>
          <w:szCs w:val="22"/>
        </w:rPr>
        <w:t xml:space="preserve">Mizuno A &amp; Kawai A (1993) Studies on the diagnosis of foreign bacterial diseases of quarantine significance, VI: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27–36.</w:t>
      </w:r>
    </w:p>
    <w:p>
      <w:pPr>
        <w:widowControl w:val="on"/>
        <w:pBdr/>
        <w:spacing w:before="220" w:after="220" w:line="240" w:lineRule="auto"/>
        <w:ind w:left="0" w:right="0"/>
        <w:jc w:val="left"/>
      </w:pPr>
      <w:r>
        <w:rPr>
          <w:rFonts w:ascii="Calibri" w:hAnsi="Calibri" w:eastAsia="Calibri" w:cs="Calibri"/>
          <w:color w:val="000000"/>
          <w:sz w:val="22"/>
          <w:szCs w:val="22"/>
        </w:rPr>
        <w:t xml:space="preserve">Nascimento DM, Oliveira LR, Melo LL, Silva JC, Soman JM, Ribeiro-Junior MR, Sartori MMP, Silva Júnior TAF &amp; Maringoni AC (2020) Survival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the phyllosphere and rhizosphere of crops.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1</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161–172. </w:t>
      </w:r>
      <w:hyperlink r:id="rId8760661fce3fddd85" w:history="1">
        <w:r>
          <w:rPr>
            <w:rFonts w:ascii="Calibri" w:hAnsi="Calibri" w:eastAsia="Calibri" w:cs="Calibri"/>
            <w:color w:val="0000CC"/>
            <w:sz w:val="22"/>
            <w:szCs w:val="22"/>
            <w:u w:val="single"/>
          </w:rPr>
          <w:t xml:space="preserve">https://doi.org/10.1007/s10658-021-02232-9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O'Leary M &amp; Gilbertson R (2020) Complete genome sequence resource of a strain of Curtobacterium flaccumfaciens pv. flaccumfaciens, the causal agent of bacterial wilt of common bean, from Turkey.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doi: 10.1094/PHYTO-04-20-0131-A.</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Sardrood PB, Bavi M, Akbari Oghaz N, Kimiaei S &amp; Hadian S (2015a) First report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causing cowpea bacterial wilt in Iran.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653–656. </w:t>
      </w:r>
      <w:hyperlink r:id="rId4144661fce3fdde8f" w:history="1">
        <w:r>
          <w:rPr>
            <w:rFonts w:ascii="Calibri" w:hAnsi="Calibri" w:eastAsia="Calibri" w:cs="Calibri"/>
            <w:color w:val="0000CC"/>
            <w:sz w:val="22"/>
            <w:szCs w:val="22"/>
            <w:u w:val="single"/>
          </w:rPr>
          <w:t xml:space="preserve">https://doi.org/10.1111/jph.12300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Osdaghi E, Taghavi SM, Fazliarab A, Elahifard E &amp; Lamichhane JL (2015b) Characterization, geographic distribution and host range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An emerging bacterial pathogen in Iran.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185-192. </w:t>
      </w:r>
      <w:hyperlink r:id="rId2164661fce3fddf22" w:history="1">
        <w:r>
          <w:rPr>
            <w:rFonts w:ascii="Calibri" w:hAnsi="Calibri" w:eastAsia="Calibri" w:cs="Calibri"/>
            <w:color w:val="0000CC"/>
            <w:sz w:val="22"/>
            <w:szCs w:val="22"/>
            <w:u w:val="single"/>
          </w:rPr>
          <w:t xml:space="preserve">https://doi.org/10.1016/j.cropro.2015.09.015</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Taghavi SM, Hamzehzarghani H</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Fazliarab A, Harveson RM &amp; Lamichhane JR (2016) Occurrence and characterization of a new red-pigmented variant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the causal agent of bacterial wilt of edible dry beans in Iran.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146, </w:t>
      </w:r>
      <w:r>
        <w:rPr>
          <w:rFonts w:ascii="Calibri" w:hAnsi="Calibri" w:eastAsia="Calibri" w:cs="Calibri"/>
          <w:color w:val="000000"/>
          <w:sz w:val="22"/>
          <w:szCs w:val="22"/>
        </w:rPr>
        <w:t xml:space="preserve">129–145. </w:t>
      </w:r>
      <w:hyperlink r:id="rId6559661fce3fddff2" w:history="1">
        <w:r>
          <w:rPr>
            <w:rFonts w:ascii="Calibri" w:hAnsi="Calibri" w:eastAsia="Calibri" w:cs="Calibri"/>
            <w:color w:val="0000CC"/>
            <w:sz w:val="22"/>
            <w:szCs w:val="22"/>
            <w:u w:val="single"/>
          </w:rPr>
          <w:t xml:space="preserve">https://doi.org/10.1007/s10658-016-0900-3</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Taghavi SM, Hamzehzarghani H, Fazliarab A, Harveson RM, Tegli S &amp; Lamichhane JR (2018a) Epiphytic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strains isolated from symptomless solanaceous vegetables are pathogenic on leguminous but not on solanaceous plants.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388-398. </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Taghavi SM, Calamai S, Biancalani C, Cerboneschi M, Tegli S &amp; Harveson RM (2018b) Phenotypic and molecular-phylogenetic analysis provide novel insights into the diversity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1154–1164.</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Young AJ &amp; Harveson RM (2020) Bacterial wilt of dry beans caused by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A new threat from an old enemy.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605-621. </w:t>
      </w:r>
      <w:hyperlink r:id="rId1550661fce3fde1d5" w:history="1">
        <w:r>
          <w:rPr>
            <w:rFonts w:ascii="Calibri" w:hAnsi="Calibri" w:eastAsia="Calibri" w:cs="Calibri"/>
            <w:color w:val="0000CC"/>
            <w:sz w:val="22"/>
            <w:szCs w:val="22"/>
            <w:u w:val="single"/>
          </w:rPr>
          <w:t xml:space="preserve">https://doi.org/10.1111/mpp.12926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Patrick ZA (1954) The antibiotic activity of soil microorganisms as related to bacterial plant pathogens.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705-735.</w:t>
      </w:r>
    </w:p>
    <w:p>
      <w:pPr>
        <w:widowControl w:val="on"/>
        <w:pBdr/>
        <w:spacing w:before="220" w:after="220" w:line="240" w:lineRule="auto"/>
        <w:ind w:left="0" w:right="0"/>
        <w:jc w:val="left"/>
      </w:pPr>
      <w:r>
        <w:rPr>
          <w:rFonts w:ascii="Calibri" w:hAnsi="Calibri" w:eastAsia="Calibri" w:cs="Calibri"/>
          <w:color w:val="000000"/>
          <w:sz w:val="22"/>
          <w:szCs w:val="22"/>
        </w:rPr>
        <w:t xml:space="preserve">Pawlowski ML &amp; Hartman GL (2019) First report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causing bacterial tan spot on soybean in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2665.</w:t>
      </w:r>
    </w:p>
    <w:p>
      <w:pPr>
        <w:widowControl w:val="on"/>
        <w:pBdr/>
        <w:spacing w:before="220" w:after="220" w:line="240" w:lineRule="auto"/>
        <w:ind w:left="0" w:right="0"/>
        <w:jc w:val="left"/>
      </w:pPr>
      <w:r>
        <w:rPr>
          <w:rFonts w:ascii="Calibri" w:hAnsi="Calibri" w:eastAsia="Calibri" w:cs="Calibri"/>
          <w:color w:val="000000"/>
          <w:sz w:val="22"/>
          <w:szCs w:val="22"/>
        </w:rPr>
        <w:t xml:space="preserve">Puia JD, Ferreira MGDB, Hoshino AT, Borsato LC, Canteri MG &amp; Vigo SC (2021a) Occurrence </w:t>
      </w:r>
      <w:r>
        <w:rPr>
          <w:rFonts w:ascii="Calibri" w:hAnsi="Calibri" w:eastAsia="Calibri" w:cs="Calibri"/>
          <w:i/>
          <w:iCs/>
          <w:color w:val="000000"/>
          <w:sz w:val="22"/>
          <w:szCs w:val="22"/>
        </w:rPr>
        <w:t xml:space="preserve">of Curtobacterium flaccumfaciens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in the state of Paraná and its pathogenicity in beans.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159, </w:t>
      </w:r>
      <w:r>
        <w:rPr>
          <w:rFonts w:ascii="Calibri" w:hAnsi="Calibri" w:eastAsia="Calibri" w:cs="Calibri"/>
          <w:color w:val="000000"/>
          <w:sz w:val="22"/>
          <w:szCs w:val="22"/>
        </w:rPr>
        <w:t xml:space="preserve">627–636. </w:t>
      </w:r>
      <w:hyperlink r:id="rId4791661fce3fde3b0" w:history="1">
        <w:r>
          <w:rPr>
            <w:rFonts w:ascii="Calibri" w:hAnsi="Calibri" w:eastAsia="Calibri" w:cs="Calibri"/>
            <w:color w:val="0000CC"/>
            <w:sz w:val="22"/>
            <w:szCs w:val="22"/>
            <w:u w:val="single"/>
          </w:rPr>
          <w:t xml:space="preserve">https://doi.org/10.1007/s10658-020-02193-5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Puia JD, Murari RR, Borsato LC, Sugahara VH, da Silva MG, Canteri MG &amp; Vigo SC (2021b). Protocol for detecting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the leaves of infected bean plants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Acta Scientiarum. Agronomy</w:t>
      </w:r>
      <w:r>
        <w:rPr>
          <w:rFonts w:ascii="Calibri" w:hAnsi="Calibri" w:eastAsia="Calibri" w:cs="Calibri"/>
          <w:color w:val="000000"/>
          <w:sz w:val="22"/>
          <w:szCs w:val="22"/>
        </w:rPr>
        <w:t xml:space="preserve">, 43, e51031. </w:t>
      </w:r>
      <w:hyperlink r:id="rId4722661fce3fde473" w:history="1">
        <w:r>
          <w:rPr>
            <w:rFonts w:ascii="Calibri" w:hAnsi="Calibri" w:eastAsia="Calibri" w:cs="Calibri"/>
            <w:color w:val="0000CC"/>
            <w:sz w:val="22"/>
            <w:szCs w:val="22"/>
            <w:u w:val="single"/>
          </w:rPr>
          <w:t xml:space="preserve">https://doi.org/10.4025/actasciagron.v43i1.51031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Sammer UF &amp; Reiher K (2012)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on soybean in Germany - a threat for farming.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314–316.</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ML &amp; Christiansen DW (1957) An orange-colored strain of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causing bean wilt.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51–53.</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ML (1959) Relation of root-knot nematodes and irrigation water to the incidence and dissemination of bacterial wilt of bean.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27–32.</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ML &amp; Sayre RM (1967) A coryneform bacterium induces purple-coloured seed and leaf hypertrophy of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and other Leguminosae.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1064–1066.</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ML, Vidaver AK &amp; Mandel M (1968) A purple pigment producing bean wilt bacterium,</w:t>
      </w:r>
      <w:r>
        <w:rPr>
          <w:rFonts w:ascii="Calibri" w:hAnsi="Calibri" w:eastAsia="Calibri" w:cs="Calibri"/>
          <w:i/>
          <w:iCs/>
          <w:color w:val="000000"/>
          <w:sz w:val="22"/>
          <w:szCs w:val="22"/>
        </w:rPr>
        <w:t xml:space="preserve"> Corynebacterium flaccumfaciens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violaceum </w:t>
      </w:r>
      <w:r>
        <w:rPr>
          <w:rFonts w:ascii="Calibri" w:hAnsi="Calibri" w:eastAsia="Calibri" w:cs="Calibri"/>
          <w:color w:val="000000"/>
          <w:sz w:val="22"/>
          <w:szCs w:val="22"/>
        </w:rPr>
        <w:t xml:space="preserve">n. var. </w:t>
      </w:r>
      <w:r>
        <w:rPr>
          <w:rFonts w:ascii="Calibri" w:hAnsi="Calibri" w:eastAsia="Calibri" w:cs="Calibri"/>
          <w:i/>
          <w:iCs/>
          <w:color w:val="000000"/>
          <w:sz w:val="22"/>
          <w:szCs w:val="22"/>
        </w:rPr>
        <w:t xml:space="preserve">Canadian Journal of Microbiology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423-427.</w:t>
      </w:r>
    </w:p>
    <w:p>
      <w:pPr>
        <w:widowControl w:val="on"/>
        <w:pBdr/>
        <w:spacing w:before="220" w:after="220" w:line="240" w:lineRule="auto"/>
        <w:ind w:left="0" w:right="0"/>
        <w:jc w:val="left"/>
      </w:pPr>
      <w:r>
        <w:rPr>
          <w:rFonts w:ascii="Calibri" w:hAnsi="Calibri" w:eastAsia="Calibri" w:cs="Calibri"/>
          <w:color w:val="000000"/>
          <w:sz w:val="22"/>
          <w:szCs w:val="22"/>
        </w:rPr>
        <w:t xml:space="preserve">Silva Júnior TAF, Negrão DR, Itako AT, Soman JM &amp; Maringoni AC (2012) Survival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soil and bean crop debris.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331-337.</w:t>
      </w:r>
    </w:p>
    <w:p>
      <w:pPr>
        <w:widowControl w:val="on"/>
        <w:pBdr/>
        <w:spacing w:before="220" w:after="220" w:line="240" w:lineRule="auto"/>
        <w:ind w:left="0" w:right="0"/>
        <w:jc w:val="left"/>
      </w:pPr>
      <w:r>
        <w:rPr>
          <w:rFonts w:ascii="Calibri" w:hAnsi="Calibri" w:eastAsia="Calibri" w:cs="Calibri"/>
          <w:color w:val="000000"/>
          <w:sz w:val="22"/>
          <w:szCs w:val="22"/>
        </w:rPr>
        <w:t xml:space="preserve">Soares RM, Maringoni AC &amp; Lima GPP (2004) [Inefficiency of acibenzolar-S-methyl in induction of resistance against bacterial wilt in common bean].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29, 373-377 (in Portuguese). </w:t>
      </w:r>
    </w:p>
    <w:p>
      <w:pPr>
        <w:widowControl w:val="on"/>
        <w:pBdr/>
        <w:spacing w:before="220" w:after="220" w:line="240" w:lineRule="auto"/>
        <w:ind w:left="0" w:right="0"/>
        <w:jc w:val="left"/>
      </w:pPr>
      <w:r>
        <w:rPr>
          <w:rFonts w:ascii="Calibri" w:hAnsi="Calibri" w:eastAsia="Calibri" w:cs="Calibri"/>
          <w:color w:val="000000"/>
          <w:sz w:val="22"/>
          <w:szCs w:val="22"/>
        </w:rPr>
        <w:t xml:space="preserve">Soares RM, Fantinato GGP, Darben LM, Marcelino-Guimarães FC, Seixas CDS &amp; Carneiro GES (2013) First report of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on soybean in Brazil.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452–454.</w:t>
      </w:r>
    </w:p>
    <w:p>
      <w:pPr>
        <w:widowControl w:val="on"/>
        <w:pBdr/>
        <w:spacing w:before="220" w:after="220" w:line="240" w:lineRule="auto"/>
        <w:ind w:left="0" w:right="0"/>
        <w:jc w:val="left"/>
      </w:pPr>
      <w:r>
        <w:rPr>
          <w:rFonts w:ascii="Calibri" w:hAnsi="Calibri" w:eastAsia="Calibri" w:cs="Calibri"/>
          <w:color w:val="000000"/>
          <w:sz w:val="22"/>
          <w:szCs w:val="22"/>
        </w:rPr>
        <w:t xml:space="preserve">Sonmezalp S (1966) [Two important bacterial diseases on beans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Bitki Koruma Bulteni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103–110 (in Turkish).</w:t>
      </w:r>
    </w:p>
    <w:p>
      <w:pPr>
        <w:widowControl w:val="on"/>
        <w:pBdr/>
        <w:spacing w:before="220" w:after="220" w:line="240" w:lineRule="auto"/>
        <w:ind w:left="0" w:right="0"/>
        <w:jc w:val="left"/>
      </w:pPr>
      <w:r>
        <w:rPr>
          <w:rFonts w:ascii="Calibri" w:hAnsi="Calibri" w:eastAsia="Calibri" w:cs="Calibri"/>
          <w:color w:val="000000"/>
          <w:sz w:val="22"/>
          <w:szCs w:val="22"/>
        </w:rPr>
        <w:t xml:space="preserve">Tegli S, Surico G &amp; Esposito A (1998) Studi sulla diagnosi di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nei semi di fagiolo. </w:t>
      </w:r>
      <w:r>
        <w:rPr>
          <w:rFonts w:ascii="Calibri" w:hAnsi="Calibri" w:eastAsia="Calibri" w:cs="Calibri"/>
          <w:i/>
          <w:iCs/>
          <w:color w:val="000000"/>
          <w:sz w:val="22"/>
          <w:szCs w:val="22"/>
        </w:rPr>
        <w:t xml:space="preserve">Notiziario sulla Protezione delle Piante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63–71.</w:t>
      </w:r>
    </w:p>
    <w:p>
      <w:pPr>
        <w:widowControl w:val="on"/>
        <w:pBdr/>
        <w:spacing w:before="220" w:after="220" w:line="240" w:lineRule="auto"/>
        <w:ind w:left="0" w:right="0"/>
        <w:jc w:val="left"/>
      </w:pPr>
      <w:r>
        <w:rPr>
          <w:rFonts w:ascii="Calibri" w:hAnsi="Calibri" w:eastAsia="Calibri" w:cs="Calibri"/>
          <w:color w:val="000000"/>
          <w:sz w:val="22"/>
          <w:szCs w:val="22"/>
        </w:rPr>
        <w:t xml:space="preserve">Tegli S, Sereni A &amp; Surico G (2002) PCR-based assay for the detection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bean seeds. </w:t>
      </w:r>
      <w:r>
        <w:rPr>
          <w:rFonts w:ascii="Calibri" w:hAnsi="Calibri" w:eastAsia="Calibri" w:cs="Calibri"/>
          <w:i/>
          <w:iCs/>
          <w:color w:val="000000"/>
          <w:sz w:val="22"/>
          <w:szCs w:val="22"/>
        </w:rPr>
        <w:t xml:space="preserve">Letters in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331–337.</w:t>
      </w:r>
    </w:p>
    <w:p>
      <w:pPr>
        <w:widowControl w:val="on"/>
        <w:pBdr/>
        <w:spacing w:before="220" w:after="220" w:line="240" w:lineRule="auto"/>
        <w:ind w:left="0" w:right="0"/>
        <w:jc w:val="left"/>
      </w:pPr>
      <w:r>
        <w:rPr>
          <w:rFonts w:ascii="Calibri" w:hAnsi="Calibri" w:eastAsia="Calibri" w:cs="Calibri"/>
          <w:color w:val="000000"/>
          <w:sz w:val="22"/>
          <w:szCs w:val="22"/>
        </w:rPr>
        <w:t xml:space="preserve">Tegli S, Biancalani C, Ignatov AN &amp; Osdaghi EA (2020) Powerful LAMP weapon against the threat of the quarantine plant pathogen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1705. </w:t>
      </w:r>
      <w:hyperlink r:id="rId2344661fce3fdeb9d" w:history="1">
        <w:r>
          <w:rPr>
            <w:rFonts w:ascii="Calibri" w:hAnsi="Calibri" w:eastAsia="Calibri" w:cs="Calibri"/>
            <w:color w:val="0000CC"/>
            <w:sz w:val="22"/>
            <w:szCs w:val="22"/>
            <w:u w:val="single"/>
          </w:rPr>
          <w:t xml:space="preserve">https://doi.org/10.3390/microorganisms8111705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Tripepi RR &amp; George MW (1991) Identification of bacteria infecting seedlings of mung bean used in rooting bioassays.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80-84.</w:t>
      </w:r>
    </w:p>
    <w:p>
      <w:pPr>
        <w:widowControl w:val="on"/>
        <w:pBdr/>
        <w:spacing w:before="220" w:after="220" w:line="240" w:lineRule="auto"/>
        <w:ind w:left="0" w:right="0"/>
        <w:jc w:val="left"/>
      </w:pPr>
      <w:r>
        <w:rPr>
          <w:rFonts w:ascii="Calibri" w:hAnsi="Calibri" w:eastAsia="Calibri" w:cs="Calibri"/>
          <w:color w:val="000000"/>
          <w:sz w:val="22"/>
          <w:szCs w:val="22"/>
        </w:rPr>
        <w:t xml:space="preserve">Urrea CA &amp; Harveson RM (2014) Identification of sources of bacterial wilt resistance in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973-976. </w:t>
      </w:r>
      <w:hyperlink r:id="rId6954661fce3fdecba" w:history="1">
        <w:r>
          <w:rPr>
            <w:rFonts w:ascii="Calibri" w:hAnsi="Calibri" w:eastAsia="Calibri" w:cs="Calibri"/>
            <w:color w:val="0000CC"/>
            <w:sz w:val="22"/>
            <w:szCs w:val="22"/>
            <w:u w:val="single"/>
          </w:rPr>
          <w:t xml:space="preserve">https://doi.org/10.1094/PDIS-04-13-0391-RE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Wood BA &amp; Easdown WJ (1990) A new bacterial disease of mungbean and cowpea for Australia.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16–21.</w:t>
      </w:r>
    </w:p>
    <w:p>
      <w:pPr>
        <w:widowControl w:val="on"/>
        <w:pBdr/>
        <w:spacing w:before="220" w:after="220" w:line="240" w:lineRule="auto"/>
        <w:ind w:left="0" w:right="0"/>
        <w:jc w:val="left"/>
      </w:pPr>
      <w:r>
        <w:rPr>
          <w:rFonts w:ascii="Calibri" w:hAnsi="Calibri" w:eastAsia="Calibri" w:cs="Calibri"/>
          <w:color w:val="000000"/>
          <w:sz w:val="22"/>
          <w:szCs w:val="22"/>
        </w:rPr>
        <w:t xml:space="preserve">Yerkes WD &amp; Crispin AM (1956) Bean diseases of importance in Mexico in 1955.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222-223.</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(1932) Comparative pathological history of three bacterial diseases of bean. </w:t>
      </w:r>
      <w:r>
        <w:rPr>
          <w:rFonts w:ascii="Calibri" w:hAnsi="Calibri" w:eastAsia="Calibri" w:cs="Calibri"/>
          <w:i/>
          <w:iCs/>
          <w:color w:val="000000"/>
          <w:sz w:val="22"/>
          <w:szCs w:val="22"/>
        </w:rPr>
        <w:t xml:space="preserve">Journal of Agricultural Research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605-632.</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&amp; Thomas HR (1957) A monographic study of bean diseases and methods for their control. </w:t>
      </w:r>
      <w:r>
        <w:rPr>
          <w:rFonts w:ascii="Calibri" w:hAnsi="Calibri" w:eastAsia="Calibri" w:cs="Calibri"/>
          <w:i/>
          <w:iCs/>
          <w:color w:val="000000"/>
          <w:sz w:val="22"/>
          <w:szCs w:val="22"/>
        </w:rPr>
        <w:t xml:space="preserve">Technical Bulletin, USDA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865</w:t>
      </w:r>
      <w:r>
        <w:rPr>
          <w:rFonts w:ascii="Calibri" w:hAnsi="Calibri" w:eastAsia="Calibri" w:cs="Calibri"/>
          <w:color w:val="000000"/>
          <w:sz w:val="22"/>
          <w:szCs w:val="22"/>
        </w:rPr>
        <w:t xml:space="preserve">, 255 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(CABI (2020)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w:t>
      </w:r>
      <w:r>
        <w:rPr>
          <w:rFonts w:ascii="Calibri" w:hAnsi="Calibri" w:eastAsia="Calibri" w:cs="Calibri"/>
          <w:color w:val="000000"/>
          <w:sz w:val="22"/>
          <w:szCs w:val="22"/>
        </w:rPr>
        <w:t xml:space="preserve">s. </w:t>
      </w:r>
      <w:hyperlink r:id="rId8641661fce3fdef3c" w:history="1">
        <w:r>
          <w:rPr>
            <w:rFonts w:ascii="Calibri" w:hAnsi="Calibri" w:eastAsia="Calibri" w:cs="Calibri"/>
            <w:color w:val="0000CC"/>
            <w:sz w:val="22"/>
            <w:szCs w:val="22"/>
            <w:u w:val="single"/>
          </w:rPr>
          <w:t xml:space="preserve">https://www.cabi.org/isc/datasheet/15333</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EFSA Pest categorisation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(EFSA (2018) EFSA Panel on Plant Health (M.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Pest categorisation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2018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5299, 22 pp. </w:t>
      </w:r>
      <w:hyperlink r:id="rId4802661fce3fdf04e" w:history="1">
        <w:r>
          <w:rPr>
            <w:rFonts w:ascii="Calibri" w:hAnsi="Calibri" w:eastAsia="Calibri" w:cs="Calibri"/>
            <w:color w:val="0000CC"/>
            <w:sz w:val="22"/>
            <w:szCs w:val="22"/>
            <w:u w:val="single"/>
          </w:rPr>
          <w:t xml:space="preserve">https://doi.org/10.2903/j.efsa.2018.5299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Curtobacterium flaccumfaciens pv. flaccumfaciens</w:t>
      </w:r>
      <w:r>
        <w:rPr>
          <w:rFonts w:ascii="Calibri" w:hAnsi="Calibri" w:eastAsia="Calibri" w:cs="Calibri"/>
          <w:color w:val="000000"/>
          <w:sz w:val="22"/>
          <w:szCs w:val="22"/>
        </w:rPr>
        <w:t xml:space="preserve">. EPPO datasheets on pests recommended for regulation. Available online. </w:t>
      </w:r>
      <w:hyperlink r:id="rId9974661fce3fdf11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2021</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Corynebacterium flaccumfaciens</w:t>
      </w:r>
      <w:r>
        <w:rPr>
          <w:rFonts w:ascii="Calibri" w:hAnsi="Calibri" w:eastAsia="Calibri" w:cs="Calibri"/>
          <w:i/>
          <w:iCs/>
          <w:color w:val="000000"/>
          <w:sz w:val="22"/>
          <w:szCs w:val="22"/>
        </w:rPr>
        <w:t xml:space="preserve">. Bulletin OEPP/EPPO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1-4. </w:t>
      </w:r>
      <w:hyperlink r:id="rId2288661fce3fdf296" w:history="1">
        <w:r>
          <w:rPr>
            <w:rFonts w:ascii="Calibri" w:hAnsi="Calibri" w:eastAsia="Calibri" w:cs="Calibri"/>
            <w:color w:val="0000CC"/>
            <w:sz w:val="22"/>
            <w:szCs w:val="22"/>
            <w:u w:val="single"/>
          </w:rPr>
          <w:t xml:space="preserve">https://doi.org/10.1111/j.1365-2338.1982.tb01948.x</w:t>
        </w:r>
      </w:hyperlink>
      <w:r>
        <w:rPr>
          <w:rFonts w:ascii="Calibri" w:hAnsi="Calibri" w:eastAsia="Calibri" w:cs="Calibri"/>
          <w:color w:val="000000"/>
          <w:sz w:val="22"/>
          <w:szCs w:val="22"/>
        </w:rPr>
        <w:t xml:space="preserve"> </w:t>
      </w:r>
    </w:p>
    <w:p>
      <w:r>
        <w:drawing>
          <wp:inline distT="0" distB="0" distL="0" distR="0">
            <wp:extent cx="1800000" cy="604800"/>
            <wp:docPr id="33374516" name="name1940661fce3fdf4e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152661fce3fdf4e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843559">
    <w:multiLevelType w:val="hybridMultilevel"/>
    <w:lvl w:ilvl="0" w:tplc="84049191">
      <w:start w:val="1"/>
      <w:numFmt w:val="decimal"/>
      <w:lvlText w:val="%1."/>
      <w:lvlJc w:val="left"/>
      <w:pPr>
        <w:ind w:left="720" w:hanging="360"/>
      </w:pPr>
    </w:lvl>
    <w:lvl w:ilvl="1" w:tplc="84049191" w:tentative="1">
      <w:start w:val="1"/>
      <w:numFmt w:val="lowerLetter"/>
      <w:lvlText w:val="%2."/>
      <w:lvlJc w:val="left"/>
      <w:pPr>
        <w:ind w:left="1440" w:hanging="360"/>
      </w:pPr>
    </w:lvl>
    <w:lvl w:ilvl="2" w:tplc="84049191" w:tentative="1">
      <w:start w:val="1"/>
      <w:numFmt w:val="lowerRoman"/>
      <w:lvlText w:val="%3."/>
      <w:lvlJc w:val="right"/>
      <w:pPr>
        <w:ind w:left="2160" w:hanging="180"/>
      </w:pPr>
    </w:lvl>
    <w:lvl w:ilvl="3" w:tplc="84049191" w:tentative="1">
      <w:start w:val="1"/>
      <w:numFmt w:val="decimal"/>
      <w:lvlText w:val="%4."/>
      <w:lvlJc w:val="left"/>
      <w:pPr>
        <w:ind w:left="2880" w:hanging="360"/>
      </w:pPr>
    </w:lvl>
    <w:lvl w:ilvl="4" w:tplc="84049191" w:tentative="1">
      <w:start w:val="1"/>
      <w:numFmt w:val="lowerLetter"/>
      <w:lvlText w:val="%5."/>
      <w:lvlJc w:val="left"/>
      <w:pPr>
        <w:ind w:left="3600" w:hanging="360"/>
      </w:pPr>
    </w:lvl>
    <w:lvl w:ilvl="5" w:tplc="84049191" w:tentative="1">
      <w:start w:val="1"/>
      <w:numFmt w:val="lowerRoman"/>
      <w:lvlText w:val="%6."/>
      <w:lvlJc w:val="right"/>
      <w:pPr>
        <w:ind w:left="4320" w:hanging="180"/>
      </w:pPr>
    </w:lvl>
    <w:lvl w:ilvl="6" w:tplc="84049191" w:tentative="1">
      <w:start w:val="1"/>
      <w:numFmt w:val="decimal"/>
      <w:lvlText w:val="%7."/>
      <w:lvlJc w:val="left"/>
      <w:pPr>
        <w:ind w:left="5040" w:hanging="360"/>
      </w:pPr>
    </w:lvl>
    <w:lvl w:ilvl="7" w:tplc="84049191" w:tentative="1">
      <w:start w:val="1"/>
      <w:numFmt w:val="lowerLetter"/>
      <w:lvlText w:val="%8."/>
      <w:lvlJc w:val="left"/>
      <w:pPr>
        <w:ind w:left="5760" w:hanging="360"/>
      </w:pPr>
    </w:lvl>
    <w:lvl w:ilvl="8" w:tplc="84049191" w:tentative="1">
      <w:start w:val="1"/>
      <w:numFmt w:val="lowerRoman"/>
      <w:lvlText w:val="%9."/>
      <w:lvlJc w:val="right"/>
      <w:pPr>
        <w:ind w:left="6480" w:hanging="180"/>
      </w:pPr>
    </w:lvl>
  </w:abstractNum>
  <w:abstractNum w:abstractNumId="21843558">
    <w:multiLevelType w:val="hybridMultilevel"/>
    <w:lvl w:ilvl="0" w:tplc="368092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843558">
    <w:abstractNumId w:val="21843558"/>
  </w:num>
  <w:num w:numId="21843559">
    <w:abstractNumId w:val="2184355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8769301" Type="http://schemas.microsoft.com/office/2011/relationships/commentsExtended" Target="commentsExtended.xml"/><Relationship Id="rId146863187" Type="http://schemas.microsoft.com/office/2011/relationships/people" Target="people.xml"/><Relationship Id="rId4274661fce3fd77bc" Type="http://schemas.openxmlformats.org/officeDocument/2006/relationships/hyperlink" Target="https://gd.eppo.int/taxon/CORBFL/" TargetMode="External"/><Relationship Id="rId5769661fce3fd782e" Type="http://schemas.openxmlformats.org/officeDocument/2006/relationships/hyperlink" Target="https://gd.eppo.int/taxon/CORBFL/categorization" TargetMode="External"/><Relationship Id="rId3301661fce3fd7c58" Type="http://schemas.openxmlformats.org/officeDocument/2006/relationships/hyperlink" Target="https://gd.eppo.int/taxon/CORBFL/photos" TargetMode="External"/><Relationship Id="rId8549661fce3fdc061" Type="http://schemas.openxmlformats.org/officeDocument/2006/relationships/hyperlink" Target="https://www.cabi.org/isc/datasheet/15333" TargetMode="External"/><Relationship Id="rId5723661fce3fdc51c" Type="http://schemas.openxmlformats.org/officeDocument/2006/relationships/hyperlink" Target="https://doi.org/10.1094/PHYTO-06-20-0243-R" TargetMode="External"/><Relationship Id="rId6402661fce3fdc7f3" Type="http://schemas.openxmlformats.org/officeDocument/2006/relationships/hyperlink" Target="https://www.donausoja.org/fileadmin/user_upload/Downloads/Soya_cultivation_in_Europe_plus_DS_Benefits.pdf" TargetMode="External"/><Relationship Id="rId4044661fce3fdca3e" Type="http://schemas.openxmlformats.org/officeDocument/2006/relationships/hyperlink" Target="https://doi.org/10.2903/j.efsa.2018.5299" TargetMode="External"/><Relationship Id="rId3860661fce3fdca76" Type="http://schemas.openxmlformats.org/officeDocument/2006/relationships/hyperlink" Target="https://gd.eppo.int" TargetMode="External"/><Relationship Id="rId7268661fce3fdcd69" Type="http://schemas.openxmlformats.org/officeDocument/2006/relationships/hyperlink" Target="https://doi.org/10.1590/S0100-41582007000500011" TargetMode="External"/><Relationship Id="rId7871661fce3fdcda2" Type="http://schemas.openxmlformats.org/officeDocument/2006/relationships/hyperlink" Target="https://ec.europa.eu/eurostat/web/products-datasets/-/tag00094" TargetMode="External"/><Relationship Id="rId3426661fce3fdcf1c" Type="http://schemas.openxmlformats.org/officeDocument/2006/relationships/hyperlink" Target="https://doi.org/10.1007/s10658-018-01648-0" TargetMode="External"/><Relationship Id="rId8772661fce3fdcfde" Type="http://schemas.openxmlformats.org/officeDocument/2006/relationships/hyperlink" Target="https://doi.org/10.1007/s10658-020-02176-6" TargetMode="External"/><Relationship Id="rId1174661fce3fdd172" Type="http://schemas.openxmlformats.org/officeDocument/2006/relationships/hyperlink" Target="https://doi.org/10.1023/A:1012077425747" TargetMode="External"/><Relationship Id="rId4797661fce3fdd1cb" Type="http://schemas.openxmlformats.org/officeDocument/2006/relationships/hyperlink" Target="https://www.apsnet.org/edcenter/apsnetfeatures/Pages/bacterium.aspx" TargetMode="External"/><Relationship Id="rId2855661fce3fdd382" Type="http://schemas.openxmlformats.org/officeDocument/2006/relationships/hyperlink" Target="https://doi.org/10.1094/php-2008-0815-01-br" TargetMode="External"/><Relationship Id="rId8760661fce3fddd85" Type="http://schemas.openxmlformats.org/officeDocument/2006/relationships/hyperlink" Target="https://doi.org/10.1007/s10658-021-02232-9" TargetMode="External"/><Relationship Id="rId4144661fce3fdde8f" Type="http://schemas.openxmlformats.org/officeDocument/2006/relationships/hyperlink" Target="https://doi.org/10.1111/jph.12300" TargetMode="External"/><Relationship Id="rId2164661fce3fddf22" Type="http://schemas.openxmlformats.org/officeDocument/2006/relationships/hyperlink" Target="https://doi.org/10.1016/j.cropro.2015.09.015" TargetMode="External"/><Relationship Id="rId6559661fce3fddff2" Type="http://schemas.openxmlformats.org/officeDocument/2006/relationships/hyperlink" Target="https://doi.org/10.1007/s10658-016-0900-3" TargetMode="External"/><Relationship Id="rId1550661fce3fde1d5" Type="http://schemas.openxmlformats.org/officeDocument/2006/relationships/hyperlink" Target="https://doi.org/10.1111/mpp.12926" TargetMode="External"/><Relationship Id="rId4791661fce3fde3b0" Type="http://schemas.openxmlformats.org/officeDocument/2006/relationships/hyperlink" Target="https://doi.org/10.1007/s10658-020-02193-5" TargetMode="External"/><Relationship Id="rId4722661fce3fde473" Type="http://schemas.openxmlformats.org/officeDocument/2006/relationships/hyperlink" Target="https://doi.org/10.4025/actasciagron.v43i1.51031" TargetMode="External"/><Relationship Id="rId2344661fce3fdeb9d" Type="http://schemas.openxmlformats.org/officeDocument/2006/relationships/hyperlink" Target="https://doi.org/10.3390/microorganisms8111705" TargetMode="External"/><Relationship Id="rId6954661fce3fdecba" Type="http://schemas.openxmlformats.org/officeDocument/2006/relationships/hyperlink" Target="https://doi.org/10.1094/PDIS-04-13-0391-RE" TargetMode="External"/><Relationship Id="rId8641661fce3fdef3c" Type="http://schemas.openxmlformats.org/officeDocument/2006/relationships/hyperlink" Target="https://www.cabi.org/isc/datasheet/15333" TargetMode="External"/><Relationship Id="rId4802661fce3fdf04e" Type="http://schemas.openxmlformats.org/officeDocument/2006/relationships/hyperlink" Target="https://doi.org/10.2903/j.efsa.2018.5299" TargetMode="External"/><Relationship Id="rId9974661fce3fdf11a" Type="http://schemas.openxmlformats.org/officeDocument/2006/relationships/hyperlink" Target="https://gd.eppo.int" TargetMode="External"/><Relationship Id="rId2288661fce3fdf296" Type="http://schemas.openxmlformats.org/officeDocument/2006/relationships/hyperlink" Target="https://doi.org/10.1111/j.1365-2338.1982.tb01948.x" TargetMode="External"/><Relationship Id="rId7861661fce3fd7b75" Type="http://schemas.openxmlformats.org/officeDocument/2006/relationships/image" Target="media/imgrId7861661fce3fd7b75.jpg"/><Relationship Id="rId7745661fce3fd9d32" Type="http://schemas.openxmlformats.org/officeDocument/2006/relationships/image" Target="media/imgrId7745661fce3fd9d32.jpg"/><Relationship Id="rId3152661fce3fdf4ed" Type="http://schemas.openxmlformats.org/officeDocument/2006/relationships/image" Target="media/imgrId3152661fce3fdf4e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