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Chrysobothris femorata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2024-05-31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Chrysobothris femorata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(Olivier)</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Buprestidae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Buprestis femorata</w:t>
            </w:r>
            <w:r>
              <w:rPr>
                <w:rFonts w:ascii="Calibri" w:hAnsi="Calibri" w:eastAsia="Calibri" w:cs="Calibri"/>
                <w:color w:val="000000"/>
                <w:position w:val="-3"/>
                <w:sz w:val="22"/>
                <w:szCs w:val="22"/>
              </w:rPr>
              <w:t xml:space="preserve"> Olivier, </w:t>
            </w:r>
            <w:r>
              <w:rPr>
                <w:rFonts w:ascii="Calibri" w:hAnsi="Calibri" w:eastAsia="Calibri" w:cs="Calibri"/>
                <w:i/>
                <w:iCs/>
                <w:color w:val="000000"/>
                <w:position w:val="-3"/>
                <w:sz w:val="22"/>
                <w:szCs w:val="22"/>
              </w:rPr>
              <w:t xml:space="preserve">Chrysobothris horni</w:t>
            </w:r>
            <w:r>
              <w:rPr>
                <w:rFonts w:ascii="Calibri" w:hAnsi="Calibri" w:eastAsia="Calibri" w:cs="Calibri"/>
                <w:color w:val="000000"/>
                <w:position w:val="-3"/>
                <w:sz w:val="22"/>
                <w:szCs w:val="22"/>
              </w:rPr>
              <w:t xml:space="preserve"> Kerremans, </w:t>
            </w:r>
            <w:r>
              <w:rPr>
                <w:rFonts w:ascii="Calibri" w:hAnsi="Calibri" w:eastAsia="Calibri" w:cs="Calibri"/>
                <w:i/>
                <w:iCs/>
                <w:color w:val="000000"/>
                <w:position w:val="-3"/>
                <w:sz w:val="22"/>
                <w:szCs w:val="22"/>
              </w:rPr>
              <w:t xml:space="preserve">Chrysobothris nigritula</w:t>
            </w:r>
            <w:r>
              <w:rPr>
                <w:rFonts w:ascii="Calibri" w:hAnsi="Calibri" w:eastAsia="Calibri" w:cs="Calibri"/>
                <w:color w:val="000000"/>
                <w:position w:val="-3"/>
                <w:sz w:val="22"/>
                <w:szCs w:val="22"/>
              </w:rPr>
              <w:t xml:space="preserve"> Gory &amp; Laporte, </w:t>
            </w:r>
            <w:r>
              <w:rPr>
                <w:rFonts w:ascii="Calibri" w:hAnsi="Calibri" w:eastAsia="Calibri" w:cs="Calibri"/>
                <w:i/>
                <w:iCs/>
                <w:color w:val="000000"/>
                <w:position w:val="-3"/>
                <w:sz w:val="22"/>
                <w:szCs w:val="22"/>
              </w:rPr>
              <w:t xml:space="preserve">Chrysobothris obscura</w:t>
            </w:r>
            <w:r>
              <w:rPr>
                <w:rFonts w:ascii="Calibri" w:hAnsi="Calibri" w:eastAsia="Calibri" w:cs="Calibri"/>
                <w:color w:val="000000"/>
                <w:position w:val="-3"/>
                <w:sz w:val="22"/>
                <w:szCs w:val="22"/>
              </w:rPr>
              <w:t xml:space="preserve"> LeConte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flat-headed apple tree borer, flatheaded appletree borer</w:t>
            </w:r>
            <w:hyperlink r:id="rId39706aac9e17ee0b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 Alert list (formerly)</w:t>
            </w:r>
            <w:hyperlink r:id="rId97696aac9e17ee0fc"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CHRBFE</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6446805" name="name79736aac9e17ee89d" descr="99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73.jpg"/>
                          <pic:cNvPicPr/>
                        </pic:nvPicPr>
                        <pic:blipFill>
                          <a:blip r:embed="rId21626aac9e17ee89b" cstate="print"/>
                          <a:stretch>
                            <a:fillRect/>
                          </a:stretch>
                        </pic:blipFill>
                        <pic:spPr>
                          <a:xfrm>
                            <a:off x="0" y="0"/>
                            <a:ext cx="2160000" cy="1281600"/>
                          </a:xfrm>
                          <a:prstGeom prst="rect">
                            <a:avLst/>
                          </a:prstGeom>
                          <a:ln w="0">
                            <a:noFill/>
                          </a:ln>
                        </pic:spPr>
                      </pic:pic>
                    </a:graphicData>
                  </a:graphic>
                </wp:inline>
              </w:drawing>
            </w:r>
            <w:hyperlink r:id="rId58676aac9e17ee9ab"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w:t>
      </w:r>
      <w:r>
        <w:rPr>
          <w:rFonts w:ascii="Calibri" w:hAnsi="Calibri" w:eastAsia="Calibri" w:cs="Calibri"/>
          <w:color w:val="000000"/>
          <w:sz w:val="22"/>
          <w:szCs w:val="22"/>
        </w:rPr>
        <w:t xml:space="preserve"> is a large genus (approximately 690 species worldwide), with over 140 species in North America (Paiero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many species in the Palaearctic, including in the EPPO region (Löbl &amp; Smetana, 2006). This datasheet relates to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sensu stricto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which belongs to a complex that comprises 12 species according to Wellso and Manley (2007). The number of species in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 and the taxonomy of some species is still debated. Due to identification and taxonomic difficulties, species of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 are not always treated separately in the literature, and all authors do not separate the species of the complex in the same way (EPPO, 2021). It is worth noting that some biological information on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arising from publications that pre-date Wellso and Manley (2007) (such as Fenton, 1942;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is repeated in recent literature on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and is therefore considered to apply to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Within the complex,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is the species with the widest distribution and the largest number of 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is polyphagous on a wide range of deciduous trees and shrubs in various families. Such a wide host range is unusual among buprestids, which are typically limited to a single host plant family or genus (Hansen, 2010). The host range in North America comprises many native hosts (cultivated or wild) and many exotic hosts (especially fruit and ornamental plants). The EPPO Pest Risk Analysis (EPPO PRA, EPPO, 2021) considered that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is likely to be able to attack other deciduous trees and shrubs currently not recorded as hosts. The EPPO PRA separates confirmed hosts (i.e. true hosts of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shown to support the development of the pest) and uncertain hosts either because there is no clear indication that the pest completes its life cycle on these plants, or because there is a doubt on whether the record relates to another species in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w:t>
      </w:r>
    </w:p>
    <w:p>
      <w:pPr>
        <w:widowControl w:val="on"/>
        <w:pBdr/>
        <w:spacing w:before="220" w:after="220" w:line="240" w:lineRule="auto"/>
        <w:ind w:left="0" w:right="0"/>
        <w:jc w:val="both"/>
      </w:pPr>
      <w:r>
        <w:rPr>
          <w:rFonts w:ascii="Calibri" w:hAnsi="Calibri" w:eastAsia="Calibri" w:cs="Calibri"/>
          <w:color w:val="000000"/>
          <w:sz w:val="22"/>
          <w:szCs w:val="22"/>
        </w:rPr>
        <w:t xml:space="preserve">The list below contains true hosts as listed in the PRA (i.e. true hosts of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shown to support the development of the pest) (EPPO, 2021), as well as hosts added later to EPPO Global Database, based on more recent literature. Details on host status and from the PRA are given under each host plant in EPPO Global Database, where available.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platanoides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saccharum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truncatum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x freemanii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rhombifolia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Alnus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Betula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caroliniana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Carpinus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florida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 kousa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Eucalyptus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Ostrya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deltoides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fremontii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nigra var. italica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tremuloides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 trichocarpa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garryana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gravesii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kelloggii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lobata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lasiandra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Sorbus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darrowii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is native to the USA and Canada and has been found only in these countries to date. In the USA,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has been reported in all continental states except Alaska. In Canada,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has been reported in most of the southern provinces, and its northernmost records are at approximately 52° N latitude. A number of records in the literature for the rest of the Americas (e.g. Mexico, Costa Rica, Ecuador) and Asia (e.g. India, Thailand) were considered doubtful or invalid in the EPPO PRA (EPPO, 2021).</w:t>
      </w:r>
    </w:p>
    <w:p>
      <w:r>
        <w:drawing>
          <wp:inline distT="0" distB="0" distL="0" distR="0">
            <wp:extent cx="6120000" cy="3067200"/>
            <wp:docPr id="16849763" name="name27716aac9e17efe8c" descr="CHRBFE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BFE_distribution_map.jpg"/>
                    <pic:cNvPicPr/>
                  </pic:nvPicPr>
                  <pic:blipFill>
                    <a:blip r:embed="rId85306aac9e17efe8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New Brunswick, Nova Scotia, Ontario, Québec, Saskatchewan), United States of America (Alabama, Arizona, Arkansas, California, Colorado, Connecticut, Delaware, Florida, Georgia, Idaho, Illinois, Indiana, Iowa, Kansas, Kentucky, Louisiana, Maine, Maryland, Massachusetts, Michigan, Minnesota, Mississippi, Missouri, Montana, Nebraska, Nevada, New Hampshire, New Jersey, New Mexico, New York, North Carolina, North Dakota, Ohio, Oklahoma, Oregon, Pennsylvania, South Carolina, South Dakota, Tennessee, Texas, Utah, Vermont, Virginia, Washington, West Virginia, Wisconsin, Wyoming)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generally has one generation per year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but 2–3 years may be necessary in the northern part of its range (Beddes &amp; Caron, 2014; Fenton, 1942; Steed &amp; Burton, 2015). Adults are found from March to November depending on latitude, with a narrower emergence period in some locations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The emergence of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adults from 1st January at base 10°C (from the life stage present in the tree at the start of the year) corresponds to 412 Celsius degree-days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feed mainly on tender bark, occasionally eating through leaf petioles, and live for about 3–5 weeks (Fenton, 1942). Females lay on average 60–100 eggs (Fenton, 1942; Steed &amp; Burton, 2015), generally in bark scales, crevices, or irregularities (Bright, 1987; Steed &amp; Burton, 2015).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eggs may be oviposited on, and larvae develop in, trunks or branches (Fenton, 1942) at various heights.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adults are also attracted to recently cut parts of host plants (Eaton, 2011;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On nursery trees, attacks and trunk damage have been reported within 10 cm–1 m above the ground (Oliver</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2019a;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Seagraves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2013). The presence of vegetation at the base of the trees modifies the female egg-laying behaviour or larval survival (Addesso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has been identified as a possible component of control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laid singly, sometimes close enough to form a group (Beddes &amp; Caron, 2014; Burke, 1919). Eggs hatch within 1–3 weeks depending on the temperature (Beddes &amp; Caron, 2014; Solomon, 1995). First-instar larvae bore into the bark. Larvae tunnel galleries and feed primarily in the phloem and cambium (inner bark) and the sapwood (outer wood) (Frank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Solomon, 1995). In young trees with thin bark or in weakened trees, galleries can be long and winding, sometimes girdling the trunk or branch. In older trees with thick bark, the galleries are mostly confined to the inner bark, sometimes confined to a circular area (Bright, 1987; Steed &amp; Burton, 2015). Mature pupae tunnel from the cambium deeper into the sapwood, and in young and small trees, sometimes the hardwood, to pupate (Frank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Solomon, 1995). Larvae may tunnel up to 5 cm-deep (Capizzi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There may be several galleries in a tree, and several adults emerging from one tree (EPPO, 2021). Overwintering of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may occur at different stages: feeding larvae, prepupal larvae (last instar larvae that have finished the feeding stage) and pupae (Burke, 1919;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Steed &amp; Burton,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attacks trees of all sizes (Fenton &amp; Maxwell, 1937; Solomon &amp; Payne, 1986). In Tennessee, growers identified most issues for nursery trees with a diameter in the range of 2.5–3.8 cm, especially for stressed trees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is reported to preferably attack weakened or stressed trees, but when infestations are high, it may attack healthy trees (Hansen</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2009). Newly-planted trees are especially sensitive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2019a, 2019b). Other stresses mentioned in the literature in relation to attacks by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include: drought, sunscald, defoliation, or soil compaction (Bright, 1987; Fenton, 1942; Steed &amp; Burton, 2015).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Signs and symptoms of infestation on stems and branches may resemble those caused by other wood boring insects. They include sap oozing and broad and sinuous larval galleries under the bark (Beddes &amp; Caron, 2014;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Steed &amp; Burton, 2015). In young trees, larval galleries may measure 5 cm in length (Bright, 1987) but longer galleries (approximately 20 cm) are commonly observed on nursery trees in the field (J. Oliver, personal communication in EPPO, 2021). There may be sawdust-like frass at bark cracks, under flaking bark and in galleries, but little or no sawdust is ejected except at bark cracks (Beddes &amp; Caron, 2014; Steed &amp; Burton, 2015). Trees may present wounds or sunken/depressed areas on the bark (Beddes &amp; Caron, 2014). The bark may gradually take a darkened, wet and greasy appearance, and may present splitting, peeling and flaking (Beddes &amp; Caron, 2014; Steed &amp; Burton, 2015). On old/large trees, loss of large patches of bark on trunks can occur (Krischik &amp; Davidson, 2013). Exit holes of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are typical for Buprestidae and are D-shaped to oval, and measure 5–7 mm wide and may be covered with frass (Beddes &amp; Caron, 2014; Frank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Infested trees are weakened with less foliage, they may have branch dieback or dead branches, and newly-planted trees may die. Basal shoots may form on the trunk in response to girdling damage, at least on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Cornus</w:t>
      </w:r>
      <w:r>
        <w:rPr>
          <w:rFonts w:ascii="Calibri" w:hAnsi="Calibri" w:eastAsia="Calibri" w:cs="Calibri"/>
          <w:color w:val="000000"/>
          <w:sz w:val="22"/>
          <w:szCs w:val="22"/>
        </w:rPr>
        <w:t xml:space="preserve"> (EPPO,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Descriptions of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are provided in Wellso and Manley (2007) and Steed and Burton (2015). Many members of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 have a broadly similar size and appearance.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disk-like, pale yellow, flattened and wrinkled, and measure approximately 1.5 mm in diameter (Steed &amp; Burton,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Larvae</w:t>
      </w:r>
    </w:p>
    <w:p>
      <w:pPr>
        <w:widowControl w:val="on"/>
        <w:pBdr/>
        <w:spacing w:before="220" w:after="220" w:line="240" w:lineRule="auto"/>
        <w:ind w:left="0" w:right="0"/>
        <w:jc w:val="both"/>
      </w:pPr>
      <w:r>
        <w:rPr>
          <w:rFonts w:ascii="Calibri" w:hAnsi="Calibri" w:eastAsia="Calibri" w:cs="Calibri"/>
          <w:color w:val="000000"/>
          <w:sz w:val="22"/>
          <w:szCs w:val="22"/>
        </w:rPr>
        <w:t xml:space="preserve">Larvae are cream-coloured with a brown head, with greatly enlarged and flattened thoracic segments. Mature larvae measure 18–25 mm long (Steed &amp; Burton,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Pupae</w:t>
      </w:r>
      <w:r>
        <w:rPr>
          <w:rFonts w:ascii="Calibri" w:hAnsi="Calibri" w:eastAsia="Calibri" w:cs="Calibri"/>
          <w:color w:val="000000"/>
          <w:sz w:val="22"/>
          <w:szCs w:val="22"/>
        </w:rPr>
        <w:br/>
        <w:t xml:space="preserve">Pupae are pale yellow, sometimes becoming brown, and measure 7–19 mm long (Steed &amp; Burton, 2015).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Adults</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are typical buprestids, with a broad oval shape, metallic colours and large compound eyes (EPPO, 2021). Overall, adults are metallic olive-grey to brown. The elytra are blackish grey with coppery-bronze reflections, with several irregular greyish to brassy spots. Beneath the wings, the abdomen is metallic purple to greenish blue, and the ventral surface metallic bronze. Antennae are dark reddish. The male face is often bright green. Adults measure 7–16 mm long and up to 5–7 mm wide (Hansen, 2010;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Steed &amp; Burton, 2015; Wellso &amp; Manley, 2007). Considerable variation exists between individuals of </w:t>
      </w:r>
      <w:r>
        <w:rPr>
          <w:rFonts w:ascii="Calibri" w:hAnsi="Calibri" w:eastAsia="Calibri" w:cs="Calibri"/>
          <w:i/>
          <w:iCs/>
          <w:color w:val="000000"/>
          <w:sz w:val="22"/>
          <w:szCs w:val="22"/>
        </w:rPr>
        <w:t xml:space="preserve">C. femorata s.s</w:t>
      </w:r>
      <w:r>
        <w:rPr>
          <w:rFonts w:ascii="Calibri" w:hAnsi="Calibri" w:eastAsia="Calibri" w:cs="Calibri"/>
          <w:color w:val="000000"/>
          <w:sz w:val="22"/>
          <w:szCs w:val="22"/>
        </w:rPr>
        <w:t xml:space="preserve">. (Wellso &amp; Manley,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Detection in the field relies mostly on visual examination of vulnerable trees for symptoms (Beddes &amp; Caron, 2014). Detection is difficult as infestations are usually not apparent until larvae are large enough to produce visible injury on the trunk surface or branch dieback occurs. Attacks are normally not detected until the autumn, and are even more visible the following spring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2019a). First emergence (and the appearance of exit holes) can be observed at the earliest one year after the first infestation. Trapping is possible, for example using purple sticky traps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Petrice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citing others), but there is no specific attractant available. Such traps also capture other Buprestidae and identification is required.</w:t>
      </w:r>
    </w:p>
    <w:p>
      <w:pPr>
        <w:widowControl w:val="on"/>
        <w:pBdr/>
        <w:spacing w:before="220" w:after="220" w:line="240" w:lineRule="auto"/>
        <w:ind w:left="0" w:right="0"/>
        <w:jc w:val="both"/>
      </w:pPr>
      <w:r>
        <w:rPr>
          <w:rFonts w:ascii="Calibri" w:hAnsi="Calibri" w:eastAsia="Calibri" w:cs="Calibri"/>
          <w:color w:val="000000"/>
          <w:sz w:val="22"/>
          <w:szCs w:val="22"/>
        </w:rPr>
        <w:t xml:space="preserve">Morphological identification of </w:t>
      </w:r>
      <w:r>
        <w:rPr>
          <w:rFonts w:ascii="Calibri" w:hAnsi="Calibri" w:eastAsia="Calibri" w:cs="Calibri"/>
          <w:i/>
          <w:iCs/>
          <w:color w:val="000000"/>
          <w:sz w:val="22"/>
          <w:szCs w:val="22"/>
        </w:rPr>
        <w:t xml:space="preserve">Chrysobothris</w:t>
      </w:r>
      <w:r>
        <w:rPr>
          <w:rFonts w:ascii="Calibri" w:hAnsi="Calibri" w:eastAsia="Calibri" w:cs="Calibri"/>
          <w:color w:val="000000"/>
          <w:sz w:val="22"/>
          <w:szCs w:val="22"/>
        </w:rPr>
        <w:t xml:space="preserve"> species should be done by a specialist of the genus </w:t>
      </w:r>
      <w:r>
        <w:rPr>
          <w:rFonts w:ascii="Calibri" w:hAnsi="Calibri" w:eastAsia="Calibri" w:cs="Calibri"/>
          <w:i/>
          <w:iCs/>
          <w:color w:val="000000"/>
          <w:sz w:val="22"/>
          <w:szCs w:val="22"/>
        </w:rPr>
        <w:t xml:space="preserve">Chrysobothris</w:t>
      </w:r>
      <w:r>
        <w:rPr>
          <w:rFonts w:ascii="Calibri" w:hAnsi="Calibri" w:eastAsia="Calibri" w:cs="Calibri"/>
          <w:color w:val="000000"/>
          <w:sz w:val="22"/>
          <w:szCs w:val="22"/>
        </w:rPr>
        <w:t xml:space="preserve">. For a reliable identification, adults should be available.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can be distinguished from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Within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 the geographical distribution and host range of species overlap and cannot be used to identify to species. Identification keys within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 rely on adult characters such as integument colour, elytra pattern and, especially, the form of the male genitalia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Wellso &amp; Manley, 2007). However, the morphological characters used in the existing keys are not easy to observe, and intermediate character forms and intraspecific variations complicate identification (Klingeman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Identification of the female in some taxa/species within the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complex requires specimens in a good condition, and a very good reference collection consisting of specimens from across the species range. Genitalia removal is required to identify males of some taxa in the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complex. At the time of the EPPO PRA,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could not be reliably distinguished from other species in the </w:t>
      </w:r>
      <w:r>
        <w:rPr>
          <w:rFonts w:ascii="Calibri" w:hAnsi="Calibri" w:eastAsia="Calibri" w:cs="Calibri"/>
          <w:i/>
          <w:iCs/>
          <w:color w:val="000000"/>
          <w:sz w:val="22"/>
          <w:szCs w:val="22"/>
        </w:rPr>
        <w:t xml:space="preserve">femorata</w:t>
      </w:r>
      <w:r>
        <w:rPr>
          <w:rFonts w:ascii="Calibri" w:hAnsi="Calibri" w:eastAsia="Calibri" w:cs="Calibri"/>
          <w:color w:val="000000"/>
          <w:sz w:val="22"/>
          <w:szCs w:val="22"/>
        </w:rPr>
        <w:t xml:space="preserve"> complex by molecular methods, but research was ongoing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adults can fly, but no specific data was found on their flight capacity (EPPO, 2021). As with other Buprestidae, it is expected that when host trees are abundant, spread is minimal.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is polyphagous, which would favour it finding hosts in the vicinity of the tree or shrub from which it emerged. Trees planted along roads or in cities may be in a condition favouring attacks (e.g. due to stress) and may constitute biological corridors for the spread of the pest. Large areas of new plantings may also favour the rapid build-up of populations and further spread. Unlike monophagous species like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polyphagous species such as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will have more potential corridors for spread (EPPO, 2021).</w:t>
      </w:r>
    </w:p>
    <w:p>
      <w:pPr>
        <w:widowControl w:val="on"/>
        <w:pBdr/>
        <w:spacing w:before="220" w:after="220" w:line="240" w:lineRule="auto"/>
        <w:ind w:left="0" w:right="0"/>
        <w:jc w:val="both"/>
      </w:pPr>
      <w:r>
        <w:rPr>
          <w:rFonts w:ascii="Calibri" w:hAnsi="Calibri" w:eastAsia="Calibri" w:cs="Calibri"/>
          <w:color w:val="000000"/>
          <w:sz w:val="22"/>
          <w:szCs w:val="22"/>
        </w:rPr>
        <w:t xml:space="preserve">Over long distances,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could spread via the transportation of plants for planting, wood, wood products, and wood packaging material (if not treated according to ISPM 15). There is a large trade of deciduous woody plants for planting and wood within the EPPO region so, once introduced, the pest could rapidly spread in the EPPO region. Transport as a contaminant on vehicles or non-host commodities may also play a role locally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20" w:after="220" w:line="240" w:lineRule="auto"/>
        <w:ind w:left="0" w:right="0"/>
        <w:jc w:val="both"/>
      </w:pPr>
      <w:r>
        <w:rPr>
          <w:rFonts w:ascii="Calibri" w:hAnsi="Calibri" w:eastAsia="Calibri" w:cs="Calibri"/>
          <w:color w:val="000000"/>
          <w:sz w:val="22"/>
          <w:szCs w:val="22"/>
        </w:rPr>
        <w:t xml:space="preserve">Larval feeding can disrupt nutrient and water movement in trees (Coyle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young trees, galleries may girdle the trunk and lead to tree death (Krischik &amp; Davidson, 2013; Solomon &amp; Payne, 1986). A single larva can girdle a young tree within one season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Nursery trees that survive attacks are often scarred and unmarketable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On mature trees, attacks by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usually do not kill trees, but can weaken them or contribute to their death (Beddes &amp; Caron, 2014; Solomon &amp; Payne, 1986). In older trees with thick bark, galleries may be confined to a circular area, and wounds may be enlarged by attacks during succeeding generations, creating scars and loss of large patches of bark on trunks (Steed &amp; Burton, 2015). Branches of mature trees may also be girdled.</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has had economic impact in the USA. Higher damage by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has been reported in warm and humid climates of South-Eastern USA. In other areas of the USA, the pest may emerge in suitable conditions (e.g. extensive planting of trees at a sensitive stage or a tree species not suited to a particular area). Currently,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has impacts especially on commercial nurseries and landscapes trees (including urban trees), due to the mortality of young newly transplanted or weakened trees, or loss of value/unmarketability of trees attacked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2019a, 2019b;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In Tennessee, the pest is currently under control in nurseries, relying on wide use of imidacloprid soil drenches, and serious damage is avoided for most hosts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w:t>
      </w:r>
    </w:p>
    <w:p>
      <w:pPr>
        <w:widowControl w:val="on"/>
        <w:pBdr/>
        <w:spacing w:before="220" w:after="220" w:line="240" w:lineRule="auto"/>
        <w:ind w:left="0" w:right="0"/>
        <w:jc w:val="both"/>
      </w:pPr>
      <w:r>
        <w:rPr>
          <w:rFonts w:ascii="Calibri" w:hAnsi="Calibri" w:eastAsia="Calibri" w:cs="Calibri"/>
          <w:color w:val="000000"/>
          <w:sz w:val="22"/>
          <w:szCs w:val="22"/>
        </w:rPr>
        <w:t xml:space="preserve">Recent literature often relates to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s</w:t>
      </w:r>
      <w:r>
        <w:rPr>
          <w:rFonts w:ascii="Calibri" w:hAnsi="Calibri" w:eastAsia="Calibri" w:cs="Calibri"/>
          <w:color w:val="000000"/>
          <w:sz w:val="22"/>
          <w:szCs w:val="22"/>
        </w:rPr>
        <w:t xml:space="preserve">. as a pest of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especially</w:t>
      </w:r>
      <w:r>
        <w:rPr>
          <w:rFonts w:ascii="Calibri" w:hAnsi="Calibri" w:eastAsia="Calibri" w:cs="Calibri"/>
          <w:i/>
          <w:iCs/>
          <w:color w:val="000000"/>
          <w:sz w:val="22"/>
          <w:szCs w:val="22"/>
        </w:rPr>
        <w:t xml:space="preserve"> A. rubrum</w:t>
      </w:r>
      <w:r>
        <w:rPr>
          <w:rFonts w:ascii="Calibri" w:hAnsi="Calibri" w:eastAsia="Calibri" w:cs="Calibri"/>
          <w:color w:val="000000"/>
          <w:sz w:val="22"/>
          <w:szCs w:val="22"/>
        </w:rPr>
        <w:t xml:space="preserve">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2019b;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Seagraves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crops in middle Tennessee nurseries commonly sustain 25%–40% losses by the 3rd to 4th production year because of this pest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In Kentucky and neighbouring states, infestation rates over 30% were observed during a period of intermittent drought on young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trees, particularly </w:t>
      </w:r>
      <w:r>
        <w:rPr>
          <w:rFonts w:ascii="Calibri" w:hAnsi="Calibri" w:eastAsia="Calibri" w:cs="Calibri"/>
          <w:i/>
          <w:iCs/>
          <w:color w:val="000000"/>
          <w:sz w:val="22"/>
          <w:szCs w:val="22"/>
        </w:rPr>
        <w:t xml:space="preserve">A. rubrum</w:t>
      </w:r>
      <w:r>
        <w:rPr>
          <w:rFonts w:ascii="Calibri" w:hAnsi="Calibri" w:eastAsia="Calibri" w:cs="Calibri"/>
          <w:color w:val="000000"/>
          <w:sz w:val="22"/>
          <w:szCs w:val="22"/>
        </w:rPr>
        <w:t xml:space="preserve">, in nurseries (Potter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In intensively managed hardwood forest systems using </w:t>
      </w:r>
      <w:r>
        <w:rPr>
          <w:rFonts w:ascii="Calibri" w:hAnsi="Calibri" w:eastAsia="Calibri" w:cs="Calibri"/>
          <w:i/>
          <w:iCs/>
          <w:color w:val="000000"/>
          <w:sz w:val="22"/>
          <w:szCs w:val="22"/>
        </w:rPr>
        <w:t xml:space="preserve">A. saccharinum</w:t>
      </w:r>
      <w:r>
        <w:rPr>
          <w:rFonts w:ascii="Calibri" w:hAnsi="Calibri" w:eastAsia="Calibri" w:cs="Calibri"/>
          <w:color w:val="000000"/>
          <w:sz w:val="22"/>
          <w:szCs w:val="22"/>
        </w:rPr>
        <w:t xml:space="preserve"> in the North-Central USA,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caused over 40% mortality of first-year trees (Coyle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citing others). Hosts in the genera </w:t>
      </w:r>
      <w:r>
        <w:rPr>
          <w:rFonts w:ascii="Calibri" w:hAnsi="Calibri" w:eastAsia="Calibri" w:cs="Calibri"/>
          <w:i/>
          <w:iCs/>
          <w:color w:val="000000"/>
          <w:sz w:val="22"/>
          <w:szCs w:val="22"/>
        </w:rPr>
        <w:t xml:space="preserve">Carpinus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are also reported as being especially attacked (Fulcher, 2012;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Steed &amp; Burton, 2015). There are limited data on the impact to fruit hosts.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has been reported as a pest in apple orchards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occasionally becoming a problem on trees of pre-bearing age and in organic orchards (Ames, 2018; Eaton, 2011). It has also been recorded as a pest of pecan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(Acebes-Doria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Thompson &amp; Conner, 2012).</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reports of environmental or social impacts in North America.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is part of the forest environment, but no extensive damage is reported.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0" w:after="0" w:line="240" w:lineRule="auto"/>
        <w:ind w:left="0" w:right="0"/>
        <w:jc w:val="both"/>
      </w:pPr>
      <w:r>
        <w:rPr>
          <w:rFonts w:ascii="Calibri" w:hAnsi="Calibri" w:eastAsia="Calibri" w:cs="Calibri"/>
          <w:color w:val="000000"/>
          <w:sz w:val="22"/>
          <w:szCs w:val="22"/>
        </w:rPr>
        <w:t xml:space="preserve">Management is complicated by the wide host range (Hansen, 2010) and the fact that infestations are usually not apparent until larvae are large enough to produce visible injury on the trunk surface or branch dieback occurs. Management measures are applied mostly to newly planted trees and young trees. Although recommendations appear to differ slightly for nurseries, landscape trees, orchards and gardens, they are based on the same control methods. Extensive research is ongoing in the USA to develop control methods, avoid heavy reliance on a single active substance, reduce the potential for insecticide resistance development and provide alternatives to insecticides (Addesso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Dawadi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w:t>
      </w:r>
    </w:p>
    <w:p>
      <w:pPr>
        <w:widowControl w:val="on"/>
        <w:pBdr/>
        <w:spacing w:before="220" w:after="220" w:line="240" w:lineRule="auto"/>
        <w:ind w:left="0" w:right="0"/>
        <w:jc w:val="both"/>
      </w:pPr>
      <w:r>
        <w:rPr>
          <w:rFonts w:ascii="Calibri" w:hAnsi="Calibri" w:eastAsia="Calibri" w:cs="Calibri"/>
          <w:color w:val="000000"/>
          <w:sz w:val="22"/>
          <w:szCs w:val="22"/>
        </w:rPr>
        <w:t xml:space="preserve">Systemic neonicotinoid drenches are the main control method used in nurseries where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damage is prevalent in South-Eastern USA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They provided 2-4 years (imidacloprid) or 1 year (dinotefuran, clothianidin) of protection in trials with young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trees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For landscape trees, Baker (2019) mentions that imidacloprid soil drenches can be combined with insecticide sprays on trunks and larger branches.</w:t>
      </w:r>
    </w:p>
    <w:p>
      <w:pPr>
        <w:widowControl w:val="on"/>
        <w:pBdr/>
        <w:spacing w:before="220" w:after="220" w:line="240" w:lineRule="auto"/>
        <w:ind w:left="0" w:right="0"/>
        <w:jc w:val="both"/>
      </w:pPr>
      <w:r>
        <w:rPr>
          <w:rFonts w:ascii="Calibri" w:hAnsi="Calibri" w:eastAsia="Calibri" w:cs="Calibri"/>
          <w:color w:val="000000"/>
          <w:sz w:val="22"/>
          <w:szCs w:val="22"/>
        </w:rPr>
        <w:t xml:space="preserve">Trunk sprays using active substances such as bifenthrin, carbaryl, chlorpyrifos, imidacloprid and permethrin have been widely used and are part of control recommendations, especially for young trees (Addesso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citing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Baker, 2019; Beddes &amp; Caron, 2014; Krischik &amp; Davidson, 2013). However, such treatments require multiple applications per year, and an appropriate monitoring for timing of applications (LeBude, 2019;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w:t>
      </w:r>
    </w:p>
    <w:p>
      <w:pPr>
        <w:widowControl w:val="on"/>
        <w:pBdr/>
        <w:spacing w:before="220" w:after="220" w:line="240" w:lineRule="auto"/>
        <w:ind w:left="0" w:right="0"/>
        <w:jc w:val="both"/>
      </w:pPr>
      <w:r>
        <w:rPr>
          <w:rFonts w:ascii="Calibri" w:hAnsi="Calibri" w:eastAsia="Calibri" w:cs="Calibri"/>
          <w:color w:val="000000"/>
          <w:sz w:val="22"/>
          <w:szCs w:val="22"/>
        </w:rPr>
        <w:t xml:space="preserve">Cultural control methods are applied to maintain tree health, avoid stress and control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populations. These relate to the choice of appropriate planting sites, tree species and cultivars, avoiding planting too deep, providing appropriate watering, mulch and fertilization, and avoiding injuries to trees (Baker, 2019; Beddes &amp; Caron, 2014; Hansen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Krischik &amp; Davidson, 2013; Oliver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2019b). The use of cover crops sown within tree rows in nurseries was recently investigated as a viable alternative to insecticides (Addesso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Dawadi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Host tree trunks can be inspected during the growing season, and infested material removed to prevent emergence of adults (Beddes &amp; Caron, 2014; Capizzi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Solomon, 1995; Solomon &amp; Payne, 1986). Firewood should not be piled near susceptible host productions because adults may emerge in the summer after an infested tree was cut down (Eaton, 2011). Finally, predators and parasitoids can reduce populations under natural conditions but their role in ornamental nurseries and landscapes is not known (Frank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There are no commercial biological control agents available against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(EPPO,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Most host genera and species of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occur in the EPPO region, where they are planted as fruit, forest, plantation or ornamental (private and public gardens, landscaping) trees and shrubs, or are native and grow in the wild, in some cases over wide areas. As in North America,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would probably be able to attack new hosts in the EPPO region. According to EPPO (2021), the areas in the EPPO region conducive to impact would include at least the southern part of the region, from the Mediterranean Basin to Central Asia, with the highest impact in areas that are climatically similar to southeastern USA. Economic damage is also expected in part of the temperate areas from Europe to Central Asia. The northern limit of establishment and impact is uncertain, but there may be occasional outbreaks in more northern areas when conditions are appropriate, and the pest may also extend its life cycle to 2–3 years.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could cause the same type of damage in the EPPO region as in the USA, i.e. mortality or damage to trees, but impact could potentially be higher in the EPPO region, because insecticide treatments that are effective in the USA are not available in at least part of the EPPO region.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is likely to affect primarily newly planted trees and weakened/stressed trees, especially in the landscape, nurseries, orchards and forest plantations. The presence of many other </w:t>
      </w:r>
      <w:r>
        <w:rPr>
          <w:rFonts w:ascii="Calibri" w:hAnsi="Calibri" w:eastAsia="Calibri" w:cs="Calibri"/>
          <w:i/>
          <w:iCs/>
          <w:color w:val="000000"/>
          <w:sz w:val="22"/>
          <w:szCs w:val="22"/>
        </w:rPr>
        <w:t xml:space="preserve">Chrysobothris</w:t>
      </w:r>
      <w:r>
        <w:rPr>
          <w:rFonts w:ascii="Calibri" w:hAnsi="Calibri" w:eastAsia="Calibri" w:cs="Calibri"/>
          <w:color w:val="000000"/>
          <w:sz w:val="22"/>
          <w:szCs w:val="22"/>
        </w:rPr>
        <w:t xml:space="preserve"> species in the EPPO region is likely to make early detection difficult. In addition, unlike in North America, environmental impact may occur where host species play an important ecological role. For example, common hosts grown as ornamental plants in the USA (e.g. </w:t>
      </w:r>
      <w:r>
        <w:rPr>
          <w:rFonts w:ascii="Calibri" w:hAnsi="Calibri" w:eastAsia="Calibri" w:cs="Calibri"/>
          <w:i/>
          <w:iCs/>
          <w:color w:val="000000"/>
          <w:sz w:val="22"/>
          <w:szCs w:val="22"/>
        </w:rPr>
        <w:t xml:space="preserve">Carpinus betulus</w:t>
      </w:r>
      <w:r>
        <w:rPr>
          <w:rFonts w:ascii="Calibri" w:hAnsi="Calibri" w:eastAsia="Calibri" w:cs="Calibri"/>
          <w:color w:val="000000"/>
          <w:sz w:val="22"/>
          <w:szCs w:val="22"/>
        </w:rPr>
        <w:t xml:space="preserve">) are common trees in the environments and forests 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PRA (EPPO, 2021) recommends phytosanitary measures for plants for planting (except seeds, tissue cultures and pollen), cut branches, round wood and sawn wood (&gt;6 mm) of hosts confirmed to be true hosts of </w:t>
      </w:r>
      <w:r>
        <w:rPr>
          <w:rFonts w:ascii="Calibri" w:hAnsi="Calibri" w:eastAsia="Calibri" w:cs="Calibri"/>
          <w:i/>
          <w:iCs/>
          <w:color w:val="000000"/>
          <w:sz w:val="22"/>
          <w:szCs w:val="22"/>
        </w:rPr>
        <w:t xml:space="preserve">C. femorata</w:t>
      </w:r>
      <w:r>
        <w:rPr>
          <w:rFonts w:ascii="Calibri" w:hAnsi="Calibri" w:eastAsia="Calibri" w:cs="Calibri"/>
          <w:color w:val="000000"/>
          <w:sz w:val="22"/>
          <w:szCs w:val="22"/>
        </w:rPr>
        <w:t xml:space="preserve"> s.s., as well as for deciduous wood chips and similar commodities. For plants for planting and cut branches, risk management options are pest free area and pest free production site under complete physical isolation. For plants for planting only, post-entry quarantine is also an option as well as a systems approach combining plants of a diameter below a certain size (dependent on the host species), growing vegetation of 30-45 cm height around the base of the plants, and visual inspection of the crop and of the consignment. For round wood and sawn wood, risk management options are pest free area, heat treatment, irradiation and fumigation with sulfuryl fluoride, and for wood chips, pest free area. In addition, where a risk of infestation exists following the application of a risk management option, consignments should be stored and transported in conditions preventing infestation. Although the establishment of pest free areas was identified as a possible option for most pathways, it was not considered possible in Southern Canada and continental USA except Alaska, and therefore limits its applicability in the current distribution of the pest (EPPO, 2021). Wood packaging material should be treated according to ISPM 15 (FAO, 2018). Finally, for plants for planting, cut branches, round wood and sawn wood of hosts that have an uncertain status in the PRA (not confirmed hosts), the only measure recommended is that they should be accompanied with a phytosanitary certificate (EPPO,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Acebes-Doria A, Joseph S &amp; Blaauw B (2019) East Coast: Factors Affecting Borers and Management: Pecans, Ornamentals and Fruit Trees. In </w:t>
      </w:r>
      <w:r>
        <w:rPr>
          <w:rFonts w:ascii="Calibri" w:hAnsi="Calibri" w:eastAsia="Calibri" w:cs="Calibri"/>
          <w:i/>
          <w:iCs/>
          <w:color w:val="000000"/>
          <w:sz w:val="22"/>
          <w:szCs w:val="22"/>
        </w:rPr>
        <w:t xml:space="preserve">Flatheaded Borer Workshop</w:t>
      </w:r>
      <w:r>
        <w:rPr>
          <w:rFonts w:ascii="Calibri" w:hAnsi="Calibri" w:eastAsia="Calibri" w:cs="Calibri"/>
          <w:color w:val="000000"/>
          <w:sz w:val="22"/>
          <w:szCs w:val="22"/>
        </w:rPr>
        <w:t xml:space="preserve">, p. 27. Tennessee State University, McMinnville, USA, July 1–2. </w:t>
      </w:r>
    </w:p>
    <w:p>
      <w:pPr>
        <w:widowControl w:val="on"/>
        <w:pBdr/>
        <w:spacing w:before="220" w:after="220" w:line="240" w:lineRule="auto"/>
        <w:ind w:left="0" w:right="0"/>
        <w:jc w:val="left"/>
      </w:pPr>
      <w:r>
        <w:rPr>
          <w:rFonts w:ascii="Calibri" w:hAnsi="Calibri" w:eastAsia="Calibri" w:cs="Calibri"/>
          <w:color w:val="000000"/>
          <w:sz w:val="22"/>
          <w:szCs w:val="22"/>
        </w:rPr>
        <w:t xml:space="preserve">Addesso K, Dawadi S, Gonzalez A, Oliver J &amp; O'Neal P (2019) Management of Flatheaded Appletree Borer in Nursery Production with Cover Crops. In </w:t>
      </w:r>
      <w:r>
        <w:rPr>
          <w:rFonts w:ascii="Calibri" w:hAnsi="Calibri" w:eastAsia="Calibri" w:cs="Calibri"/>
          <w:i/>
          <w:iCs/>
          <w:color w:val="000000"/>
          <w:sz w:val="22"/>
          <w:szCs w:val="22"/>
        </w:rPr>
        <w:t xml:space="preserve">Flatheaded Borer Workshop</w:t>
      </w:r>
      <w:r>
        <w:rPr>
          <w:rFonts w:ascii="Calibri" w:hAnsi="Calibri" w:eastAsia="Calibri" w:cs="Calibri"/>
          <w:color w:val="000000"/>
          <w:sz w:val="22"/>
          <w:szCs w:val="22"/>
        </w:rPr>
        <w:t xml:space="preserve">, p. 43. Tennessee State University, McMinnville, USA, July 1-2. </w:t>
      </w:r>
      <w:hyperlink r:id="rId86796aac9e17f148a" w:history="1"/>
    </w:p>
    <w:p>
      <w:pPr>
        <w:widowControl w:val="on"/>
        <w:pBdr/>
        <w:spacing w:before="220" w:after="220" w:line="240" w:lineRule="auto"/>
        <w:ind w:left="0" w:right="0"/>
        <w:jc w:val="left"/>
      </w:pPr>
      <w:r>
        <w:rPr>
          <w:rFonts w:ascii="Calibri" w:hAnsi="Calibri" w:eastAsia="Calibri" w:cs="Calibri"/>
          <w:color w:val="000000"/>
          <w:sz w:val="22"/>
          <w:szCs w:val="22"/>
        </w:rPr>
        <w:t xml:space="preserve">Addesso K, Dawadi S, Oliver JB, Fare D &amp; Witcher A (2018) Managing Flatheaded Appletree Borer with Cover Crops. SNA Research Conference 62, 13-16.</w:t>
      </w:r>
    </w:p>
    <w:p>
      <w:pPr>
        <w:widowControl w:val="on"/>
        <w:pBdr/>
        <w:spacing w:before="220" w:after="220" w:line="240" w:lineRule="auto"/>
        <w:ind w:left="0" w:right="0"/>
        <w:jc w:val="left"/>
      </w:pPr>
      <w:r>
        <w:rPr>
          <w:rFonts w:ascii="Calibri" w:hAnsi="Calibri" w:eastAsia="Calibri" w:cs="Calibri"/>
          <w:color w:val="000000"/>
          <w:sz w:val="22"/>
          <w:szCs w:val="22"/>
        </w:rPr>
        <w:t xml:space="preserve">Addesso K, Oliver J, Youssef N &amp; Fare D (2020) Evaluation of systemic imidacloprid and herbicide treatments on flatheaded borer (Coleoptera: Buprestidae) management in field nursery production.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113, 2808-2819. </w:t>
      </w:r>
      <w:hyperlink r:id="rId88016aac9e17f14f9" w:history="1"/>
    </w:p>
    <w:p>
      <w:pPr>
        <w:widowControl w:val="on"/>
        <w:pBdr/>
        <w:spacing w:before="220" w:after="220" w:line="240" w:lineRule="auto"/>
        <w:ind w:left="0" w:right="0"/>
        <w:jc w:val="left"/>
      </w:pPr>
      <w:r>
        <w:rPr>
          <w:rFonts w:ascii="Calibri" w:hAnsi="Calibri" w:eastAsia="Calibri" w:cs="Calibri"/>
          <w:color w:val="000000"/>
          <w:sz w:val="22"/>
          <w:szCs w:val="22"/>
        </w:rPr>
        <w:t xml:space="preserve">Ames G (2018) Battling Borers in Organic Apple Production - The National Center for Appropriate Technology. Retrieved from </w:t>
      </w:r>
      <w:hyperlink r:id="rId50896aac9e17f1523" w:history="1">
        <w:r>
          <w:rPr>
            <w:rFonts w:ascii="Calibri" w:hAnsi="Calibri" w:eastAsia="Calibri" w:cs="Calibri"/>
            <w:color w:val="0000CC"/>
            <w:sz w:val="22"/>
            <w:szCs w:val="22"/>
            <w:u w:val="single"/>
          </w:rPr>
          <w:t xml:space="preserve">https://www.ncat.org/battling-borers-in-organic-apple-production/</w:t>
        </w:r>
      </w:hyperlink>
      <w:r>
        <w:rPr>
          <w:rFonts w:ascii="Calibri" w:hAnsi="Calibri" w:eastAsia="Calibri" w:cs="Calibri"/>
          <w:color w:val="000000"/>
          <w:sz w:val="22"/>
          <w:szCs w:val="22"/>
        </w:rPr>
        <w:t xml:space="preserve"> [accessed in September 2020].</w:t>
      </w:r>
    </w:p>
    <w:p>
      <w:pPr>
        <w:widowControl w:val="on"/>
        <w:pBdr/>
        <w:spacing w:before="220" w:after="220" w:line="240" w:lineRule="auto"/>
        <w:ind w:left="0" w:right="0"/>
        <w:jc w:val="left"/>
      </w:pPr>
      <w:r>
        <w:rPr>
          <w:rFonts w:ascii="Calibri" w:hAnsi="Calibri" w:eastAsia="Calibri" w:cs="Calibri"/>
          <w:color w:val="000000"/>
          <w:sz w:val="22"/>
          <w:szCs w:val="22"/>
        </w:rPr>
        <w:t xml:space="preserve">Baker (2019) Flatheaded appletree borer. North Carolina State Extension Publication. Retrieved from </w:t>
      </w:r>
      <w:hyperlink r:id="rId22436aac9e17f1563" w:history="1">
        <w:r>
          <w:rPr>
            <w:rFonts w:ascii="Calibri" w:hAnsi="Calibri" w:eastAsia="Calibri" w:cs="Calibri"/>
            <w:color w:val="0000CC"/>
            <w:sz w:val="22"/>
            <w:szCs w:val="22"/>
            <w:u w:val="single"/>
          </w:rPr>
          <w:t xml:space="preserve">https://content.ces.ncsu.edu/flatheaded-appletree-borer</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Beddes T &amp; Caron M (2014) Pacific Flatheaded Borer and Flatheaded Appletree Borer. Utah Pests Fact Sheet, ENT-170-14PR. 4 pp.</w:t>
      </w:r>
    </w:p>
    <w:p>
      <w:pPr>
        <w:widowControl w:val="on"/>
        <w:pBdr/>
        <w:spacing w:before="220" w:after="220" w:line="240" w:lineRule="auto"/>
        <w:ind w:left="0" w:right="0"/>
        <w:jc w:val="left"/>
      </w:pPr>
      <w:r>
        <w:rPr>
          <w:rFonts w:ascii="Calibri" w:hAnsi="Calibri" w:eastAsia="Calibri" w:cs="Calibri"/>
          <w:color w:val="000000"/>
          <w:sz w:val="22"/>
          <w:szCs w:val="22"/>
        </w:rPr>
        <w:t xml:space="preserve">Bright DE (1987) The metallic wood-boring beetles of Canada and Alaska, Coleoptera: Buprestidae. In The insects and arachnids of Canada (p. part. 15). Ottawa: Biosystematics Research Center. </w:t>
      </w:r>
      <w:hyperlink r:id="rId17806aac9e17f15c0" w:history="1"/>
    </w:p>
    <w:p>
      <w:pPr>
        <w:widowControl w:val="on"/>
        <w:pBdr/>
        <w:spacing w:before="220" w:after="220" w:line="240" w:lineRule="auto"/>
        <w:ind w:left="0" w:right="0"/>
        <w:jc w:val="left"/>
      </w:pPr>
      <w:r>
        <w:rPr>
          <w:rFonts w:ascii="Calibri" w:hAnsi="Calibri" w:eastAsia="Calibri" w:cs="Calibri"/>
          <w:color w:val="000000"/>
          <w:sz w:val="22"/>
          <w:szCs w:val="22"/>
        </w:rPr>
        <w:t xml:space="preserve">Burke HE (1919) Biological Notes on the Flatheaded Apple Tree Borer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Fab.) and the Pacific Flatheaded Apple Tree Borer (</w:t>
      </w:r>
      <w:r>
        <w:rPr>
          <w:rFonts w:ascii="Calibri" w:hAnsi="Calibri" w:eastAsia="Calibri" w:cs="Calibri"/>
          <w:i/>
          <w:iCs/>
          <w:color w:val="000000"/>
          <w:sz w:val="22"/>
          <w:szCs w:val="22"/>
        </w:rPr>
        <w:t xml:space="preserve">Chrysobothris mali</w:t>
      </w:r>
      <w:r>
        <w:rPr>
          <w:rFonts w:ascii="Calibri" w:hAnsi="Calibri" w:eastAsia="Calibri" w:cs="Calibri"/>
          <w:color w:val="000000"/>
          <w:sz w:val="22"/>
          <w:szCs w:val="22"/>
        </w:rPr>
        <w:t xml:space="preserve"> Horn).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12, 326-333.</w:t>
      </w:r>
    </w:p>
    <w:p>
      <w:pPr>
        <w:widowControl w:val="on"/>
        <w:pBdr/>
        <w:spacing w:before="220" w:after="220" w:line="240" w:lineRule="auto"/>
        <w:ind w:left="0" w:right="0"/>
        <w:jc w:val="left"/>
      </w:pPr>
      <w:r>
        <w:rPr>
          <w:rFonts w:ascii="Calibri" w:hAnsi="Calibri" w:eastAsia="Calibri" w:cs="Calibri"/>
          <w:color w:val="000000"/>
          <w:sz w:val="22"/>
          <w:szCs w:val="22"/>
        </w:rPr>
        <w:t xml:space="preserve">Capizzi J, Miller J &amp; Green J (1982) Flatheaded apple tree borer &amp; Pacific flatheaded borer: Live Larvae - Dead Trees. </w:t>
      </w:r>
      <w:r>
        <w:rPr>
          <w:rFonts w:ascii="Calibri" w:hAnsi="Calibri" w:eastAsia="Calibri" w:cs="Calibri"/>
          <w:i/>
          <w:iCs/>
          <w:color w:val="000000"/>
          <w:sz w:val="22"/>
          <w:szCs w:val="22"/>
        </w:rPr>
        <w:t xml:space="preserve">Ornamentals Northwest Archives</w:t>
      </w:r>
      <w:r>
        <w:rPr>
          <w:rFonts w:ascii="Calibri" w:hAnsi="Calibri" w:eastAsia="Calibri" w:cs="Calibri"/>
          <w:color w:val="000000"/>
          <w:sz w:val="22"/>
          <w:szCs w:val="22"/>
        </w:rPr>
        <w:t xml:space="preserve"> 6, 3-5</w:t>
      </w:r>
    </w:p>
    <w:p>
      <w:pPr>
        <w:widowControl w:val="on"/>
        <w:pBdr/>
        <w:spacing w:before="220" w:after="220" w:line="240" w:lineRule="auto"/>
        <w:ind w:left="0" w:right="0"/>
        <w:jc w:val="left"/>
      </w:pPr>
      <w:r>
        <w:rPr>
          <w:rFonts w:ascii="Calibri" w:hAnsi="Calibri" w:eastAsia="Calibri" w:cs="Calibri"/>
          <w:color w:val="000000"/>
          <w:sz w:val="22"/>
          <w:szCs w:val="22"/>
        </w:rPr>
        <w:t xml:space="preserve">Coyle DR, Nebeker TE, Hart ER &amp; Mattson WJ (2005) Biology and management of insect pests in North American intensively managed hardwood forest systems.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50, 1-29. </w:t>
      </w:r>
      <w:hyperlink r:id="rId29046aac9e17f16cb" w:history="1"/>
    </w:p>
    <w:p>
      <w:pPr>
        <w:widowControl w:val="on"/>
        <w:pBdr/>
        <w:spacing w:before="220" w:after="220" w:line="240" w:lineRule="auto"/>
        <w:ind w:left="0" w:right="0"/>
        <w:jc w:val="left"/>
      </w:pPr>
      <w:r>
        <w:rPr>
          <w:rFonts w:ascii="Calibri" w:hAnsi="Calibri" w:eastAsia="Calibri" w:cs="Calibri"/>
          <w:color w:val="000000"/>
          <w:sz w:val="22"/>
          <w:szCs w:val="22"/>
        </w:rPr>
        <w:t xml:space="preserve">Dawadi S, Oliver JB, O'Neal P &amp; Addesso KM (2019) Management of flatheaded appletree borer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Olivier) in woody ornamental nursery production with a winter cover crop.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75, 1971-1978.</w:t>
      </w:r>
    </w:p>
    <w:p>
      <w:pPr>
        <w:widowControl w:val="on"/>
        <w:pBdr/>
        <w:spacing w:before="220" w:after="220" w:line="240" w:lineRule="auto"/>
        <w:ind w:left="0" w:right="0"/>
        <w:jc w:val="left"/>
      </w:pPr>
      <w:r>
        <w:rPr>
          <w:rFonts w:ascii="Calibri" w:hAnsi="Calibri" w:eastAsia="Calibri" w:cs="Calibri"/>
          <w:color w:val="000000"/>
          <w:sz w:val="22"/>
          <w:szCs w:val="22"/>
        </w:rPr>
        <w:t xml:space="preserve">Eaton AT (2011) Borers in New Hampshire Apple Trees. University of New Hampshire Cooperative Extension. 8 pp. Retrieved from </w:t>
      </w:r>
      <w:hyperlink r:id="rId33846aac9e17f1756" w:history="1">
        <w:r>
          <w:rPr>
            <w:rFonts w:ascii="Calibri" w:hAnsi="Calibri" w:eastAsia="Calibri" w:cs="Calibri"/>
            <w:color w:val="0000CC"/>
            <w:sz w:val="22"/>
            <w:szCs w:val="22"/>
            <w:u w:val="single"/>
          </w:rPr>
          <w:t xml:space="preserve">https://extension.unh.edu/resources/files/Resource001830_Rep2590.pdf</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(2021) EPPO Technical Document No. 1083. Pest risk analysis for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mali</w:t>
      </w:r>
      <w:r>
        <w:rPr>
          <w:rFonts w:ascii="Calibri" w:hAnsi="Calibri" w:eastAsia="Calibri" w:cs="Calibri"/>
          <w:color w:val="000000"/>
          <w:sz w:val="22"/>
          <w:szCs w:val="22"/>
        </w:rPr>
        <w:t xml:space="preserve">. EPPO, Paris. Available at </w:t>
      </w:r>
      <w:hyperlink r:id="rId74736aac9e17f17d4" w:history="1">
        <w:r>
          <w:rPr>
            <w:rFonts w:ascii="Calibri" w:hAnsi="Calibri" w:eastAsia="Calibri" w:cs="Calibri"/>
            <w:color w:val="0000CC"/>
            <w:sz w:val="22"/>
            <w:szCs w:val="22"/>
            <w:u w:val="single"/>
          </w:rPr>
          <w:t xml:space="preserve">https://gd.eppo.int/taxon/CHRBFE/documents</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(2018) ISPM 15 Regulation of wood packaging material in international trade. </w:t>
      </w:r>
      <w:r>
        <w:rPr>
          <w:rFonts w:ascii="Calibri" w:hAnsi="Calibri" w:eastAsia="Calibri" w:cs="Calibri"/>
          <w:i/>
          <w:iCs/>
          <w:color w:val="000000"/>
          <w:sz w:val="22"/>
          <w:szCs w:val="22"/>
        </w:rPr>
        <w:t xml:space="preserve">International standards for phytosanitary measures</w:t>
      </w:r>
      <w:r>
        <w:rPr>
          <w:rFonts w:ascii="Calibri" w:hAnsi="Calibri" w:eastAsia="Calibri" w:cs="Calibri"/>
          <w:color w:val="000000"/>
          <w:sz w:val="22"/>
          <w:szCs w:val="22"/>
        </w:rPr>
        <w:t xml:space="preserve">. Available at </w:t>
      </w:r>
      <w:hyperlink r:id="rId40636aac9e17f1832" w:history="1">
        <w:r>
          <w:rPr>
            <w:rFonts w:ascii="Calibri" w:hAnsi="Calibri" w:eastAsia="Calibri" w:cs="Calibri"/>
            <w:color w:val="0000CC"/>
            <w:sz w:val="22"/>
            <w:szCs w:val="22"/>
            <w:u w:val="single"/>
          </w:rPr>
          <w:t xml:space="preserve">https://www.ippc.int/en/core-activities/standards-setting/ispms/</w:t>
        </w:r>
      </w:hyperlink>
      <w:r>
        <w:rPr>
          <w:rFonts w:ascii="Calibri" w:hAnsi="Calibri" w:eastAsia="Calibri" w:cs="Calibri"/>
          <w:color w:val="000000"/>
          <w:sz w:val="22"/>
          <w:szCs w:val="22"/>
        </w:rPr>
        <w:t xml:space="preserve"> [accessed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Fenton F (1942) The flatheaded apple tree borer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(Oliver)). </w:t>
      </w:r>
      <w:r>
        <w:rPr>
          <w:rFonts w:ascii="Calibri" w:hAnsi="Calibri" w:eastAsia="Calibri" w:cs="Calibri"/>
          <w:i/>
          <w:iCs/>
          <w:color w:val="000000"/>
          <w:sz w:val="22"/>
          <w:szCs w:val="22"/>
        </w:rPr>
        <w:t xml:space="preserve">Oklahoma Agricultural Experiment Station Bulletin</w:t>
      </w:r>
      <w:r>
        <w:rPr>
          <w:rFonts w:ascii="Calibri" w:hAnsi="Calibri" w:eastAsia="Calibri" w:cs="Calibri"/>
          <w:color w:val="000000"/>
          <w:sz w:val="22"/>
          <w:szCs w:val="22"/>
        </w:rPr>
        <w:t xml:space="preserve">. Vol. B-259. 31 pp. </w:t>
      </w:r>
      <w:hyperlink r:id="rId58396aac9e17f18ae" w:history="1"/>
    </w:p>
    <w:p>
      <w:pPr>
        <w:widowControl w:val="on"/>
        <w:pBdr/>
        <w:spacing w:before="220" w:after="220" w:line="240" w:lineRule="auto"/>
        <w:ind w:left="0" w:right="0"/>
        <w:jc w:val="left"/>
      </w:pPr>
      <w:r>
        <w:rPr>
          <w:rFonts w:ascii="Calibri" w:hAnsi="Calibri" w:eastAsia="Calibri" w:cs="Calibri"/>
          <w:color w:val="000000"/>
          <w:sz w:val="22"/>
          <w:szCs w:val="22"/>
        </w:rPr>
        <w:t xml:space="preserve">Fenton FA &amp; Maxwell JM (1937) Flat-headed Apple Tree Borer in Oklahoma.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30, 748-750.</w:t>
      </w:r>
    </w:p>
    <w:p>
      <w:pPr>
        <w:widowControl w:val="on"/>
        <w:pBdr/>
        <w:spacing w:before="220" w:after="220" w:line="240" w:lineRule="auto"/>
        <w:ind w:left="0" w:right="0"/>
        <w:jc w:val="left"/>
      </w:pPr>
      <w:r>
        <w:rPr>
          <w:rFonts w:ascii="Calibri" w:hAnsi="Calibri" w:eastAsia="Calibri" w:cs="Calibri"/>
          <w:color w:val="000000"/>
          <w:sz w:val="22"/>
          <w:szCs w:val="22"/>
        </w:rPr>
        <w:t xml:space="preserve">Frank SD, Klingeman WE, White SA &amp; Fulcher A (2013) Biology, injury, and management of maple tree pests in nurseries and urban landscapes. </w:t>
      </w:r>
      <w:r>
        <w:rPr>
          <w:rFonts w:ascii="Calibri" w:hAnsi="Calibri" w:eastAsia="Calibri" w:cs="Calibri"/>
          <w:i/>
          <w:iCs/>
          <w:color w:val="000000"/>
          <w:sz w:val="22"/>
          <w:szCs w:val="22"/>
        </w:rPr>
        <w:t xml:space="preserve">Journal of Integrated Pest Management</w:t>
      </w:r>
      <w:r>
        <w:rPr>
          <w:rFonts w:ascii="Calibri" w:hAnsi="Calibri" w:eastAsia="Calibri" w:cs="Calibri"/>
          <w:color w:val="000000"/>
          <w:sz w:val="22"/>
          <w:szCs w:val="22"/>
        </w:rPr>
        <w:t xml:space="preserve"> 4(1), 1-14.</w:t>
      </w:r>
    </w:p>
    <w:p>
      <w:pPr>
        <w:widowControl w:val="on"/>
        <w:pBdr/>
        <w:spacing w:before="220" w:after="220" w:line="240" w:lineRule="auto"/>
        <w:ind w:left="0" w:right="0"/>
        <w:jc w:val="left"/>
      </w:pPr>
      <w:r>
        <w:rPr>
          <w:rFonts w:ascii="Calibri" w:hAnsi="Calibri" w:eastAsia="Calibri" w:cs="Calibri"/>
          <w:color w:val="000000"/>
          <w:sz w:val="22"/>
          <w:szCs w:val="22"/>
        </w:rPr>
        <w:t xml:space="preserve">Fulcher A (2012) Scouting and Monitoring Pests of Deciduous Trees during Nursery Production. UT Extension. W142. 13 pp. Retrieved from </w:t>
      </w:r>
      <w:hyperlink r:id="rId66146aac9e17f1953" w:history="1">
        <w:r>
          <w:rPr>
            <w:rFonts w:ascii="Calibri" w:hAnsi="Calibri" w:eastAsia="Calibri" w:cs="Calibri"/>
            <w:color w:val="0000CC"/>
            <w:sz w:val="22"/>
            <w:szCs w:val="22"/>
            <w:u w:val="single"/>
          </w:rPr>
          <w:t xml:space="preserve">https://trace.tennessee.edu/utk_agexcomhort/55</w:t>
        </w:r>
      </w:hyperlink>
      <w:r>
        <w:rPr>
          <w:rFonts w:ascii="Calibri" w:hAnsi="Calibri" w:eastAsia="Calibri" w:cs="Calibri"/>
          <w:color w:val="000000"/>
          <w:sz w:val="22"/>
          <w:szCs w:val="22"/>
        </w:rPr>
        <w:t xml:space="preserve"> [accessed 21-11-2023]. </w:t>
      </w:r>
      <w:hyperlink r:id="rId44796aac9e17f1972" w:history="1"/>
    </w:p>
    <w:p>
      <w:pPr>
        <w:widowControl w:val="on"/>
        <w:pBdr/>
        <w:spacing w:before="220" w:after="220" w:line="240" w:lineRule="auto"/>
        <w:ind w:left="0" w:right="0"/>
        <w:jc w:val="left"/>
      </w:pPr>
      <w:r>
        <w:rPr>
          <w:rFonts w:ascii="Calibri" w:hAnsi="Calibri" w:eastAsia="Calibri" w:cs="Calibri"/>
          <w:color w:val="000000"/>
          <w:sz w:val="22"/>
          <w:szCs w:val="22"/>
        </w:rPr>
        <w:t xml:space="preserve">Hansen JA (2010) Identification and Phylogenetic Characterization of Select Species of Buprestidae (Coleoptera) and Sesiidae (Lepidoptera) Wood Boring Insect Families Occuring Across the Southeastern United States. University of Tennessee. Ph. D. Thesis. 205 pp.</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JA, Hale FA &amp; Klingeman WE (2009) Identifying the Flatheaded Appletree Borer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and Other Buprestid Beetle Species in Tennessee. University of Tennessee Extension, SP503-1. 6 pp.</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JA, Moulton JK, Klingeman WE, Oliver JB, Windham MT, Trigiano RN &amp; Reding ME (2015) Molecular systematics of the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species group (Coleoptera: Buprestidae).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108, 950-963.</w:t>
      </w:r>
    </w:p>
    <w:p>
      <w:pPr>
        <w:widowControl w:val="on"/>
        <w:pBdr/>
        <w:spacing w:before="220" w:after="220" w:line="240" w:lineRule="auto"/>
        <w:ind w:left="0" w:right="0"/>
        <w:jc w:val="left"/>
      </w:pPr>
      <w:r>
        <w:rPr>
          <w:rFonts w:ascii="Calibri" w:hAnsi="Calibri" w:eastAsia="Calibri" w:cs="Calibri"/>
          <w:color w:val="000000"/>
          <w:sz w:val="22"/>
          <w:szCs w:val="22"/>
        </w:rPr>
        <w:t xml:space="preserve">Hansen JA, Petrice TR &amp; Haack RA (2011) New state distribution and host records of North American Buprestidae (Coleoptera). </w:t>
      </w:r>
      <w:r>
        <w:rPr>
          <w:rFonts w:ascii="Calibri" w:hAnsi="Calibri" w:eastAsia="Calibri" w:cs="Calibri"/>
          <w:i/>
          <w:iCs/>
          <w:color w:val="000000"/>
          <w:sz w:val="22"/>
          <w:szCs w:val="22"/>
        </w:rPr>
        <w:t xml:space="preserve">Great Lakes Entomologist</w:t>
      </w:r>
      <w:r>
        <w:rPr>
          <w:rFonts w:ascii="Calibri" w:hAnsi="Calibri" w:eastAsia="Calibri" w:cs="Calibri"/>
          <w:color w:val="000000"/>
          <w:sz w:val="22"/>
          <w:szCs w:val="22"/>
        </w:rPr>
        <w:t xml:space="preserve"> 44(1-2), 74-77.</w:t>
      </w:r>
    </w:p>
    <w:p>
      <w:pPr>
        <w:widowControl w:val="on"/>
        <w:pBdr/>
        <w:spacing w:before="220" w:after="220" w:line="240" w:lineRule="auto"/>
        <w:ind w:left="0" w:right="0"/>
        <w:jc w:val="left"/>
      </w:pPr>
      <w:r>
        <w:rPr>
          <w:rFonts w:ascii="Calibri" w:hAnsi="Calibri" w:eastAsia="Calibri" w:cs="Calibri"/>
          <w:color w:val="000000"/>
          <w:sz w:val="22"/>
          <w:szCs w:val="22"/>
        </w:rPr>
        <w:t xml:space="preserve">Klingeman WE, Hansen JA, Basham JP, Oliver JB, Youssef NN, Swink W, Nalepa CA, Fare DC &amp; Moulton JK (2015) Seasonal Flight Activity and Distribution of Metallic Woodboring Beetles (Coleoptera: Buprestidae) Collected in North Carolina and Tennessee.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98, 579-587. </w:t>
      </w:r>
      <w:hyperlink r:id="rId44826aac9e17f1ab5" w:history="1"/>
    </w:p>
    <w:p>
      <w:pPr>
        <w:widowControl w:val="on"/>
        <w:pBdr/>
        <w:spacing w:before="220" w:after="220" w:line="240" w:lineRule="auto"/>
        <w:ind w:left="0" w:right="0"/>
        <w:jc w:val="left"/>
      </w:pPr>
      <w:r>
        <w:rPr>
          <w:rFonts w:ascii="Calibri" w:hAnsi="Calibri" w:eastAsia="Calibri" w:cs="Calibri"/>
          <w:color w:val="000000"/>
          <w:sz w:val="22"/>
          <w:szCs w:val="22"/>
        </w:rPr>
        <w:t xml:space="preserve">Krischik &amp; Davidson (2013) Flatheaded appletree borer. IPM of Midwest Landscapes - Pest of Trees and Shrubs, 135-136.</w:t>
      </w:r>
    </w:p>
    <w:p>
      <w:pPr>
        <w:widowControl w:val="on"/>
        <w:pBdr/>
        <w:spacing w:before="220" w:after="220" w:line="240" w:lineRule="auto"/>
        <w:ind w:left="0" w:right="0"/>
        <w:jc w:val="left"/>
      </w:pPr>
      <w:r>
        <w:rPr>
          <w:rFonts w:ascii="Calibri" w:hAnsi="Calibri" w:eastAsia="Calibri" w:cs="Calibri"/>
          <w:color w:val="000000"/>
          <w:sz w:val="22"/>
          <w:szCs w:val="22"/>
        </w:rPr>
        <w:t xml:space="preserve">LeBude A (2019) East Coast: Shade Tree Production – Factors Affecting Borers and Management. In </w:t>
      </w:r>
      <w:r>
        <w:rPr>
          <w:rFonts w:ascii="Calibri" w:hAnsi="Calibri" w:eastAsia="Calibri" w:cs="Calibri"/>
          <w:i/>
          <w:iCs/>
          <w:color w:val="000000"/>
          <w:sz w:val="22"/>
          <w:szCs w:val="22"/>
        </w:rPr>
        <w:t xml:space="preserve">Flatheaded Borer Workshop</w:t>
      </w:r>
      <w:r>
        <w:rPr>
          <w:rFonts w:ascii="Calibri" w:hAnsi="Calibri" w:eastAsia="Calibri" w:cs="Calibri"/>
          <w:color w:val="000000"/>
          <w:sz w:val="22"/>
          <w:szCs w:val="22"/>
        </w:rPr>
        <w:t xml:space="preserve">, p. 25-26. Tennessee State University, McMinnville, USA, July 1-2.</w:t>
      </w:r>
    </w:p>
    <w:p>
      <w:pPr>
        <w:widowControl w:val="on"/>
        <w:pBdr/>
        <w:spacing w:before="220" w:after="220" w:line="240" w:lineRule="auto"/>
        <w:ind w:left="0" w:right="0"/>
        <w:jc w:val="left"/>
      </w:pPr>
      <w:r>
        <w:rPr>
          <w:rFonts w:ascii="Calibri" w:hAnsi="Calibri" w:eastAsia="Calibri" w:cs="Calibri"/>
          <w:color w:val="000000"/>
          <w:sz w:val="22"/>
          <w:szCs w:val="22"/>
        </w:rPr>
        <w:t xml:space="preserve">Löbl I &amp; Smetana A (2006) Catalogue of Palaearctic Coleoptera, Volume 3: Scarabaeoidea - Scirtoidea - Dascilloidea - Buprestoidea - Byrrhoidea. Apollo Books.</w:t>
      </w:r>
    </w:p>
    <w:p>
      <w:pPr>
        <w:widowControl w:val="on"/>
        <w:pBdr/>
        <w:spacing w:before="220" w:after="220" w:line="240" w:lineRule="auto"/>
        <w:ind w:left="0" w:right="0"/>
        <w:jc w:val="left"/>
      </w:pPr>
      <w:r>
        <w:rPr>
          <w:rFonts w:ascii="Calibri" w:hAnsi="Calibri" w:eastAsia="Calibri" w:cs="Calibri"/>
          <w:color w:val="000000"/>
          <w:sz w:val="22"/>
          <w:szCs w:val="22"/>
        </w:rPr>
        <w:t xml:space="preserve">Oliver J, Addesso K, Fare D, Baysal-Gurel F, Witcher A, Youssef N, Basham J, Moore B &amp; O'Neal P (2019a) Flatheaded appletree borer ecology and knowledge gaps. In </w:t>
      </w:r>
      <w:r>
        <w:rPr>
          <w:rFonts w:ascii="Calibri" w:hAnsi="Calibri" w:eastAsia="Calibri" w:cs="Calibri"/>
          <w:i/>
          <w:iCs/>
          <w:color w:val="000000"/>
          <w:sz w:val="22"/>
          <w:szCs w:val="22"/>
        </w:rPr>
        <w:t xml:space="preserve">Flatheaded Borer Workshop</w:t>
      </w:r>
      <w:r>
        <w:rPr>
          <w:rFonts w:ascii="Calibri" w:hAnsi="Calibri" w:eastAsia="Calibri" w:cs="Calibri"/>
          <w:color w:val="000000"/>
          <w:sz w:val="22"/>
          <w:szCs w:val="22"/>
        </w:rPr>
        <w:t xml:space="preserve">, p. 12. Tennessee State University, McMinnville, USA, July 1-2.</w:t>
      </w:r>
    </w:p>
    <w:p>
      <w:pPr>
        <w:widowControl w:val="on"/>
        <w:pBdr/>
        <w:spacing w:before="220" w:after="220" w:line="240" w:lineRule="auto"/>
        <w:ind w:left="0" w:right="0"/>
        <w:jc w:val="left"/>
      </w:pPr>
      <w:r>
        <w:rPr>
          <w:rFonts w:ascii="Calibri" w:hAnsi="Calibri" w:eastAsia="Calibri" w:cs="Calibri"/>
          <w:color w:val="000000"/>
          <w:sz w:val="22"/>
          <w:szCs w:val="22"/>
        </w:rPr>
        <w:t xml:space="preserve">Oliver JB, Addesso KM, Klingeman B, Dismukes A &amp; Youssef NN (2019b) Tennessee Nursery Grower Town Hall Meeting Flatheaded Borer Results. In </w:t>
      </w:r>
      <w:r>
        <w:rPr>
          <w:rFonts w:ascii="Calibri" w:hAnsi="Calibri" w:eastAsia="Calibri" w:cs="Calibri"/>
          <w:i/>
          <w:iCs/>
          <w:color w:val="000000"/>
          <w:sz w:val="22"/>
          <w:szCs w:val="22"/>
        </w:rPr>
        <w:t xml:space="preserve">Flatheaded Borer Workshop</w:t>
      </w:r>
      <w:r>
        <w:rPr>
          <w:rFonts w:ascii="Calibri" w:hAnsi="Calibri" w:eastAsia="Calibri" w:cs="Calibri"/>
          <w:color w:val="000000"/>
          <w:sz w:val="22"/>
          <w:szCs w:val="22"/>
        </w:rPr>
        <w:t xml:space="preserve">, p. 57. Tennessee State University, McMinnville, USA, July 1-2.</w:t>
      </w:r>
    </w:p>
    <w:p>
      <w:pPr>
        <w:widowControl w:val="on"/>
        <w:pBdr/>
        <w:spacing w:before="220" w:after="220" w:line="240" w:lineRule="auto"/>
        <w:ind w:left="0" w:right="0"/>
        <w:jc w:val="left"/>
      </w:pPr>
      <w:r>
        <w:rPr>
          <w:rFonts w:ascii="Calibri" w:hAnsi="Calibri" w:eastAsia="Calibri" w:cs="Calibri"/>
          <w:color w:val="000000"/>
          <w:sz w:val="22"/>
          <w:szCs w:val="22"/>
        </w:rPr>
        <w:t xml:space="preserve">Oliver JB, Fare DC, Youssef N, Scholl SS, Reding ME, Ranger CM, Moyseenko JJ &amp; Halcomb MA (2010) Evaluation of a Single Application of Neonicotinoid and Multi-Application Contact Insecticides for Flatheaded Borer Management in Field Grown Red Maple Cultivars. </w:t>
      </w:r>
      <w:r>
        <w:rPr>
          <w:rFonts w:ascii="Calibri" w:hAnsi="Calibri" w:eastAsia="Calibri" w:cs="Calibri"/>
          <w:i/>
          <w:iCs/>
          <w:color w:val="000000"/>
          <w:sz w:val="22"/>
          <w:szCs w:val="22"/>
        </w:rPr>
        <w:t xml:space="preserve">Journal of Environmental Horticulture</w:t>
      </w:r>
      <w:r>
        <w:rPr>
          <w:rFonts w:ascii="Calibri" w:hAnsi="Calibri" w:eastAsia="Calibri" w:cs="Calibri"/>
          <w:color w:val="000000"/>
          <w:sz w:val="22"/>
          <w:szCs w:val="22"/>
        </w:rPr>
        <w:t xml:space="preserve"> 28, 135-149. </w:t>
      </w:r>
      <w:hyperlink r:id="rId69716aac9e17f1bf4" w:history="1"/>
    </w:p>
    <w:p>
      <w:pPr>
        <w:widowControl w:val="on"/>
        <w:pBdr/>
        <w:spacing w:before="220" w:after="220" w:line="240" w:lineRule="auto"/>
        <w:ind w:left="0" w:right="0"/>
        <w:jc w:val="left"/>
      </w:pPr>
      <w:r>
        <w:rPr>
          <w:rFonts w:ascii="Calibri" w:hAnsi="Calibri" w:eastAsia="Calibri" w:cs="Calibri"/>
          <w:color w:val="000000"/>
          <w:sz w:val="22"/>
          <w:szCs w:val="22"/>
        </w:rPr>
        <w:t xml:space="preserve">Paiero SM, Jackson MD, Jewiss-Gaines A, Kimoto T, Gill BD &amp; Marshall SA (2012) Field Guide to the jewel beetles (Coleoptera: Buprestidae) of Northeastern North America. Canadian Food Inspection Agency. 411 pp.</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Haack RA &amp; Poland TM (2013) Attraction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and other buprestids to sticky traps of various colors and shapes. </w:t>
      </w:r>
      <w:r>
        <w:rPr>
          <w:rFonts w:ascii="Calibri" w:hAnsi="Calibri" w:eastAsia="Calibri" w:cs="Calibri"/>
          <w:i/>
          <w:iCs/>
          <w:color w:val="000000"/>
          <w:sz w:val="22"/>
          <w:szCs w:val="22"/>
        </w:rPr>
        <w:t xml:space="preserve">Great Lakes Entomologist</w:t>
      </w:r>
      <w:r>
        <w:rPr>
          <w:rFonts w:ascii="Calibri" w:hAnsi="Calibri" w:eastAsia="Calibri" w:cs="Calibri"/>
          <w:color w:val="000000"/>
          <w:sz w:val="22"/>
          <w:szCs w:val="22"/>
        </w:rPr>
        <w:t xml:space="preserve"> 46, 13-30. </w:t>
      </w:r>
      <w:hyperlink r:id="rId37216aac9e17f1c79" w:history="1"/>
      <w:r>
        <w:rPr>
          <w:rFonts w:ascii="Calibri" w:hAnsi="Calibri" w:eastAsia="Calibri" w:cs="Calibri"/>
          <w:color w:val="000000"/>
          <w:sz w:val="22"/>
          <w:szCs w:val="22"/>
        </w:rPr>
        <w:t xml:space="preserve"> </w:t>
      </w:r>
      <w:hyperlink r:id="rId84886aac9e17f1c8c" w:history="1"/>
    </w:p>
    <w:p>
      <w:pPr>
        <w:widowControl w:val="on"/>
        <w:pBdr/>
        <w:spacing w:before="220" w:after="220" w:line="240" w:lineRule="auto"/>
        <w:ind w:left="0" w:right="0"/>
        <w:jc w:val="left"/>
      </w:pPr>
      <w:r>
        <w:rPr>
          <w:rFonts w:ascii="Calibri" w:hAnsi="Calibri" w:eastAsia="Calibri" w:cs="Calibri"/>
          <w:color w:val="000000"/>
          <w:sz w:val="22"/>
          <w:szCs w:val="22"/>
        </w:rPr>
        <w:t xml:space="preserve">Potter DA, Timmons GM &amp; Gordon FC (1988) Flatheaded Apple Tree Borer (Coleoptera: Buprestidae) in Nursery-Grown Red Maples: Phenology of Emergence, Treatment Timing, and Response to Stressed Trees. </w:t>
      </w:r>
      <w:r>
        <w:rPr>
          <w:rFonts w:ascii="Calibri" w:hAnsi="Calibri" w:eastAsia="Calibri" w:cs="Calibri"/>
          <w:i/>
          <w:iCs/>
          <w:color w:val="000000"/>
          <w:sz w:val="22"/>
          <w:szCs w:val="22"/>
        </w:rPr>
        <w:t xml:space="preserve">Journal of Environmental Horticulture</w:t>
      </w:r>
      <w:r>
        <w:rPr>
          <w:rFonts w:ascii="Calibri" w:hAnsi="Calibri" w:eastAsia="Calibri" w:cs="Calibri"/>
          <w:color w:val="000000"/>
          <w:sz w:val="22"/>
          <w:szCs w:val="22"/>
        </w:rPr>
        <w:t xml:space="preserve"> 6, 18-22. </w:t>
      </w:r>
      <w:hyperlink r:id="rId89686aac9e17f1cd6" w:history="1"/>
    </w:p>
    <w:p>
      <w:pPr>
        <w:widowControl w:val="on"/>
        <w:pBdr/>
        <w:spacing w:before="220" w:after="220" w:line="240" w:lineRule="auto"/>
        <w:ind w:left="0" w:right="0"/>
        <w:jc w:val="left"/>
      </w:pPr>
      <w:r>
        <w:rPr>
          <w:rFonts w:ascii="Calibri" w:hAnsi="Calibri" w:eastAsia="Calibri" w:cs="Calibri"/>
          <w:color w:val="000000"/>
          <w:sz w:val="22"/>
          <w:szCs w:val="22"/>
        </w:rPr>
        <w:t xml:space="preserve">Seagraves BL, Redmond CT &amp; Potter DA (2013) Relative resistance or susceptibility of maple (</w:t>
      </w:r>
      <w:r>
        <w:rPr>
          <w:rFonts w:ascii="Calibri" w:hAnsi="Calibri" w:eastAsia="Calibri" w:cs="Calibri"/>
          <w:i/>
          <w:iCs/>
          <w:color w:val="000000"/>
          <w:sz w:val="22"/>
          <w:szCs w:val="22"/>
        </w:rPr>
        <w:t xml:space="preserve">Acer</w:t>
      </w:r>
      <w:r>
        <w:rPr>
          <w:rFonts w:ascii="Calibri" w:hAnsi="Calibri" w:eastAsia="Calibri" w:cs="Calibri"/>
          <w:color w:val="000000"/>
          <w:sz w:val="22"/>
          <w:szCs w:val="22"/>
        </w:rPr>
        <w:t xml:space="preserve">) species, hybrids and cultivars to six arthropod pests of production nurseries.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69, 112-119. </w:t>
      </w:r>
      <w:hyperlink r:id="rId68886aac9e17f1d39" w:history="1"/>
    </w:p>
    <w:p>
      <w:pPr>
        <w:widowControl w:val="on"/>
        <w:pBdr/>
        <w:spacing w:before="220" w:after="220" w:line="240" w:lineRule="auto"/>
        <w:ind w:left="0" w:right="0"/>
        <w:jc w:val="left"/>
      </w:pPr>
      <w:r>
        <w:rPr>
          <w:rFonts w:ascii="Calibri" w:hAnsi="Calibri" w:eastAsia="Calibri" w:cs="Calibri"/>
          <w:color w:val="000000"/>
          <w:sz w:val="22"/>
          <w:szCs w:val="22"/>
        </w:rPr>
        <w:t xml:space="preserve">Solomon JD (1995) Order Coleoptera – Beetles. In Guide to Insect Borers in North American Broadleaf Trees and Shrubs, pp. 213-584. USDA Forest Service, Agriculture Handbook, AH-706. </w:t>
      </w:r>
      <w:hyperlink r:id="rId21406aac9e17f1d5f" w:history="1"/>
    </w:p>
    <w:p>
      <w:pPr>
        <w:widowControl w:val="on"/>
        <w:pBdr/>
        <w:spacing w:before="220" w:after="220" w:line="240" w:lineRule="auto"/>
        <w:ind w:left="0" w:right="0"/>
        <w:jc w:val="left"/>
      </w:pPr>
      <w:r>
        <w:rPr>
          <w:rFonts w:ascii="Calibri" w:hAnsi="Calibri" w:eastAsia="Calibri" w:cs="Calibri"/>
          <w:color w:val="000000"/>
          <w:sz w:val="22"/>
          <w:szCs w:val="22"/>
        </w:rPr>
        <w:t xml:space="preserve">Solomon JD &amp; Payne JA (1986) A Guide to the Insect Borers, Pruners, and Girdlers of Pecan and Hickory. General Technical Report SO-64. USDA, Forest Service, Southern Forest Experiment Station, New Orleans, USA. 31 pp. Retrieved from </w:t>
      </w:r>
      <w:hyperlink r:id="rId95646aac9e17f1d87" w:history="1">
        <w:r>
          <w:rPr>
            <w:rFonts w:ascii="Calibri" w:hAnsi="Calibri" w:eastAsia="Calibri" w:cs="Calibri"/>
            <w:color w:val="0000CC"/>
            <w:sz w:val="22"/>
            <w:szCs w:val="22"/>
            <w:u w:val="single"/>
          </w:rPr>
          <w:t xml:space="preserve">https://www.fs.usda.gov/research/treesearch/1648</w:t>
        </w:r>
      </w:hyperlink>
      <w:r>
        <w:rPr>
          <w:rFonts w:ascii="Calibri" w:hAnsi="Calibri" w:eastAsia="Calibri" w:cs="Calibri"/>
          <w:color w:val="000000"/>
          <w:sz w:val="22"/>
          <w:szCs w:val="22"/>
        </w:rPr>
        <w:t xml:space="preserve"> [accessed on 21-11-2023].</w:t>
      </w:r>
    </w:p>
    <w:p>
      <w:pPr>
        <w:widowControl w:val="on"/>
        <w:pBdr/>
        <w:spacing w:before="220" w:after="220" w:line="240" w:lineRule="auto"/>
        <w:ind w:left="0" w:right="0"/>
        <w:jc w:val="left"/>
      </w:pPr>
      <w:r>
        <w:rPr>
          <w:rFonts w:ascii="Calibri" w:hAnsi="Calibri" w:eastAsia="Calibri" w:cs="Calibri"/>
          <w:color w:val="000000"/>
          <w:sz w:val="22"/>
          <w:szCs w:val="22"/>
        </w:rPr>
        <w:t xml:space="preserve">Steed BE &amp; Burton DA (2015) Field guide to diseases and insects of quaking aspen in the West. Part 1: wood and bark boring insects. USDA, Forest Service, Forest Health Protection, Missoula, USA. 115 pp.</w:t>
      </w:r>
    </w:p>
    <w:p>
      <w:pPr>
        <w:widowControl w:val="on"/>
        <w:pBdr/>
        <w:spacing w:before="220" w:after="220" w:line="240" w:lineRule="auto"/>
        <w:ind w:left="0" w:right="0"/>
        <w:jc w:val="left"/>
      </w:pPr>
      <w:r>
        <w:rPr>
          <w:rFonts w:ascii="Calibri" w:hAnsi="Calibri" w:eastAsia="Calibri" w:cs="Calibri"/>
          <w:color w:val="000000"/>
          <w:sz w:val="22"/>
          <w:szCs w:val="22"/>
        </w:rPr>
        <w:t xml:space="preserve">Thompson TE &amp; Conner PJ (2012) Chapter 20: Pecan. In Fruit Breeding (eds. NL Badenes &amp; D Byrne), pp. 771-801. Springer, New York, USA. 890 pp. </w:t>
      </w:r>
      <w:hyperlink r:id="rId75796aac9e17f1de6" w:history="1"/>
    </w:p>
    <w:p>
      <w:pPr>
        <w:widowControl w:val="on"/>
        <w:pBdr/>
        <w:spacing w:before="220" w:after="220" w:line="240" w:lineRule="auto"/>
        <w:ind w:left="0" w:right="0"/>
        <w:jc w:val="left"/>
      </w:pPr>
      <w:r>
        <w:rPr>
          <w:rFonts w:ascii="Calibri" w:hAnsi="Calibri" w:eastAsia="Calibri" w:cs="Calibri"/>
          <w:color w:val="000000"/>
          <w:sz w:val="22"/>
          <w:szCs w:val="22"/>
        </w:rPr>
        <w:t xml:space="preserve">Wellso SG &amp; Manley GV (2007) A revision of the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(Olivier, 1790) species group from North America, north of Mexico (Coleoptera: Buprestidae).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26(1652), 1-26.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prepared by the EPPO Secretariat based on the pest risk analysis produced by an EPPO expert working group in 2021. The expert working group was composed of N. Avendaño Garcia (Tecnologias y Servicios Agrarios, TRAGSATEC, Spain), N. Björklund (Swedish University of Agricultural Sciences, SE), C. Gent (Defra, GB), S. Hannunen (Finnish Food Safety Authority, FI), A. Korycinska H. (Defra, GB), J. Oliver (Tennessee State University, USA), D.J. van der Gaag (NPPO,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EPPO datasheets on pests recommended for regulation. Available online. </w:t>
      </w:r>
      <w:hyperlink r:id="rId82466aac9e17f1ee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2024 and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Data sheets on pests recommended for regulation. </w:t>
      </w:r>
      <w:r>
        <w:rPr>
          <w:rFonts w:ascii="Calibri" w:hAnsi="Calibri" w:eastAsia="Calibri" w:cs="Calibri"/>
          <w:i/>
          <w:iCs/>
          <w:color w:val="000000"/>
          <w:sz w:val="22"/>
          <w:szCs w:val="22"/>
        </w:rPr>
        <w:t xml:space="preserve">Chrysobothris femorata.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(1), 28-34. </w:t>
      </w:r>
      <w:hyperlink r:id="rId80016aac9e17f1fc2" w:history="1">
        <w:r>
          <w:rPr>
            <w:rFonts w:ascii="Calibri" w:hAnsi="Calibri" w:eastAsia="Calibri" w:cs="Calibri"/>
            <w:color w:val="0000CC"/>
            <w:sz w:val="22"/>
            <w:szCs w:val="22"/>
            <w:u w:val="single"/>
          </w:rPr>
          <w:t xml:space="preserve">https://doi.org/10.1111/epp.12991</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29885">
    <w:multiLevelType w:val="hybridMultilevel"/>
    <w:lvl w:ilvl="0" w:tplc="76104723">
      <w:start w:val="1"/>
      <w:numFmt w:val="decimal"/>
      <w:lvlText w:val="%1."/>
      <w:lvlJc w:val="left"/>
      <w:pPr>
        <w:ind w:left="720" w:hanging="360"/>
      </w:pPr>
    </w:lvl>
    <w:lvl w:ilvl="1" w:tplc="76104723" w:tentative="1">
      <w:start w:val="1"/>
      <w:numFmt w:val="lowerLetter"/>
      <w:lvlText w:val="%2."/>
      <w:lvlJc w:val="left"/>
      <w:pPr>
        <w:ind w:left="1440" w:hanging="360"/>
      </w:pPr>
    </w:lvl>
    <w:lvl w:ilvl="2" w:tplc="76104723" w:tentative="1">
      <w:start w:val="1"/>
      <w:numFmt w:val="lowerRoman"/>
      <w:lvlText w:val="%3."/>
      <w:lvlJc w:val="right"/>
      <w:pPr>
        <w:ind w:left="2160" w:hanging="180"/>
      </w:pPr>
    </w:lvl>
    <w:lvl w:ilvl="3" w:tplc="76104723" w:tentative="1">
      <w:start w:val="1"/>
      <w:numFmt w:val="decimal"/>
      <w:lvlText w:val="%4."/>
      <w:lvlJc w:val="left"/>
      <w:pPr>
        <w:ind w:left="2880" w:hanging="360"/>
      </w:pPr>
    </w:lvl>
    <w:lvl w:ilvl="4" w:tplc="76104723" w:tentative="1">
      <w:start w:val="1"/>
      <w:numFmt w:val="lowerLetter"/>
      <w:lvlText w:val="%5."/>
      <w:lvlJc w:val="left"/>
      <w:pPr>
        <w:ind w:left="3600" w:hanging="360"/>
      </w:pPr>
    </w:lvl>
    <w:lvl w:ilvl="5" w:tplc="76104723" w:tentative="1">
      <w:start w:val="1"/>
      <w:numFmt w:val="lowerRoman"/>
      <w:lvlText w:val="%6."/>
      <w:lvlJc w:val="right"/>
      <w:pPr>
        <w:ind w:left="4320" w:hanging="180"/>
      </w:pPr>
    </w:lvl>
    <w:lvl w:ilvl="6" w:tplc="76104723" w:tentative="1">
      <w:start w:val="1"/>
      <w:numFmt w:val="decimal"/>
      <w:lvlText w:val="%7."/>
      <w:lvlJc w:val="left"/>
      <w:pPr>
        <w:ind w:left="5040" w:hanging="360"/>
      </w:pPr>
    </w:lvl>
    <w:lvl w:ilvl="7" w:tplc="76104723" w:tentative="1">
      <w:start w:val="1"/>
      <w:numFmt w:val="lowerLetter"/>
      <w:lvlText w:val="%8."/>
      <w:lvlJc w:val="left"/>
      <w:pPr>
        <w:ind w:left="5760" w:hanging="360"/>
      </w:pPr>
    </w:lvl>
    <w:lvl w:ilvl="8" w:tplc="76104723" w:tentative="1">
      <w:start w:val="1"/>
      <w:numFmt w:val="lowerRoman"/>
      <w:lvlText w:val="%9."/>
      <w:lvlJc w:val="right"/>
      <w:pPr>
        <w:ind w:left="6480" w:hanging="180"/>
      </w:pPr>
    </w:lvl>
  </w:abstractNum>
  <w:abstractNum w:abstractNumId="78929884">
    <w:multiLevelType w:val="hybridMultilevel"/>
    <w:lvl w:ilvl="0" w:tplc="45443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29884">
    <w:abstractNumId w:val="78929884"/>
  </w:num>
  <w:num w:numId="78929885">
    <w:abstractNumId w:val="7892988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6018611" Type="http://schemas.microsoft.com/office/2011/relationships/commentsExtended" Target="commentsExtended.xml"/><Relationship Id="rId363089054" Type="http://schemas.microsoft.com/office/2011/relationships/people" Target="people.xml"/><Relationship Id="rId39706aac9e17ee0b7" Type="http://schemas.openxmlformats.org/officeDocument/2006/relationships/hyperlink" Target="https://gd.eppo.int/taxon/CHRBFE/" TargetMode="External"/><Relationship Id="rId97696aac9e17ee0fc" Type="http://schemas.openxmlformats.org/officeDocument/2006/relationships/hyperlink" Target="https://gd.eppo.int/taxon/CHRBFE/categorization" TargetMode="External"/><Relationship Id="rId58676aac9e17ee9ab" Type="http://schemas.openxmlformats.org/officeDocument/2006/relationships/hyperlink" Target="https://gd.eppo.int/taxon/CHRBFE/photos" TargetMode="External"/><Relationship Id="rId86796aac9e17f148a" Type="http://schemas.openxmlformats.org/officeDocument/2006/relationships/hyperlink" Target="https://onlinelibrary.wiley.com/action/getFTRLinkout?url=http%3A%2F%2Fscholar.google.com%2Fscholar%3Fhl%3Den%26q%3DAddesso%2BK%252C%2BDawadi%2BS%252C%2BGonzalez%2BA%252C%2BOliver%2BJ%2B%2526%2BO%2527Neal%2BP%2B%25282019%2529%2BManagement%2Bof%2BFlatheaded%2BAppletree%2BBorer%2Bin%2BNursery%2BProduction%2Bwith%2BCover%2BCrops.%2BIn%2BFlatheaded%2BBorer%2BWorkshop%252C%2Bp.%2B43.%2BTennessee%2BState%2BUniversity%252C%2BMcMinnville%252C%2BUSA%252C%2BJuly%2B1%25E2%2580%25902.&amp;doi=10.1111%2Fepp.12991&amp;linkType=gs&amp;linkLocation=Reference&amp;linkSource=FULL_TEXT" TargetMode="External"/><Relationship Id="rId88016aac9e17f14f9" Type="http://schemas.openxmlformats.org/officeDocument/2006/relationships/hyperlink" Target="https://onlinelibrary.wiley.com/action/getFTRLinkout?url=https%3A%2F%2Fct.prod.getft.io%2Fd2lsZXksb3VwLGh0dHBzOi8vYWNhZGVtaWMub3VwLmNvbS9HZXRGdHJDb250ZW50L0dldFJlc291cmNlQnlEb2lBbmRSZXNvdXJjZVR5cGU_ZG9pPTEwLjEwOTMlMmZqZWUlMmZ0b2FhMjI4JnJlc291cmNldHlwZT0z.rz4cV7D6PjO0CgMJcSNThJbVeQBmd5CPtw7ZkOzn9sc&amp;doi=10.1111%2Fepp.12991&amp;doiOfLink=10.1093%2Fjee%2Ftoaa228&amp;linkType=VIEW_FULL_ACCESS&amp;linkLocation=Reference&amp;linkSource=FULL_TEXT" TargetMode="External"/><Relationship Id="rId50896aac9e17f1523" Type="http://schemas.openxmlformats.org/officeDocument/2006/relationships/hyperlink" Target="https://www.ncat.org/battling-borers-in-organic-apple-production/" TargetMode="External"/><Relationship Id="rId22436aac9e17f1563" Type="http://schemas.openxmlformats.org/officeDocument/2006/relationships/hyperlink" Target="https://content.ces.ncsu.edu/flatheaded-appletree-borer" TargetMode="External"/><Relationship Id="rId17806aac9e17f15c0" Type="http://schemas.openxmlformats.org/officeDocument/2006/relationships/hyperlink" Target="https://onlinelibrary.wiley.com/action/getFTRLinkout?url=http%3A%2F%2Fscholar.google.com%2Fscholar_lookup%3Fhl%3Den%26publication_year%3D1987%26author%3DDE%2BBright%26title%3DThe%2Binsects%2Band%2Barachnids%2Bof%2BCanada&amp;doi=10.1111%2Fepp.12991&amp;linkType=gs&amp;linkLocation=Reference&amp;linkSource=FULL_TEXT" TargetMode="External"/><Relationship Id="rId29046aac9e17f16cb" Type="http://schemas.openxmlformats.org/officeDocument/2006/relationships/hyperlink" Target="https://onlinelibrary.wiley.com/action/getFTRLinkout?url=http%3A%2F%2Fscholar.google.com%2Fscholar_lookup%3Fhl%3Den%26volume%3D50%26publication_year%3D2005%26pages%3D1-29%26journal%3DAnnual%2BReview%2Bof%2BEntomology%26author%3DDR%2BCoyle%26author%3DTE%2BNebeker%26author%3DER%2BHart%26author%3DWJ%2BMattson%26title%3DBiology%2Band%2Bmanagement%2Bof%2Binsect%2Bpests%2Bin%2BNorth%2BAmerican%2Bintensively%2Bmanaged%2Bhardwood%2Bforest%2Bsystems&amp;doi=10.1111%2Fepp.12991&amp;doiOfLink=10.1146%2Fannurev.ento.50.071803.130431&amp;linkType=gs&amp;linkLocation=Reference&amp;linkSource=FULL_TEXT" TargetMode="External"/><Relationship Id="rId33846aac9e17f1756" Type="http://schemas.openxmlformats.org/officeDocument/2006/relationships/hyperlink" Target="https://extension.unh.edu/resources/files/Resource001830_Rep2590.pdf" TargetMode="External"/><Relationship Id="rId74736aac9e17f17d4" Type="http://schemas.openxmlformats.org/officeDocument/2006/relationships/hyperlink" Target="https://gd.eppo.int/taxon/CHRBFE/documents" TargetMode="External"/><Relationship Id="rId40636aac9e17f1832" Type="http://schemas.openxmlformats.org/officeDocument/2006/relationships/hyperlink" Target="https://www.ippc.int/en/core-activities/standards-setting/ispms/" TargetMode="External"/><Relationship Id="rId58396aac9e17f18ae" Type="http://schemas.openxmlformats.org/officeDocument/2006/relationships/hyperlink" Target="https://onlinelibrary.wiley.com/action/getFTRLinkout?url=http%3A%2F%2Fscholar.google.com%2Fscholar_lookup%3Fhl%3Den%26volume%3DB%25E2%2580%2590259%26publication_year%3D1942%26journal%3DOklahoma%2BAgricultural%2BExperiment%2BStation%2BBulletin%26author%3DF%2BFenton%26title%3DThe%2Bflatheaded%2Bapple%2Btree%2Bborer%2B%2528Chrysobothris%2Bfemorata%2B%2528Oliver%2529%2529&amp;doi=10.1111%2Fepp.12991&amp;linkType=gs&amp;linkLocation=Reference&amp;linkSource=FULL_TEXT" TargetMode="External"/><Relationship Id="rId66146aac9e17f1953" Type="http://schemas.openxmlformats.org/officeDocument/2006/relationships/hyperlink" Target="https://trace.tennessee.edu/utk_agexcomhort/55" TargetMode="External"/><Relationship Id="rId44796aac9e17f1972" Type="http://schemas.openxmlformats.org/officeDocument/2006/relationships/hyperlink" Target="https://onlinelibrary.wiley.com/action/getFTRLinkout?url=http%3A%2F%2Fscholar.google.com%2Fscholar%3Fhl%3Den%26q%3DFulcher%2BA%2B%25282012%2529%2BScouting%2Band%2BMonitoring%2BPests%2Bof%2BDeciduous%2BTrees%2Bduring%2BNursery%2BProduction.%2BUT%2BExtension.%2BW142.%2B13%2Bpp.%2BRetrieved%2Bfrom%2Bhttps%253A%252F%252Ftrace.tennessee.edu%252Futk_agexcomhort%252F55%2B%255Baccessed%2B21%25E2%2580%259011%25E2%2580%25902023%255D.&amp;doi=10.1111%2Fepp.12991&amp;linkType=gs&amp;linkLocation=Reference&amp;linkSource=FULL_TEXT" TargetMode="External"/><Relationship Id="rId44826aac9e17f1ab5" Type="http://schemas.openxmlformats.org/officeDocument/2006/relationships/hyperlink" Target="https://onlinelibrary.wiley.com/action/getFTRLinkout?url=https%3A%2F%2Fct.prod.getft.io%2Fd2lsZXksdW5kZWZpbmVkLGh0dHA6Ly9keC5kb2kub3JnLzEwLjE2NTMvMDI0LjA5OC4wMjMw.l4XiOY12Y1LolYAPSsHPIWih2oqyzZ2Bvl2sWrkQEGQ&amp;doi=10.1111%2Fepp.12991&amp;doiOfLink=10.1653%2F024.098.0230&amp;linkType=VIEW_FULL_ACCESS&amp;linkLocation=Reference&amp;linkSource=FULL_TEXT" TargetMode="External"/><Relationship Id="rId69716aac9e17f1bf4" Type="http://schemas.openxmlformats.org/officeDocument/2006/relationships/hyperlink" Target="https://onlinelibrary.wiley.com/servlet/linkout?suffix=ref&amp;dbid=16&amp;doi=10.1111%2Fepp.12991&amp;key=10.24266%2F0738-2898-28.3.135&amp;getFTLinkType=true&amp;doiForPubOfPage=10.1111%2Fepp.12991&amp;refDoi=10.24266%2F0738-2898-28.3.135&amp;linkType=Crossref&amp;linkSource=FULL_TEXT&amp;linkLocation=Reference" TargetMode="External"/><Relationship Id="rId37216aac9e17f1c79" Type="http://schemas.openxmlformats.org/officeDocument/2006/relationships/hyperlink" Target="https://onlinelibrary.wiley.com/servlet/linkout?suffix=null&amp;dbid=128&amp;doi=10.1111%2Fepp.12991&amp;key=000209233300002&amp;getFTLinkType=true&amp;doiForPubOfPage=10.1111%2Fepp.12991&amp;refDoi=e_1_2_12_33_1%3AISI&amp;linkType=ISI&amp;linkSource=FULL_TEXT&amp;linkLocation=Reference" TargetMode="External"/><Relationship Id="rId84886aac9e17f1c8c" Type="http://schemas.openxmlformats.org/officeDocument/2006/relationships/hyperlink" Target="https://onlinelibrary.wiley.com/action/getFTRLinkout?url=http%3A%2F%2Fscholar.google.com%2Fscholar_lookup%3Fhl%3Den%26volume%3D46%26publication_year%3D2013%26pages%3D13-30%26journal%3DGreat%2BLakes%2BEntomologist%26author%3DTR%2BPetrice%26author%3DRA%2BHaack%26author%3DTM%2BPoland%26title%3DAttraction%2Bof%2BAgrilus%2Bplanipennis%2B%2528Coleoptera%253A%2BBuprestidae%2529%2Band%2Bother%2Bbuprestids%2Bto%2Bsticky%2Btraps%2Bof%2Bvarious%2Bcolors%2Band%2Bshapes&amp;doi=10.1111%2Fepp.12991&amp;linkType=gs&amp;linkLocation=Reference&amp;linkSource=FULL_TEXT" TargetMode="External"/><Relationship Id="rId89686aac9e17f1cd6" Type="http://schemas.openxmlformats.org/officeDocument/2006/relationships/hyperlink" Target="https://onlinelibrary.wiley.com/servlet/linkout?suffix=ref&amp;dbid=16&amp;doi=10.1111%2Fepp.12991&amp;key=10.24266%2F0738-2898-6.1.18&amp;getFTLinkType=true&amp;doiForPubOfPage=10.1111%2Fepp.12991&amp;refDoi=10.24266%2F0738-2898-6.1.18&amp;linkType=Crossref&amp;linkSource=FULL_TEXT&amp;linkLocation=Reference" TargetMode="External"/><Relationship Id="rId68886aac9e17f1d39" Type="http://schemas.openxmlformats.org/officeDocument/2006/relationships/hyperlink" Target="https://onlinelibrary.wiley.com/action/getFTRLinkout?url=%2Fdoi%2F10.1002%2Fps.3375&amp;doi=10.1111%2Fepp.12991&amp;doiOfLink=10.1002%2Fps.3375&amp;linkType=VIEW_NO_ACCESS&amp;linkLocation=Reference&amp;linkSource=FULL_TEXT" TargetMode="External"/><Relationship Id="rId21406aac9e17f1d5f" Type="http://schemas.openxmlformats.org/officeDocument/2006/relationships/hyperlink" Target="https://onlinelibrary.wiley.com/action/getFTRLinkout?url=http%3A%2F%2Fscholar.google.com%2Fscholar_lookup%3Fhl%3Den%26publication_year%3D1995%26pages%3D213-584%26author%3DJD%2BSolomon%26title%3DGuide%2Bto%2BInsect%2BBorers%2Bin%2BNorth%2BAmerican%2BBroadleaf%2BTrees%2Band%2BShrubs&amp;doi=10.1111%2Fepp.12991&amp;linkType=gs&amp;linkLocation=Reference&amp;linkSource=FULL_TEXT" TargetMode="External"/><Relationship Id="rId95646aac9e17f1d87" Type="http://schemas.openxmlformats.org/officeDocument/2006/relationships/hyperlink" Target="https://www.fs.usda.gov/research/treesearch/1648" TargetMode="External"/><Relationship Id="rId75796aac9e17f1de6" Type="http://schemas.openxmlformats.org/officeDocument/2006/relationships/hyperlink" Target="https://onlinelibrary.wiley.com/action/getFTRLinkout?url=https%3A%2F%2Fdoi.org%2F10.1007%2F978-1-4419-0763-9_20&amp;doi=10.1111%2Fepp.12991&amp;doiOfLink=10.1007%2F978-1-4419-0763-9_20&amp;linkType=VIEW_NO_ACCESS&amp;linkLocation=Reference&amp;linkSource=FULL_TEXT" TargetMode="External"/><Relationship Id="rId82466aac9e17f1eef" Type="http://schemas.openxmlformats.org/officeDocument/2006/relationships/hyperlink" Target="https://gd.eppo.int" TargetMode="External"/><Relationship Id="rId80016aac9e17f1fc2" Type="http://schemas.openxmlformats.org/officeDocument/2006/relationships/hyperlink" Target="https://doi.org/10.1111/epp.12991" TargetMode="External"/><Relationship Id="rId21626aac9e17ee89b" Type="http://schemas.openxmlformats.org/officeDocument/2006/relationships/image" Target="media/imgrId21626aac9e17ee89b.jpg"/><Relationship Id="rId85306aac9e17efe8a" Type="http://schemas.openxmlformats.org/officeDocument/2006/relationships/image" Target="media/imgrId85306aac9e17efe8a.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