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Chrysomyxa arctostaphyli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arctostaphyli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Dietel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Coleosporiaceae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Melampsoropsis arctostaphyli</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Peridermium coloradense</w:t>
            </w:r>
            <w:r>
              <w:rPr>
                <w:rFonts w:ascii="Calibri" w:hAnsi="Calibri" w:eastAsia="Calibri" w:cs="Calibri"/>
                <w:color w:val="000000"/>
                <w:position w:val="-3"/>
                <w:sz w:val="22"/>
                <w:szCs w:val="22"/>
              </w:rPr>
              <w:t xml:space="preserve"> Arthur &amp; Kern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broom rust of spruce, common yellow witches' broom rust</w:t>
            </w:r>
            <w:hyperlink r:id="rId4407663be91f9ea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70663be91f9ea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CHMYAR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327532" name="name9901663be91f9f1f5" descr="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jpg"/>
                          <pic:cNvPicPr/>
                        </pic:nvPicPr>
                        <pic:blipFill>
                          <a:blip r:embed="rId3097663be91f9f1f3" cstate="print"/>
                          <a:stretch>
                            <a:fillRect/>
                          </a:stretch>
                        </pic:blipFill>
                        <pic:spPr>
                          <a:xfrm>
                            <a:off x="0" y="0"/>
                            <a:ext cx="2160000" cy="1281600"/>
                          </a:xfrm>
                          <a:prstGeom prst="rect">
                            <a:avLst/>
                          </a:prstGeom>
                          <a:ln w="0">
                            <a:noFill/>
                          </a:ln>
                        </pic:spPr>
                      </pic:pic>
                    </a:graphicData>
                  </a:graphic>
                </wp:inline>
              </w:drawing>
            </w:r>
            <w:hyperlink r:id="rId1840663be91f9f34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is a basidiomycete fungus, a causal agent of spruce broom rust. It is also known by its synonym (</w:t>
      </w:r>
      <w:r>
        <w:rPr>
          <w:rFonts w:ascii="Calibri" w:hAnsi="Calibri" w:eastAsia="Calibri" w:cs="Calibri"/>
          <w:i/>
          <w:iCs/>
          <w:color w:val="000000"/>
          <w:sz w:val="22"/>
          <w:szCs w:val="22"/>
        </w:rPr>
        <w:t xml:space="preserve">Melampsoropsis arctostaphyli</w:t>
      </w:r>
      <w:r>
        <w:rPr>
          <w:rFonts w:ascii="Calibri" w:hAnsi="Calibri" w:eastAsia="Calibri" w:cs="Calibri"/>
          <w:color w:val="000000"/>
          <w:sz w:val="22"/>
          <w:szCs w:val="22"/>
        </w:rPr>
        <w:t xml:space="preserve">) and the anamorph’s name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Historically, Arthur and Kern (1906) described two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coloradense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boreale</w:t>
      </w:r>
      <w:r>
        <w:rPr>
          <w:rFonts w:ascii="Calibri" w:hAnsi="Calibri" w:eastAsia="Calibri" w:cs="Calibri"/>
          <w:color w:val="000000"/>
          <w:sz w:val="22"/>
          <w:szCs w:val="22"/>
        </w:rPr>
        <w:t xml:space="preserve">) for the spruce broom rust distinguishing species based on whether peridial cells overlap or not, and whether infected needles are adherent or not. Later, the rust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was thought to be conspecific with </w:t>
      </w:r>
      <w:r>
        <w:rPr>
          <w:rFonts w:ascii="Calibri" w:hAnsi="Calibri" w:eastAsia="Calibri" w:cs="Calibri"/>
          <w:i/>
          <w:iCs/>
          <w:color w:val="000000"/>
          <w:sz w:val="22"/>
          <w:szCs w:val="22"/>
        </w:rPr>
        <w:t xml:space="preserve">Melampsorella caryophyllacearum</w:t>
      </w:r>
      <w:r>
        <w:rPr>
          <w:rFonts w:ascii="Calibri" w:hAnsi="Calibri" w:eastAsia="Calibri" w:cs="Calibri"/>
          <w:color w:val="000000"/>
          <w:sz w:val="22"/>
          <w:szCs w:val="22"/>
        </w:rPr>
        <w:t xml:space="preserve"> Schroet., the causal agent of broom rust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(Crane, 2000). Then later, it was clarified that the spermogonial morphology of the specimens found on spruce is more consistent with a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than with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(Crane, 2000). Pady (1941, 1942) documented many differences between the morphology of the rusts on the two conifer hosts and maintained that they were different species with the same telial host. The connection between the telia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and the aecial state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on spruce was finally proven experimentally by Peterson (1961) and confirmed by Ziller (1974). Currently,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well-defined and distinguishable species of the family Coleosporiaceae (Vogler &amp; Bruns,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fungal pathogen with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The fungus primarily infects members of the genus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which are commonly known as manzanitas, a group of evergreen shrubs and small trees native to North America.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often referred to as manzanita rust because it causes rust-like symptoms on these plants. The pest develops aecia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main reported aecial hosts are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 Picea mariana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are also reported as hosts (Crane, 2000; Sinclair &amp; Lyon, 2005).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is reported as the most important alternate host of the rust, but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have also been reported as telial hosts (Sinclair &amp; Lyon, 2005).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w:t>
      </w:r>
      <w:r>
        <w:rPr>
          <w:rFonts w:ascii="Calibri" w:hAnsi="Calibri" w:eastAsia="Calibri" w:cs="Calibri"/>
          <w:i/>
          <w:iCs/>
          <w:color w:val="000000"/>
          <w:sz w:val="22"/>
          <w:szCs w:val="22"/>
        </w:rPr>
        <w:t xml:space="preserve">A.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are only present in Western North America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Ziller (1974) and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distributed only in natural ecosystems throughout North America wherever the two host genera,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occur together (Crane, 2000). In Canada, the pathogen is widespread (Alberta, British Columbia, Manitoba, New Brunswick, Newfoundland, Northwest Territories, Nova Scotia, Ontario, Quebec, Saskatchewan, and Yukon). In the USA, it is present in the northern and western states (Alaska, Arizona, Colorado, Idaho, Maine, Michigan, Montana, New Mexico, New York, Oregon, South Dakota, Utah, Washington, Wisconsin, and Wyoming). The pathogen has not been reported in Europe and in the EPPO region.</w:t>
      </w:r>
    </w:p>
    <w:p>
      <w:r>
        <w:drawing>
          <wp:inline distT="0" distB="0" distL="0" distR="0">
            <wp:extent cx="6120000" cy="3067200"/>
            <wp:docPr id="5674442" name="name9951663be91fa07c9" descr="CHMY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YAR_distribution_map.jpg"/>
                    <pic:cNvPicPr/>
                  </pic:nvPicPr>
                  <pic:blipFill>
                    <a:blip r:embed="rId4511663be91fa07c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Québec, Saskatchewan, Yukon Territory), United States of America (Alaska, Arizona, Colorado, Idaho, Maine, Michigan, Montana, New Mexico, New York, Oregon, South Dakota,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originally considered to be microcyclyic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and the life cycle was debated over several years. However, it is now agreed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has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Aeciospores of the pest are produced during the summer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and they re-infect the hosts from the same genus. Basidiospores are produced latter, and they infect 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after overwintering, in early summer. The fungus persists in the twig and bud tissues of the brooms in spruce and colonizes the current year’s needles after overwintering, in the spring. Aeciospores are subsequently produced and infect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(Hennon &amp; Trummer, 2001).</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There are no uredinia and urediniaspores. Telia form on reddish spots that blacken with age, usually hypophyllous, may also be epiphyllous on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gelatinous, found in groups, confluent when mature, forming pulvinate crusts erumpent through epidermis, 0.3–1.0 mm across (Crane,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Spermogonia and aecia on chlorotic, stunted, current-year needles of perennial witches’ brooms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(Bergdahl &amp; Smeltzer, 1983). Spermogonia are subepidermal and aecia are peridermioid, bullet- or tongue-shaped. Aeciospores orange-yellow, spore walls are verrucose without a smooth spot.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overwinters as mycelium in the systemically infected brooms on spruce (Crane, 2000) and as mycelium in the leaves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Telia form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in early spring and produce basidiospores that cause new infections on spruce, probably through the young needles of newly opened vegetative buds but it is not confirmed yet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Savile (1950), Ziller (1974), and Crane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On 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first symptom of the pest is needle etiolation in summer. Release of dormant buds results in conspicuous, compact, perennial witches' brooms with yellow-green needles on which foul-smelling, subepidermal pycnia are found. These are followed by aecia which give the brooms a yellow-orange appearance. Needles subsequently die and fall in the autumn, leaving the broom to appear dead during the winter. The fungus causes the production of numerous short lateral shoots causing the broom (Hennon &amp; Trummer, 2001). The internodes and needles on the brooms are also shorter than normal (EFSA, 2018). The brooms grow over time and may become up to 2 m tall (Sinclair &amp; Lyon, 2005). Witches' brooms of conifers not caused by rust retain the colour of normal dark-green foliage throughout the year; only a few of their needles are shed. Sometimes cankers, fusiform swellings and secondary brooms form on the branches and trunk. The branch and stem at the base of the broom become swollen due to the infection and may form a canker or gall (EFSA, 2018). Trees lose vigour and spike tops, dead branches and mortality are common. It is rare that more than 25%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in a stand are infected; and fewer than 1% of trees in an infected trees bear brooms. The disease is mainly found in spruce stands where the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host is also found (Hennon &amp; Trummer, 2001). The abundance of brooms showed no trend with stand age (EFSA, 2018).</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rust is most noticeable in late spring and causes a reddish leaf spot. Orange-brown, waxy telia form in crowded groups on these spots on the underside of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numerous, prominent, dark reddish-brown when dry, subepidermal, sometimes arising between epidermis and hypodermis; in cross section, usually globose or with a slightly flattened base, 80–160 µm wide x 80–114 µm high (Crane, 2000). Spermatia variable in shape and size, globose, ovoid or ellipsoidal, 1.6–4.5 x 1.2–2.5 µm. Aecia amphigenous, crowded along most of the needle length. Aeciospores variable in shape and size, ellipsoidal, ovoid, or polygonal, occasionally globose, subglobose, clavate, or fusiform, often with both ends flattened or with a cap, part of a longitudinal stripe, 16–36 x 12–24 µm. Spores are orange-red, with warts annulate, irregular in shape, often joined laterally into ridges, basal connections lacking; wall hyaline, very thin (0.8 µm). Peridium tubular, dehiscing at apex, outside of cells shallowly concave, smooth, inside of cells shallowly concave, with crowded irregular warts similar to the spores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Black telia are similar to pulvinate crusts erumpent through epidermis, 0.3–1.0 mm across, confluent when mature (Crane, 2000). Teliospores catenulate, oblong, rounded at both ends, wall smooth and colourless, uniformly 10–19 µm high x 6–16 µm wide (Ziler, 1974; Crane, 2000). Basidia curved, four-celled, basidiospores regular in size and shape, globose to subglobose with a tiny apiculus; 6–43 x 5–7 µm (Ziler, 1974; Crane,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easily identified based on the symptoms, i.e. as dense witches’ brooms on spruce. A key is available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tree rusts in western Canada based on the morphology and symptom descriptions (Ziller, 1974). The most conspicuous symptoms of spruce broom rust occur in early summer, when yellowish infected needles are present on shoots of witches’ brooms (Crane, 2000). After production of spermogonia and aecia, the needles shrivel and fall off, leaving bare, dead-looking brooms during the winter. Brooms can occur on the trunk or branches, and after many years attain a diameter of 1 m or even up to 2 m. Trees with up to 41 brooms have been reported in Newfoundland, CA (Singh, 1978).</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ITS and the large subunit (28S) regions in the chromosome were also successfully used for conventional PCR test and barcoding PCR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species as well as in phylogenetic studies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commodities on which the pathogen can spread between countries are plants for planting and cut branches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(EPPO, 2018). Both pathways are closed for the EU countries due to the ban on importing plants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than fruit and seeds, from non-EU countries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in EU countries (or elsewhere in the EPPO region). The most important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(Calflora, 2023).</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dispersal is possible from infected plants of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spp. by wind-blown aeciospores, because aeciospores have a very high dispersal capacity and can survive for several months (Crane, 2000;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causes brooms and trees with abundant brooms often grow slowly and might die prematurely (Hennon &amp; Trummer, 2001). Disease may also result in trunk deformations, cankers, growth loss, dead or broken tops and sometimes tree mortality (Sinclair &amp; Lyon, 2005). In Southern Colorado and Northern Arizona (USA), the pathogen could infect many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but it only causes important damage to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Nevertheless, the disease is not fatal generally and damage results from death of branches, deformation of trunks, reduced growth, and decay caused by secondary decay fungi which can enter via the rust infection sites (Hennon &amp; Trummer, 2001; Sinclair &amp; Lyon, 2005). In 21 stands of marketable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in Colorado, an average cull factor of 24% due to broken or dead trees’ tops adjacent to dead rust brooms has been reported (Schwandt, 2006). Since diseased trees are liable to shed branches, they also represent a hazard to the public.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been shown to be effective to manage the disease on spruce (Hennon &amp; Trummer, 2001). Other pest control methods can be applied, namely removal of infected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through selective thinning. It is also recommended to remove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within 300 m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this measure can reduce the damage to spruce trees (Hennon &amp; Trummer, 2001). Pruning of brooms may also reduce the risk of breakage and maintain tree vigour in high value trees (Schwandt, 2006). Given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does not normally kill spruce trees, one management option is to take no action, considering that witches’ brooms offer refuge for many birds and small mammals, which may be a desirable feature for some tree or woodland owners (Hennon &amp; Trummer,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more commonly associated with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in Eurasia than in North America, the rust is a potential danger to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in Europe and Asia (Ziller, 1974).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unclear how susceptible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to the disease and what level of damage the species could sustain.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is considered a minor host in North America but its susceptibility under European conditions is uncertain. It has been suggested, but not confirmed, that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transmission of the pathogen by aeciospores can occur (EFSAb,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are listed in the Standard PM 8/2 (3) Coniferae for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(EPPO, 2018). Import of plants for planting (except seeds) and cut branches of Coniferae including Christmas trees,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only from pest-free areas (EPPO, 2018). Import of wood, isolated bark of Coniferae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(EPPO, 2018) as the fungus is an obligate biotroph that grows and reproduces only in living plant tissue and spreads by windblown spores formed on needles.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especially since the main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grows across Europe (mainly in mountain range, such as the Pyrenees, Alps, Carpathians, Scandinavian mountains, Grampians, the Balkan Mountain range) (EFSA, 2018). Import prohibition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plants for planting would be a suitable measure to reduce the risk of introduction.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&amp; Kern FD (1906) North American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(8), 403–438.</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&amp; Smeltzer DLK (1983) </w:t>
      </w:r>
      <w:r>
        <w:rPr>
          <w:rFonts w:ascii="Calibri" w:hAnsi="Calibri" w:eastAsia="Calibri" w:cs="Calibri"/>
          <w:i/>
          <w:iCs/>
          <w:color w:val="000000"/>
          <w:sz w:val="22"/>
          <w:szCs w:val="22"/>
        </w:rPr>
        <w:t xml:space="preserve">Chrysomyxa weirii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Plant Dis</w:t>
      </w:r>
      <w:r>
        <w:rPr>
          <w:rFonts w:ascii="Calibri" w:hAnsi="Calibri" w:eastAsia="Calibri" w:cs="Calibri"/>
          <w:color w:val="000000"/>
          <w:sz w:val="22"/>
          <w:szCs w:val="22"/>
        </w:rPr>
        <w:t xml:space="preserve">ease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(2023) Information on Californian plants for education, research and conservation, with data contributed by public and private institutions and individuals, including the Consortium of California Herbaria. Berkeley, California, USA. </w:t>
      </w:r>
      <w:hyperlink r:id="rId7563663be91fa1534" w:history="1">
        <w:r>
          <w:rPr>
            <w:rFonts w:ascii="Calibri" w:hAnsi="Calibri" w:eastAsia="Calibri" w:cs="Calibri"/>
            <w:color w:val="0000CC"/>
            <w:sz w:val="22"/>
            <w:szCs w:val="22"/>
            <w:u w:val="single"/>
          </w:rPr>
          <w:t xml:space="preserve">http://www.calflora.org/</w:t>
        </w:r>
      </w:hyperlink>
      <w:r>
        <w:rPr>
          <w:rFonts w:ascii="Calibri" w:hAnsi="Calibri" w:eastAsia="Calibri" w:cs="Calibri"/>
          <w:color w:val="000000"/>
          <w:sz w:val="22"/>
          <w:szCs w:val="22"/>
        </w:rPr>
        <w:t xml:space="preserve"> (last accessed on 21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Crane PE (2000) Systematics and biology of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(Uredinales). A thesis submitted to the Faculty of Graduate Studies and Research in partial fulfillment of the requirements for the degree of Doctor of Philosophy. Edmonton, Alberta: University of Alberta, 266 p. </w:t>
      </w:r>
      <w:hyperlink r:id="rId8094663be91fa1598" w:history="1">
        <w:r>
          <w:rPr>
            <w:rFonts w:ascii="Calibri" w:hAnsi="Calibri" w:eastAsia="Calibri" w:cs="Calibri"/>
            <w:color w:val="0000CC"/>
            <w:sz w:val="22"/>
            <w:szCs w:val="22"/>
            <w:u w:val="single"/>
          </w:rPr>
          <w:t xml:space="preserve">https://central.bac-lac.gc.ca/.item?id=NQ59573&amp;op=pdf&amp;app=Library&amp;is_thesis=1&amp;oclc_number=1007094116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7445663be91fa160a"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page on EPPO A1 and A2 lists of pests recommended for regulation as quarantine pests. PM 1/002(30). </w:t>
      </w:r>
      <w:hyperlink r:id="rId1018663be91fa163d"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Vialle A, Allaire M, Maier W &amp; Hamelin RC (2011) DNA barcoding in the rust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and its implications for the phylogeny of the genus.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1250–1266. </w:t>
      </w:r>
      <w:hyperlink r:id="rId7754663be91fa16fa" w:history="1">
        <w:r>
          <w:rPr>
            <w:rFonts w:ascii="Calibri" w:hAnsi="Calibri" w:eastAsia="Calibri" w:cs="Calibri"/>
            <w:color w:val="0000CC"/>
            <w:sz w:val="22"/>
            <w:szCs w:val="22"/>
            <w:u w:val="single"/>
          </w:rPr>
          <w:t xml:space="preserve">https://doi.org/10.3852/10-426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Hennon PE &amp; Trummer L (2001) Spruce broom rust. USDA Forest Service Leaflet R10-TP-100. USDA Forest Service, Anchorage, Alaska, USA. </w:t>
      </w:r>
      <w:hyperlink r:id="rId6466663be91fa172c" w:history="1">
        <w:r>
          <w:rPr>
            <w:rFonts w:ascii="Calibri" w:hAnsi="Calibri" w:eastAsia="Calibri" w:cs="Calibri"/>
            <w:color w:val="0000CC"/>
            <w:sz w:val="22"/>
            <w:szCs w:val="22"/>
            <w:u w:val="single"/>
          </w:rPr>
          <w:t xml:space="preserve">https://www.fs.usda.gov/detail/r10/forest-grasslandhealth/?cid=fsbdev2_038391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Pady SM (1941) Further notes on the witches' brooms and the sub-stomatal pycnia of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Kansas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190–201. </w:t>
      </w:r>
      <w:hyperlink r:id="rId4519663be91fa17e5" w:history="1">
        <w:r>
          <w:rPr>
            <w:rFonts w:ascii="Calibri" w:hAnsi="Calibri" w:eastAsia="Calibri" w:cs="Calibri"/>
            <w:color w:val="0000CC"/>
            <w:sz w:val="22"/>
            <w:szCs w:val="22"/>
            <w:u w:val="single"/>
          </w:rPr>
          <w:t xml:space="preserve">https://doi.org/10.2307/3624881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Pady SM (1942) Distribution patterns in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in the national forests and parks of the western States.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606–627 </w:t>
      </w:r>
      <w:hyperlink r:id="rId2306663be91fa1872" w:history="1">
        <w:r>
          <w:rPr>
            <w:rFonts w:ascii="Calibri" w:hAnsi="Calibri" w:eastAsia="Calibri" w:cs="Calibri"/>
            <w:color w:val="0000CC"/>
            <w:sz w:val="22"/>
            <w:szCs w:val="22"/>
            <w:u w:val="single"/>
          </w:rPr>
          <w:t xml:space="preserve">https://doi.org/10.1080/00275514.1942.12020932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(1961) Host alternation of spruce broom rust.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468–469. </w:t>
      </w:r>
      <w:hyperlink r:id="rId6239663be91fa18e0" w:history="1">
        <w:r>
          <w:rPr>
            <w:rFonts w:ascii="Calibri" w:hAnsi="Calibri" w:eastAsia="Calibri" w:cs="Calibri"/>
            <w:color w:val="0000CC"/>
            <w:sz w:val="22"/>
            <w:szCs w:val="22"/>
            <w:u w:val="single"/>
          </w:rPr>
          <w:t xml:space="preserve">https://www.science.org/doi/10.1126/science.134.3477.468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Savile DBO (1950) North American species of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318–330. </w:t>
      </w:r>
      <w:hyperlink r:id="rId4735663be91fa196c" w:history="1">
        <w:r>
          <w:rPr>
            <w:rFonts w:ascii="Calibri" w:hAnsi="Calibri" w:eastAsia="Calibri" w:cs="Calibri"/>
            <w:color w:val="0000CC"/>
            <w:sz w:val="22"/>
            <w:szCs w:val="22"/>
            <w:u w:val="single"/>
          </w:rPr>
          <w:t xml:space="preserve">https://doi.org/10.1139/cjr50c-01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Schwandt J (2006) Management guide for spruce broom rust. USDA Forest Service, 2 pp.  Available online: </w:t>
      </w:r>
      <w:hyperlink r:id="rId3038663be91fa199d" w:history="1">
        <w:r>
          <w:rPr>
            <w:rFonts w:ascii="Calibri" w:hAnsi="Calibri" w:eastAsia="Calibri" w:cs="Calibri"/>
            <w:color w:val="0000CC"/>
            <w:sz w:val="22"/>
            <w:szCs w:val="22"/>
            <w:u w:val="single"/>
          </w:rPr>
          <w:t xml:space="preserve">https://www.fs.usda.gov/Internet/FSE_DOCUMENTS/stelprdb5187557.pdf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&amp; Bruns TD (1998) Phylogenetic relationships among the pine stem rust fungi (</w:t>
      </w:r>
      <w:r>
        <w:rPr>
          <w:rFonts w:ascii="Calibri" w:hAnsi="Calibri" w:eastAsia="Calibri" w:cs="Calibri"/>
          <w:i/>
          <w:iCs/>
          <w:color w:val="000000"/>
          <w:sz w:val="22"/>
          <w:szCs w:val="22"/>
        </w:rPr>
        <w:t xml:space="preserve">Cronartium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244–257. </w:t>
      </w:r>
      <w:hyperlink r:id="rId2664663be91fa1a84" w:history="1">
        <w:r>
          <w:rPr>
            <w:rFonts w:ascii="Calibri" w:hAnsi="Calibri" w:eastAsia="Calibri" w:cs="Calibri"/>
            <w:color w:val="0000CC"/>
            <w:sz w:val="22"/>
            <w:szCs w:val="22"/>
            <w:u w:val="single"/>
          </w:rPr>
          <w:t xml:space="preserve">https://doi.org/10.2307/3761300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The tree rusts of western Canada. </w:t>
      </w:r>
      <w:r>
        <w:rPr>
          <w:rFonts w:ascii="Calibri" w:hAnsi="Calibri" w:eastAsia="Calibri" w:cs="Calibri"/>
          <w:i/>
          <w:iCs/>
          <w:color w:val="000000"/>
          <w:sz w:val="22"/>
          <w:szCs w:val="22"/>
        </w:rPr>
        <w:t xml:space="preserve">Forest Service British Columbia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1329</w:t>
      </w:r>
      <w:r>
        <w:rPr>
          <w:rFonts w:ascii="Calibri" w:hAnsi="Calibri" w:eastAsia="Calibri" w:cs="Calibri"/>
          <w:color w:val="000000"/>
          <w:sz w:val="22"/>
          <w:szCs w:val="22"/>
        </w:rPr>
        <w:t xml:space="preserve">, 45–47.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2018. Scientific opinion on the pest categorisation of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EFSA Journal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5355, 20 pp. </w:t>
      </w:r>
      <w:hyperlink r:id="rId1754663be91fa1b74" w:history="1">
        <w:r>
          <w:rPr>
            <w:rFonts w:ascii="Calibri" w:hAnsi="Calibri" w:eastAsia="Calibri" w:cs="Calibri"/>
            <w:color w:val="0000CC"/>
            <w:sz w:val="22"/>
            <w:szCs w:val="22"/>
            <w:u w:val="single"/>
          </w:rPr>
          <w:t xml:space="preserve">https://doi.org/10.2903/j.efsa.2018.5355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EPPO datasheets on pests recommended for regulation. Available online. </w:t>
      </w:r>
      <w:hyperlink r:id="rId1089663be91fa1c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8: </w:t>
      </w:r>
      <w:r>
        <w:rPr>
          <w:rFonts w:ascii="Calibri" w:hAnsi="Calibri" w:eastAsia="Calibri" w:cs="Calibri"/>
          <w:i/>
          <w:iCs/>
          <w:color w:val="000000"/>
          <w:sz w:val="22"/>
          <w:szCs w:val="22"/>
        </w:rPr>
        <w:t xml:space="preserve">Chrysomyxa arctostaphyli. </w:t>
      </w:r>
      <w:r>
        <w:rPr>
          <w:rFonts w:ascii="Calibri" w:hAnsi="Calibri" w:eastAsia="Calibri" w:cs="Calibri"/>
          <w:color w:val="000000"/>
          <w:sz w:val="22"/>
          <w:szCs w:val="22"/>
        </w:rPr>
        <w:t xml:space="preserve">EPPO Bulletin 9(2), 39-43. </w:t>
      </w:r>
      <w:hyperlink r:id="rId6093663be91fa1d65" w:history="1">
        <w:r>
          <w:rPr>
            <w:rFonts w:ascii="Calibri" w:hAnsi="Calibri" w:eastAsia="Calibri" w:cs="Calibri"/>
            <w:color w:val="0000CC"/>
            <w:sz w:val="22"/>
            <w:szCs w:val="22"/>
            <w:u w:val="single"/>
          </w:rPr>
          <w:t xml:space="preserve">https://onlinelibrary.wiley.com/doi/epdf/10.1111/j.1365-2338.1979.tb02449.x</w:t>
        </w:r>
      </w:hyperlink>
    </w:p>
    <w:p>
      <w:r>
        <w:drawing>
          <wp:inline distT="0" distB="0" distL="0" distR="0">
            <wp:extent cx="1800000" cy="604800"/>
            <wp:docPr id="30317909" name="name7038663be91fa1f4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01663be91fa1f4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344454">
    <w:multiLevelType w:val="hybridMultilevel"/>
    <w:lvl w:ilvl="0" w:tplc="18935707">
      <w:start w:val="1"/>
      <w:numFmt w:val="decimal"/>
      <w:lvlText w:val="%1."/>
      <w:lvlJc w:val="left"/>
      <w:pPr>
        <w:ind w:left="720" w:hanging="360"/>
      </w:pPr>
    </w:lvl>
    <w:lvl w:ilvl="1" w:tplc="18935707" w:tentative="1">
      <w:start w:val="1"/>
      <w:numFmt w:val="lowerLetter"/>
      <w:lvlText w:val="%2."/>
      <w:lvlJc w:val="left"/>
      <w:pPr>
        <w:ind w:left="1440" w:hanging="360"/>
      </w:pPr>
    </w:lvl>
    <w:lvl w:ilvl="2" w:tplc="18935707" w:tentative="1">
      <w:start w:val="1"/>
      <w:numFmt w:val="lowerRoman"/>
      <w:lvlText w:val="%3."/>
      <w:lvlJc w:val="right"/>
      <w:pPr>
        <w:ind w:left="2160" w:hanging="180"/>
      </w:pPr>
    </w:lvl>
    <w:lvl w:ilvl="3" w:tplc="18935707" w:tentative="1">
      <w:start w:val="1"/>
      <w:numFmt w:val="decimal"/>
      <w:lvlText w:val="%4."/>
      <w:lvlJc w:val="left"/>
      <w:pPr>
        <w:ind w:left="2880" w:hanging="360"/>
      </w:pPr>
    </w:lvl>
    <w:lvl w:ilvl="4" w:tplc="18935707" w:tentative="1">
      <w:start w:val="1"/>
      <w:numFmt w:val="lowerLetter"/>
      <w:lvlText w:val="%5."/>
      <w:lvlJc w:val="left"/>
      <w:pPr>
        <w:ind w:left="3600" w:hanging="360"/>
      </w:pPr>
    </w:lvl>
    <w:lvl w:ilvl="5" w:tplc="18935707" w:tentative="1">
      <w:start w:val="1"/>
      <w:numFmt w:val="lowerRoman"/>
      <w:lvlText w:val="%6."/>
      <w:lvlJc w:val="right"/>
      <w:pPr>
        <w:ind w:left="4320" w:hanging="180"/>
      </w:pPr>
    </w:lvl>
    <w:lvl w:ilvl="6" w:tplc="18935707" w:tentative="1">
      <w:start w:val="1"/>
      <w:numFmt w:val="decimal"/>
      <w:lvlText w:val="%7."/>
      <w:lvlJc w:val="left"/>
      <w:pPr>
        <w:ind w:left="5040" w:hanging="360"/>
      </w:pPr>
    </w:lvl>
    <w:lvl w:ilvl="7" w:tplc="18935707" w:tentative="1">
      <w:start w:val="1"/>
      <w:numFmt w:val="lowerLetter"/>
      <w:lvlText w:val="%8."/>
      <w:lvlJc w:val="left"/>
      <w:pPr>
        <w:ind w:left="5760" w:hanging="360"/>
      </w:pPr>
    </w:lvl>
    <w:lvl w:ilvl="8" w:tplc="18935707" w:tentative="1">
      <w:start w:val="1"/>
      <w:numFmt w:val="lowerRoman"/>
      <w:lvlText w:val="%9."/>
      <w:lvlJc w:val="right"/>
      <w:pPr>
        <w:ind w:left="6480" w:hanging="180"/>
      </w:pPr>
    </w:lvl>
  </w:abstractNum>
  <w:abstractNum w:abstractNumId="35344453">
    <w:multiLevelType w:val="hybridMultilevel"/>
    <w:lvl w:ilvl="0" w:tplc="18418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344453">
    <w:abstractNumId w:val="35344453"/>
  </w:num>
  <w:num w:numId="35344454">
    <w:abstractNumId w:val="353444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1354514" Type="http://schemas.microsoft.com/office/2011/relationships/commentsExtended" Target="commentsExtended.xml"/><Relationship Id="rId824715145" Type="http://schemas.microsoft.com/office/2011/relationships/people" Target="people.xml"/><Relationship Id="rId4407663be91f9ea13" Type="http://schemas.openxmlformats.org/officeDocument/2006/relationships/hyperlink" Target="https://gd.eppo.int/taxon/CHMYAR/" TargetMode="External"/><Relationship Id="rId2170663be91f9ea7b" Type="http://schemas.openxmlformats.org/officeDocument/2006/relationships/hyperlink" Target="https://gd.eppo.int/taxon/CHMYAR/categorization" TargetMode="External"/><Relationship Id="rId1840663be91f9f347" Type="http://schemas.openxmlformats.org/officeDocument/2006/relationships/hyperlink" Target="https://gd.eppo.int/taxon/CHMYAR/photos" TargetMode="External"/><Relationship Id="rId7563663be91fa1534" Type="http://schemas.openxmlformats.org/officeDocument/2006/relationships/hyperlink" Target="http://www.calflora.org/" TargetMode="External"/><Relationship Id="rId8094663be91fa1598" Type="http://schemas.openxmlformats.org/officeDocument/2006/relationships/hyperlink" Target="https://central.bac-lac.gc.ca/.item?id=NQ59573&amp;op=pdf&amp;app=Library&amp;is_thesis=1&amp;oclc_number=1007094116" TargetMode="External"/><Relationship Id="rId7445663be91fa160a" Type="http://schemas.openxmlformats.org/officeDocument/2006/relationships/hyperlink" Target="https://doi.org/10.1111/epp.12503" TargetMode="External"/><Relationship Id="rId1018663be91fa163d" Type="http://schemas.openxmlformats.org/officeDocument/2006/relationships/hyperlink" Target="https://gd.eppo.int/standards/PM1/%20" TargetMode="External"/><Relationship Id="rId7754663be91fa16fa" Type="http://schemas.openxmlformats.org/officeDocument/2006/relationships/hyperlink" Target="https://doi.org/10.3852/10-426%20" TargetMode="External"/><Relationship Id="rId6466663be91fa172c" Type="http://schemas.openxmlformats.org/officeDocument/2006/relationships/hyperlink" Target="https://www.fs.usda.gov/detail/r10/forest-grasslandhealth/?cid=fsbdev2_038391" TargetMode="External"/><Relationship Id="rId4519663be91fa17e5" Type="http://schemas.openxmlformats.org/officeDocument/2006/relationships/hyperlink" Target="https://doi.org/10.2307/3624881" TargetMode="External"/><Relationship Id="rId2306663be91fa1872" Type="http://schemas.openxmlformats.org/officeDocument/2006/relationships/hyperlink" Target="https://doi.org/10.1080/00275514.1942.12020932" TargetMode="External"/><Relationship Id="rId6239663be91fa18e0" Type="http://schemas.openxmlformats.org/officeDocument/2006/relationships/hyperlink" Target="https://www.science.org/doi/10.1126/science.134.3477.468" TargetMode="External"/><Relationship Id="rId4735663be91fa196c" Type="http://schemas.openxmlformats.org/officeDocument/2006/relationships/hyperlink" Target="https://doi.org/10.1139/cjr50c-01" TargetMode="External"/><Relationship Id="rId3038663be91fa199d" Type="http://schemas.openxmlformats.org/officeDocument/2006/relationships/hyperlink" Target="https://www.fs.usda.gov/Internet/FSE_DOCUMENTS/stelprdb5187557.pdf" TargetMode="External"/><Relationship Id="rId2664663be91fa1a84" Type="http://schemas.openxmlformats.org/officeDocument/2006/relationships/hyperlink" Target="https://doi.org/10.2307/3761300" TargetMode="External"/><Relationship Id="rId1754663be91fa1b74" Type="http://schemas.openxmlformats.org/officeDocument/2006/relationships/hyperlink" Target="https://doi.org/10.2903/j.efsa.2018.5355" TargetMode="External"/><Relationship Id="rId1089663be91fa1c25" Type="http://schemas.openxmlformats.org/officeDocument/2006/relationships/hyperlink" Target="https://gd.eppo.int" TargetMode="External"/><Relationship Id="rId6093663be91fa1d65" Type="http://schemas.openxmlformats.org/officeDocument/2006/relationships/hyperlink" Target="https://onlinelibrary.wiley.com/doi/epdf/10.1111/j.1365-2338.1979.tb02449.x" TargetMode="External"/><Relationship Id="rId3097663be91f9f1f3" Type="http://schemas.openxmlformats.org/officeDocument/2006/relationships/image" Target="media/imgrId3097663be91f9f1f3.jpg"/><Relationship Id="rId4511663be91fa07c6" Type="http://schemas.openxmlformats.org/officeDocument/2006/relationships/image" Target="media/imgrId4511663be91fa07c6.jpg"/><Relationship Id="rId4901663be91fa1f41" Type="http://schemas.openxmlformats.org/officeDocument/2006/relationships/image" Target="media/imgrId4901663be91fa1f4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