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Ceratitis capitata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capitata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citriperda</w:t>
            </w:r>
            <w:r>
              <w:rPr>
                <w:rFonts w:ascii="Calibri" w:hAnsi="Calibri" w:eastAsia="Calibri" w:cs="Calibri"/>
                <w:color w:val="000000"/>
                <w:position w:val="-3"/>
                <w:sz w:val="22"/>
                <w:szCs w:val="22"/>
              </w:rPr>
              <w:t xml:space="preserve"> Macleay, </w:t>
            </w:r>
            <w:r>
              <w:rPr>
                <w:rFonts w:ascii="Calibri" w:hAnsi="Calibri" w:eastAsia="Calibri" w:cs="Calibri"/>
                <w:i/>
                <w:iCs/>
                <w:color w:val="000000"/>
                <w:position w:val="-3"/>
                <w:sz w:val="22"/>
                <w:szCs w:val="22"/>
              </w:rPr>
              <w:t xml:space="preserve">Ceratitis hispanica</w:t>
            </w:r>
            <w:r>
              <w:rPr>
                <w:rFonts w:ascii="Calibri" w:hAnsi="Calibri" w:eastAsia="Calibri" w:cs="Calibri"/>
                <w:color w:val="000000"/>
                <w:position w:val="-3"/>
                <w:sz w:val="22"/>
                <w:szCs w:val="22"/>
              </w:rPr>
              <w:t xml:space="preserve"> de Breme, </w:t>
            </w:r>
            <w:r>
              <w:rPr>
                <w:rFonts w:ascii="Calibri" w:hAnsi="Calibri" w:eastAsia="Calibri" w:cs="Calibri"/>
                <w:i/>
                <w:iCs/>
                <w:color w:val="000000"/>
                <w:position w:val="-3"/>
                <w:sz w:val="22"/>
                <w:szCs w:val="22"/>
              </w:rPr>
              <w:t xml:space="preserve">Pardalaspis asparagi</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Tephritis capitata</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fruit fly, medfly</w:t>
            </w:r>
            <w:hyperlink r:id="rId6058693ed589bcf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345693ed589bcff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CERTCA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90940" name="name1330693ed589bd914" descr="14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0.jpg"/>
                          <pic:cNvPicPr/>
                        </pic:nvPicPr>
                        <pic:blipFill>
                          <a:blip r:embed="rId8056693ed589bd911" cstate="print"/>
                          <a:stretch>
                            <a:fillRect/>
                          </a:stretch>
                        </pic:blipFill>
                        <pic:spPr>
                          <a:xfrm>
                            <a:off x="0" y="0"/>
                            <a:ext cx="2160000" cy="1281600"/>
                          </a:xfrm>
                          <a:prstGeom prst="rect">
                            <a:avLst/>
                          </a:prstGeom>
                          <a:ln w="0">
                            <a:noFill/>
                          </a:ln>
                        </pic:spPr>
                      </pic:pic>
                    </a:graphicData>
                  </a:graphic>
                </wp:inline>
              </w:drawing>
            </w:r>
            <w:hyperlink r:id="rId6056693ed589bda2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a highly polyphagous species whose larvae develop in a very wide range of unrelated fruits.  It is recorded from more than 350 different confirmed hosts worldwide, belonging to 70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venosum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Argania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Astropanax volkensii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Azima tetracantha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holstii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Bourreria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antidysenterica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lumia var. lumia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tacamahaca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Capparicordis crotonoides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 var.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cardenasii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bispinosa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tetramera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myrianthum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sebestena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azarolus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Crateva tapia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Cucurbitella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decandra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 var. leiogyna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schweinfurthianum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Englerophytum magalismontanum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divinorum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racemosa subsp.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Filicium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Flagellaria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tembensis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Hancornia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Harrisonia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Lamprothamnus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loddigesii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Ludia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butugi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sansibarensis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sulcata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Miliusa brahei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kummel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zeyheri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Moquilea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Mystroxylon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Neocarya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 subsp. disjuncta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monacantha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Oxyanthus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curatellifolia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Pentarhopalopilia umbellulata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Polysphaeria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Rawsonia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bahiensis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sanctus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plumieri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foetidissimum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 subsp. diospyroides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polynesicum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Sorocea bonplandii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henningsii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potatorum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 simplicifolia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is of Sub-Saharan African origin (probably Eastern or Southern Africa,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is found throughout the whole of Sub-Saharan Africa where it appears to be less abundant in wetter, and colder conditions but prevalent in dry, hot environments. From Africa is has spread to different parts of the world, first the Mediterranean Basin, and afterwards to Latin America, Australia and Hawaii. It is also introduced on all islands in the Western Indian Ocean. For a recent worldwide phylogeography based on mitochondrial DNA, see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California (US),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regularly detected but is systematically subject to eradication campaigns. However, the complete elimination of populations has been queried by Papadopoulos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who considered that barely detectable populations are established and reappear regularly.  In addition, there are intermittent records from several countries outside the established range.  </w:t>
      </w:r>
    </w:p>
    <w:p>
      <w:r>
        <w:drawing>
          <wp:inline distT="0" distB="0" distL="0" distR="0">
            <wp:extent cx="6120000" cy="3067200"/>
            <wp:docPr id="72665657" name="name2508693ed589c1788" descr="CERT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CA_distribution_map.jpg"/>
                    <pic:cNvPicPr/>
                  </pic:nvPicPr>
                  <pic:blipFill>
                    <a:blip r:embed="rId8562693ed589c178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Bulgaria, Croatia, Cyprus, France (mainland, Corse), Germany, Greece (mainland, Kriti), Israel, Italy (mainland, Sardegna, Sicilia), Jordan, Malta, Montenegro, Morocco, Portugal (mainland, Azores, Madeira), Romania, Slovenia, Spain (mainland, Islas Baleares,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Comoros, Congo, Congo, The Democratic Republic of the, Cote d'Ivoire, Egypt, Eritrea, Eswatini, Ethiopia, Gabon, Ghana, Guinea, Guinea-Bissau, Kenya, Liberia, Libya, Madagascar, Malawi, Mali, Mauritius, Morocco, Mozambique, Namibia, Niger, Nigeria, Reunion, Saint Helena, Sao Tome and Principe, Senegal, Seychelles,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Iraq, Israel, Jordan, Lebanon, Saudi Arabia,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Bahia, Ceara, Distrito Federal, Espirito Santo, Goias, Maranhao, Mato Grosso, Mato Grosso do Sul, Minas Gerais, Para, Paraiba, Parana, Pernambuco, Piaui, Rio de Janeiro, Rio Grande do Norte, Rio Grande do Sul, Rondonia, Roraima, Santa Catarina, Sao Paulo, Sergipe, Tocantins), Chile,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Adult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flies have been recorded to have an average life span for males of 11 weeks and for females of 9 weeks (Carey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some individuals can live longer. Females start laying eggs in fruit between 3-6 days after adult emergence (Manrakhan &amp; Lux, 2006;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see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mentioned below). The larval duration varies from 5 to 21 days at 30°C-15°C (Duyck &amp; Quilici, 2002). The pupal stage lasts for 8-35 days at 30°C-15°C Duyck &amp; Quilici, 2002). It can complete a full life cycle in about 32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have shown that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populations have evolved resulting in different life history strategies (with regard to longevity, reproductive maturity, and fecundity) under different environmental conditions. Resistance to effects of climate stress (e.g. cold and heat, desiccation, starvation), demography, population fluctuations and number of annual generations also differ according to the environmental situation and local bioclimate conditions (Nyamukondiwa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Weldon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Furthermore,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redescription given by De Meyer,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Head. Antenna yellow to yellow-orange; first and second segment and base of third segment sometimes darker. Third antennal segment twice as long as second segment. Arista with short hairs, mainly on base and only distinct dorsally. Frons convex to flat; yellow, sometimes with darker orange or orange-brown patches including darker band near antennal implant, occasionally with faint silvery shine; with short scattered hairs which are largely the same colour as frons. Frontal and ocellar bristles black; lower orbital modified, stem pale and shorter than arista with apical end dark and diamond-shaped; upper orbital weakly developed, black. Face yellow-white. Genal bristle pale, genal setulae pale or reddish, weakly developed. Postocellar and outer vertical pale.</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Postpronotum white, with distinct black spot. Mesonotum: ground colour black, microtrichiae pattern silvery with ashgrey shine, spots black except sutural white spots, prescutellar white markings merged. Scapular setae pale. Scutellum yellow-white, basally with two dark spots, separate or narrowly touching, apically with three merged spots, only slightly incised. Anepisternum pale with lower half darker yellow, pilosity variable but at least partly dark in lower half.  </w:t>
      </w:r>
    </w:p>
    <w:p>
      <w:pPr>
        <w:widowControl w:val="on"/>
        <w:pBdr/>
        <w:spacing w:before="220" w:after="220" w:line="240" w:lineRule="auto"/>
        <w:ind w:left="0" w:right="0"/>
        <w:jc w:val="both"/>
      </w:pPr>
      <w:r>
        <w:rPr>
          <w:rFonts w:ascii="Calibri" w:hAnsi="Calibri" w:eastAsia="Calibri" w:cs="Calibri"/>
          <w:color w:val="000000"/>
          <w:sz w:val="22"/>
          <w:szCs w:val="22"/>
        </w:rPr>
        <w:t xml:space="preserve">Legs. Yellow; setation typical for subgenus, mainly pale especially on femora. Fore femur posterodorsally with bush of longer orange hairs along entire length, basally these hairs darker red or brown but not distinct black; posteriorly hairs much shorter; ventral spines yellow-orange; anteroventral row of hairs short and yellow-orange. Hind femur with longer hairs dorsally and ventrally on apical fourth.  </w:t>
      </w:r>
    </w:p>
    <w:p>
      <w:pPr>
        <w:widowControl w:val="on"/>
        <w:pBdr/>
        <w:spacing w:before="220" w:after="220" w:line="240" w:lineRule="auto"/>
        <w:ind w:left="0" w:right="0"/>
        <w:jc w:val="both"/>
      </w:pPr>
      <w:r>
        <w:rPr>
          <w:rFonts w:ascii="Calibri" w:hAnsi="Calibri" w:eastAsia="Calibri" w:cs="Calibri"/>
          <w:color w:val="000000"/>
          <w:sz w:val="22"/>
          <w:szCs w:val="22"/>
        </w:rPr>
        <w:t xml:space="preserve">Wing. marginal band usually with clear and complete interruption, occasionally narrowly or partly touching; cubital band free; medial band absent; crossvein r-m at or near middle of discal cell. Vein R1 beyond or equal with crossvein r-m. Orientation crossvein dm-cu variable.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Yellow. Setation and banding typical for subgenus.</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male except for the following characters: Third antennal segment in general darker than in male. Frons sometimes with darker hairs; darker patches never as apparent as in male. Orbitals not modified, well developed. Genal setulae darker and strongly developed. Anepisternum without darker pilosity. Legs without bush of longer hairs; ventral spines on fore femur sometimes partially dark. Oviscape shorter than abdominal terga. Aculeus pointed.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through DNA barcoding is potentially problematic as this species cannot be properly distinguished from </w:t>
      </w:r>
      <w:r>
        <w:rPr>
          <w:rFonts w:ascii="Calibri" w:hAnsi="Calibri" w:eastAsia="Calibri" w:cs="Calibri"/>
          <w:i/>
          <w:iCs/>
          <w:color w:val="000000"/>
          <w:sz w:val="22"/>
          <w:szCs w:val="22"/>
        </w:rPr>
        <w:t xml:space="preserve">C. caetrata </w:t>
      </w:r>
      <w:r>
        <w:rPr>
          <w:rFonts w:ascii="Calibri" w:hAnsi="Calibri" w:eastAsia="Calibri" w:cs="Calibri"/>
          <w:color w:val="000000"/>
          <w:sz w:val="22"/>
          <w:szCs w:val="22"/>
        </w:rPr>
        <w:t xml:space="preserve">(Barr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fact that </w:t>
      </w:r>
      <w:r>
        <w:rPr>
          <w:rFonts w:ascii="Calibri" w:hAnsi="Calibri" w:eastAsia="Calibri" w:cs="Calibri"/>
          <w:i/>
          <w:iCs/>
          <w:color w:val="000000"/>
          <w:sz w:val="22"/>
          <w:szCs w:val="22"/>
        </w:rPr>
        <w:t xml:space="preserve">C. caetrata</w:t>
      </w:r>
      <w:r>
        <w:rPr>
          <w:rFonts w:ascii="Calibri" w:hAnsi="Calibri" w:eastAsia="Calibri" w:cs="Calibri"/>
          <w:color w:val="000000"/>
          <w:sz w:val="22"/>
          <w:szCs w:val="22"/>
        </w:rPr>
        <w:t xml:space="preserve"> has a restricted distribution and host range (only known from Kenya and not recorded from any commercially grown fruits,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may limit the risk of misidentification. The presence of unidentified / possibly misidentified reference sequences in Barcoding Index Number Systems (BINs) in which this species is represented, might also bias its molecular identification. Sequences are available in the </w:t>
      </w:r>
      <w:hyperlink r:id="rId6450693ed589c1f16"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hyperlink r:id="rId2913693ed589c1f63" w:history="1"/>
      <w:r>
        <w:rPr>
          <w:rFonts w:ascii="Calibri" w:hAnsi="Calibri" w:eastAsia="Calibri" w:cs="Calibri"/>
          <w:color w:val="000000"/>
          <w:sz w:val="22"/>
          <w:szCs w:val="22"/>
        </w:rPr>
        <w:t xml:space="preserve">and </w:t>
      </w:r>
      <w:hyperlink r:id="rId8067693ed589c1f75"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hyperlink r:id="rId2260693ed589c1f9a" w:history="1"/>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Males are attracted to trimedlure and enhanced ginger oil (EGO) lure.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In a mark recapture trial, Meats &amp; Smallridge (2007) showed that the majority (90%) of flies displaced only 400-700 m, and that any incursion would most likely be limited to within 1 km of the incursion point. Only very small proportion of flies disperse beyond 10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considered to be one of the major pest insects of a number of commercial fruits. Globally it has a massive economic impact, in particular where the species has been introduced (see for example IAEA, 1995,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Africa it seems to be in competition with other native and exotic fruit flies and its impact is more limited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Vayssières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except for parts of South Africa where it is the major pest in several regions, in particular the Cape Region (Barnes,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fruit flies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specifically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which also applies to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control, the use of bait stations, rather than bait sprays, has been suggested to be equally effective and more cost efficient (Pinero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Applying Male Annihilation Technique (MAT)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less applicable than for some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because the main lure, trimedlure, is less effective, although suppression using trimedlure dispenser has been proposed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 is extensively used in several countries and regions and for different strategic options (prevention, containment, eradication and suppression). One of the most extensive uses of SIT against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carried out in Mexico and Central America, specifically in southern Mexico and Guatemala to prevent the fly moving northwards. An extensive review of the program (Programa Moscamed) can be found in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SIT as a suppression method is used within the EPPO region, i.e. in Portugal, Spain and Israel. See Enkerlin (2005) for a review on SIT programs worldwide against this and other tephritid pest species. SIT is considered effective when applied in an integrated way in an area-wide Integrated Pest Management (IPM) program and when the actual population level has been reduced drastically prior to the SIT application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on the climatic suitability of particular regions have been published (e.g.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present in the EPPO region mainly around the Mediterranean Basin. However, in recent years a number of cases have been recorded of sites in Central Europe where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trapped over successive years including areas with relatively low temperatures during winter months. It is currently not clear whether these are records of isolated populations or recurrent introductions at the same sites over several years, but a northward expansion due to climatic change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does not occur, or from a place of production found to be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and in Annex 24 to 30 of ISPM 28 </w:t>
      </w:r>
      <w:r>
        <w:rPr>
          <w:rFonts w:ascii="Calibri" w:hAnsi="Calibri" w:eastAsia="Calibri" w:cs="Calibri"/>
          <w:i/>
          <w:iCs/>
          <w:color w:val="000000"/>
          <w:sz w:val="22"/>
          <w:szCs w:val="22"/>
        </w:rPr>
        <w:t xml:space="preserve">Phytosanitary treatments for regulated pests</w:t>
      </w:r>
      <w:r>
        <w:rPr>
          <w:rFonts w:ascii="Calibri" w:hAnsi="Calibri" w:eastAsia="Calibri" w:cs="Calibri"/>
          <w:color w:val="000000"/>
          <w:sz w:val="22"/>
          <w:szCs w:val="22"/>
        </w:rPr>
        <w:t xml:space="preserve"> (FAO, 2011 and 2017 a to 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BN (2016) Sterile Insect Technique (SIT) for fruit fly control – the south African Experience. IN </w:t>
      </w:r>
      <w:r>
        <w:rPr>
          <w:rFonts w:ascii="Calibri" w:hAnsi="Calibri" w:eastAsia="Calibri" w:cs="Calibri"/>
          <w:i/>
          <w:iCs/>
          <w:color w:val="000000"/>
          <w:sz w:val="22"/>
          <w:szCs w:val="22"/>
        </w:rPr>
        <w:t xml:space="preserve">Fruit Fly Research and Development in Africa – Towards a Sustainable Management Strategy to Improve Horticulture</w:t>
      </w:r>
      <w:r>
        <w:rPr>
          <w:rFonts w:ascii="Calibri" w:hAnsi="Calibri" w:eastAsia="Calibri" w:cs="Calibri"/>
          <w:color w:val="000000"/>
          <w:sz w:val="22"/>
          <w:szCs w:val="22"/>
        </w:rPr>
        <w:t xml:space="preserve">, pp 435-464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Ekesi S, Mohamed SA &amp; De Meyer M)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Islam MS, De Meyer M &amp; McPheron BA (2012) Molecular identification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using DNA sequences of the COI barcode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339-350.</w:t>
      </w:r>
    </w:p>
    <w:p>
      <w:pPr>
        <w:widowControl w:val="on"/>
        <w:pBdr/>
        <w:spacing w:before="220" w:after="220" w:line="240" w:lineRule="auto"/>
        <w:ind w:left="0" w:right="0"/>
        <w:jc w:val="left"/>
      </w:pPr>
      <w:r>
        <w:rPr>
          <w:rFonts w:ascii="Calibri" w:hAnsi="Calibri" w:eastAsia="Calibri" w:cs="Calibri"/>
          <w:color w:val="000000"/>
          <w:sz w:val="22"/>
          <w:szCs w:val="22"/>
        </w:rPr>
        <w:t xml:space="preserve">Carey JR, Papadopoulos NK, Muller HG, Katsoyannos BI, Kouloussis NA, Wang JL, Wachter K, Yu W &amp; Liedo P (2008) Age structure changes and extraordinary lifespan in wild medfly populations. </w:t>
      </w:r>
      <w:r>
        <w:rPr>
          <w:rFonts w:ascii="Calibri" w:hAnsi="Calibri" w:eastAsia="Calibri" w:cs="Calibri"/>
          <w:i/>
          <w:iCs/>
          <w:color w:val="000000"/>
          <w:sz w:val="22"/>
          <w:szCs w:val="22"/>
        </w:rPr>
        <w:t xml:space="preserve">Aging 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8167693ed589c268b"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(2000) Systematic revision of the subgenus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MacLeay s.s. (Diptera, Tephritidae).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439-467. </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Lux S, Mansell M, Wharton R, White IM &amp; Zenz N (2002) Annotated check list of host plants for Afrotropical fruit flies (Diptera: Tephritidae) of the 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Documentatie Koninklijk Museum voor Midden Afrika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Wharton RA &amp; McPheron BA (2004) On the geographical origin of the medfly,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(Wiedemann). </w:t>
      </w:r>
      <w:r>
        <w:rPr>
          <w:rFonts w:ascii="Calibri" w:hAnsi="Calibri" w:eastAsia="Calibri" w:cs="Calibri"/>
          <w:i/>
          <w:iCs/>
          <w:color w:val="000000"/>
          <w:sz w:val="22"/>
          <w:szCs w:val="22"/>
        </w:rPr>
        <w:t xml:space="preserve">Proceedings 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(Stellenbosch, South Africa),</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Peterson AT &amp; Mansell MW (2008) Ecological niches and potential geographical distributions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Natal fruit fly (</w:t>
      </w:r>
      <w:r>
        <w:rPr>
          <w:rFonts w:ascii="Calibri" w:hAnsi="Calibri" w:eastAsia="Calibri" w:cs="Calibri"/>
          <w:i/>
          <w:iCs/>
          <w:color w:val="000000"/>
          <w:sz w:val="22"/>
          <w:szCs w:val="22"/>
        </w:rPr>
        <w:t xml:space="preserve">Ceratitis 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270-281.</w:t>
      </w:r>
    </w:p>
    <w:p>
      <w:pPr>
        <w:widowControl w:val="on"/>
        <w:pBdr/>
        <w:spacing w:before="220" w:after="220" w:line="240" w:lineRule="auto"/>
        <w:ind w:left="0" w:right="0"/>
        <w:jc w:val="left"/>
      </w:pPr>
      <w:r>
        <w:rPr>
          <w:rFonts w:ascii="Calibri" w:hAnsi="Calibri" w:eastAsia="Calibri" w:cs="Calibri"/>
          <w:color w:val="000000"/>
          <w:sz w:val="22"/>
          <w:szCs w:val="22"/>
        </w:rPr>
        <w:t xml:space="preserve">Diamantidis AD, Papadopoulos NT, Nakas CT, Wu S, Müller HG &amp; Carey JR (2009) Life history evolution in a globally invading tephritid: patterns of survival and reproduction in medflies from six world regions.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106-117.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&amp; Quilici S (2002) Survival and development of different life stages of three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spp. (Diptera: Tephritidae) reared at five constant temperatures.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651-676.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Gutiérrez Ruelas JM, Pantaleon R, Soto Litera C, Villasenor Cortés A, et al. (2017) The Moscamed regional programme: review of a success story of area-wide sterile insect technique application.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188-203.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(2011) ISPM 28. Annex 14. Irradiation treatment for Ceratitis capitata. Rome, IPPC, FAO. </w:t>
      </w:r>
      <w:hyperlink r:id="rId1561693ed589c2ab3" w:history="1">
        <w:r>
          <w:rPr>
            <w:rFonts w:ascii="Calibri" w:hAnsi="Calibri" w:eastAsia="Calibri" w:cs="Calibri"/>
            <w:color w:val="0000CC"/>
            <w:sz w:val="22"/>
            <w:szCs w:val="22"/>
            <w:u w:val="single"/>
          </w:rPr>
          <w:t xml:space="preserve">https://www.ippc.int/en/publications/625/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24. Cold treatment for Ceratitis capitata on Citrus sinensis. Rome, IPPC, FAO. </w:t>
      </w:r>
      <w:hyperlink r:id="rId6087693ed589c2ae9" w:history="1">
        <w:r>
          <w:rPr>
            <w:rFonts w:ascii="Calibri" w:hAnsi="Calibri" w:eastAsia="Calibri" w:cs="Calibri"/>
            <w:color w:val="0000CC"/>
            <w:sz w:val="22"/>
            <w:szCs w:val="22"/>
            <w:u w:val="single"/>
          </w:rPr>
          <w:t xml:space="preserve">https://www.ippc.int/en/publications/84350/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25.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7620693ed589c2b78" w:history="1">
        <w:r>
          <w:rPr>
            <w:rFonts w:ascii="Calibri" w:hAnsi="Calibri" w:eastAsia="Calibri" w:cs="Calibri"/>
            <w:color w:val="0000CC"/>
            <w:sz w:val="22"/>
            <w:szCs w:val="22"/>
            <w:u w:val="single"/>
          </w:rPr>
          <w:t xml:space="preserve">https://www.ippc.int/en/publications/84351/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(2017c) ISPM 28. Annex 26.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8629693ed589c2be8" w:history="1">
        <w:r>
          <w:rPr>
            <w:rFonts w:ascii="Calibri" w:hAnsi="Calibri" w:eastAsia="Calibri" w:cs="Calibri"/>
            <w:color w:val="0000CC"/>
            <w:sz w:val="22"/>
            <w:szCs w:val="22"/>
            <w:u w:val="single"/>
          </w:rPr>
          <w:t xml:space="preserve">https://www.ippc.int/en/publications/84352/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(2017d) ISPM 28. Annex 27.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Rome, IPPC, FAO. </w:t>
      </w:r>
      <w:hyperlink r:id="rId7857693ed589c2c56" w:history="1">
        <w:r>
          <w:rPr>
            <w:rFonts w:ascii="Calibri" w:hAnsi="Calibri" w:eastAsia="Calibri" w:cs="Calibri"/>
            <w:color w:val="0000CC"/>
            <w:sz w:val="22"/>
            <w:szCs w:val="22"/>
            <w:u w:val="single"/>
          </w:rPr>
          <w:t xml:space="preserve">https://www.ippc.int/en/publications/84353/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(2017e) ISPM 28. Annex 28.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Rome, IPPC, FAO. </w:t>
      </w:r>
      <w:hyperlink r:id="rId3621693ed589c2cc6" w:history="1">
        <w:r>
          <w:rPr>
            <w:rFonts w:ascii="Calibri" w:hAnsi="Calibri" w:eastAsia="Calibri" w:cs="Calibri"/>
            <w:color w:val="0000CC"/>
            <w:sz w:val="22"/>
            <w:szCs w:val="22"/>
            <w:u w:val="single"/>
          </w:rPr>
          <w:t xml:space="preserve">https://www.ippc.int/en/publications/84354/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(2017f) ISPM 28. Annex 29.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clementina</w:t>
      </w:r>
      <w:r>
        <w:rPr>
          <w:rFonts w:ascii="Calibri" w:hAnsi="Calibri" w:eastAsia="Calibri" w:cs="Calibri"/>
          <w:color w:val="000000"/>
          <w:sz w:val="22"/>
          <w:szCs w:val="22"/>
        </w:rPr>
        <w:t xml:space="preserve">. Rome, IPPC, FAO. </w:t>
      </w:r>
      <w:hyperlink r:id="rId1755693ed589c2d33" w:history="1">
        <w:r>
          <w:rPr>
            <w:rFonts w:ascii="Calibri" w:hAnsi="Calibri" w:eastAsia="Calibri" w:cs="Calibri"/>
            <w:color w:val="0000CC"/>
            <w:sz w:val="22"/>
            <w:szCs w:val="22"/>
            <w:u w:val="single"/>
          </w:rPr>
          <w:t xml:space="preserve">https://www.ippc.int/en/publications/84355/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(2017g) ISPM 28. Annex 30. Vapour heat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Rome, IPPC, FAO. </w:t>
      </w:r>
      <w:hyperlink r:id="rId5316693ed589c2da2" w:history="1">
        <w:r>
          <w:rPr>
            <w:rFonts w:ascii="Calibri" w:hAnsi="Calibri" w:eastAsia="Calibri" w:cs="Calibri"/>
            <w:color w:val="0000CC"/>
            <w:sz w:val="22"/>
            <w:szCs w:val="22"/>
            <w:u w:val="single"/>
          </w:rPr>
          <w:t xml:space="preserve">https://www.ippc.int/en/publications/84356/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Vreysen MJB, Enkerlin WR &amp; Cayol JP (2005) Strategic options in using sterile insects for area-wide integrated pest management.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563-600.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IAEA (1995) Economic evaluation of damage caused by, and methods of control of the Mediterranean fruit fly in the Maghreb. An analysis covering three control options including the sterile  insect technique. Vienna: International Atomic Energy Agency, 72pp.  </w:t>
      </w:r>
      <w:hyperlink r:id="rId3213693ed589c2e14" w:history="1">
        <w:r>
          <w:rPr>
            <w:rFonts w:ascii="Calibri" w:hAnsi="Calibri" w:eastAsia="Calibri" w:cs="Calibri"/>
            <w:color w:val="0000CC"/>
            <w:sz w:val="22"/>
            <w:szCs w:val="22"/>
            <w:u w:val="single"/>
          </w:rPr>
          <w:t xml:space="preserve">http://www-naweb.iaea.org/nafa/ipc/public/ipc-ecnomic-medfly-maghreb-TECDOC830.pdf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Hanlin MA &amp; Suiter KA (2020) Host plants of the Mediterranean fruit 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Version 4.0.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5617693ed589c2e93" w:history="1">
        <w:r>
          <w:rPr>
            <w:rFonts w:ascii="Calibri" w:hAnsi="Calibri" w:eastAsia="Calibri" w:cs="Calibri"/>
            <w:color w:val="0000CC"/>
            <w:sz w:val="22"/>
            <w:szCs w:val="22"/>
            <w:u w:val="single"/>
          </w:rPr>
          <w:t xml:space="preserve">https://coffhi.cphst.org/ </w:t>
        </w:r>
      </w:hyperlink>
      <w:r>
        <w:rPr>
          <w:rFonts w:ascii="Calibri" w:hAnsi="Calibri" w:eastAsia="Calibri" w:cs="Calibri"/>
          <w:color w:val="000000"/>
          <w:sz w:val="22"/>
          <w:szCs w:val="22"/>
        </w:rPr>
        <w:t xml:space="preserve">[accessed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&amp; Lux SA (2006) Contribution of natural food sources to reproductive behavior, fecundity and longevity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fasciventris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259-268.</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Smallridge CJ (2007) Short- and long-range dispersal of medfly,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(Dipt., Tephritidae), and its invasive potential.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Makundi R &amp; Maerere A (2009) Host range and distribution of fruit-infesting pestiferous fruit flies (Diptera, Tephritidae) in selected areas of Central Tanzania.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629-641. </w:t>
      </w:r>
    </w:p>
    <w:p>
      <w:pPr>
        <w:widowControl w:val="on"/>
        <w:pBdr/>
        <w:spacing w:before="220" w:after="220" w:line="240" w:lineRule="auto"/>
        <w:ind w:left="0" w:right="0"/>
        <w:jc w:val="left"/>
      </w:pPr>
      <w:r>
        <w:rPr>
          <w:rFonts w:ascii="Calibri" w:hAnsi="Calibri" w:eastAsia="Calibri" w:cs="Calibri"/>
          <w:color w:val="000000"/>
          <w:sz w:val="22"/>
          <w:szCs w:val="22"/>
        </w:rPr>
        <w:t xml:space="preserve">Nyamukondiwa C, Weldon CW, Chown SL, le Roux PC &amp; Terblanche JS (2013) Thermal biology, population fluctuations and implications of temperature extremes for the management of two globally significant insect pests.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1199-1211.</w:t>
      </w:r>
    </w:p>
    <w:p>
      <w:pPr>
        <w:widowControl w:val="on"/>
        <w:pBdr/>
        <w:spacing w:before="220" w:after="220" w:line="240" w:lineRule="auto"/>
        <w:ind w:left="0" w:right="0"/>
        <w:jc w:val="left"/>
      </w:pPr>
      <w:r>
        <w:rPr>
          <w:rFonts w:ascii="Calibri" w:hAnsi="Calibri" w:eastAsia="Calibri" w:cs="Calibri"/>
          <w:color w:val="000000"/>
          <w:sz w:val="22"/>
          <w:szCs w:val="22"/>
        </w:rPr>
        <w:t xml:space="preserve">Papadopoulos NT, Plant RE &amp; Carey JR (2013) From trickle to flood: the large-scale, cryptic invasión of California by tropical fruit flies.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280</w:t>
      </w:r>
      <w:r>
        <w:rPr>
          <w:rFonts w:ascii="Calibri" w:hAnsi="Calibri" w:eastAsia="Calibri" w:cs="Calibri"/>
          <w:color w:val="000000"/>
          <w:sz w:val="22"/>
          <w:szCs w:val="22"/>
        </w:rPr>
        <w:t xml:space="preserve">, 20131466</w:t>
      </w:r>
    </w:p>
    <w:p>
      <w:pPr>
        <w:widowControl w:val="on"/>
        <w:pBdr/>
        <w:spacing w:before="220" w:after="220" w:line="240" w:lineRule="auto"/>
        <w:ind w:left="0" w:right="0"/>
        <w:jc w:val="left"/>
      </w:pPr>
      <w:r>
        <w:rPr>
          <w:rFonts w:ascii="Calibri" w:hAnsi="Calibri" w:eastAsia="Calibri" w:cs="Calibri"/>
          <w:color w:val="000000"/>
          <w:sz w:val="22"/>
          <w:szCs w:val="22"/>
        </w:rPr>
        <w:t xml:space="preserve">Pinero JC, Enkerlin W &amp; Epsky ND (2014) Recent developments and applications of bait stations for integrated pest management of tephritid fruit flies.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457-492.Springer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Todd TN, Deleon R, Barr NB, Virgilio M, De Meyer M &amp; McPheron BA (2020) Worldwide phylogeography of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(Diptera: Tephritidae) using mitocondrial DNA.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7909693ed589c31da"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De Meyer M, Ouagoussounon I, Sinzogan A, Adandonon A, Korie S, Wargui R, Anato F, Houngbo H, Didier C, De Bon H &amp; Goergen G (2015) Seasonal abundance of mango fruit flies (Diptera: Tephritidae) and ecological implications for their management in mango and cashew orchards in Benin (Centre &amp; North).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2213-2230.</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Rodrigues R, Segura DF, Cladera JL &amp; Sutherst RW (2002) Potential geographical distribution of the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with emphasis on Argentina and Australia.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1009-1022.</w:t>
      </w:r>
    </w:p>
    <w:p>
      <w:pPr>
        <w:widowControl w:val="on"/>
        <w:pBdr/>
        <w:spacing w:before="220" w:after="220" w:line="240" w:lineRule="auto"/>
        <w:ind w:left="0" w:right="0"/>
        <w:jc w:val="left"/>
      </w:pPr>
      <w:r>
        <w:rPr>
          <w:rFonts w:ascii="Calibri" w:hAnsi="Calibri" w:eastAsia="Calibri" w:cs="Calibri"/>
          <w:color w:val="000000"/>
          <w:sz w:val="22"/>
          <w:szCs w:val="22"/>
        </w:rPr>
        <w:t xml:space="preserve">Weldon CW, Nyamukondiwa C, Karsten M, Chown SL &amp; Terblanche JS (2018) Geographic variation and plasticity in climate stress resistance among southern African populations of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(Diptera: Tephritidae).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9849.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2050693ed589c3506" w:history="1">
        <w:r>
          <w:rPr>
            <w:rFonts w:ascii="Calibri" w:hAnsi="Calibri" w:eastAsia="Calibri" w:cs="Calibri"/>
            <w:color w:val="0000CC"/>
            <w:sz w:val="22"/>
            <w:szCs w:val="22"/>
            <w:u w:val="single"/>
          </w:rPr>
          <w:t xml:space="preserve">http://www.cabi.org/isc/datasheet/12367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datasheets on pests recommended for regulation. Available online. </w:t>
      </w:r>
      <w:hyperlink r:id="rId4773693ed589c35b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105: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 </w:t>
      </w:r>
      <w:hyperlink r:id="rId7200693ed589c3726" w:history="1">
        <w:r>
          <w:rPr>
            <w:rFonts w:ascii="Calibri" w:hAnsi="Calibri" w:eastAsia="Calibri" w:cs="Calibri"/>
            <w:color w:val="0000CC"/>
            <w:sz w:val="22"/>
            <w:szCs w:val="22"/>
            <w:u w:val="single"/>
          </w:rPr>
          <w:t xml:space="preserve">https://doi.org/10.1111/j.1365-2338.1981.tb01739.x</w:t>
        </w:r>
      </w:hyperlink>
      <w:r>
        <w:rPr>
          <w:rFonts w:ascii="Calibri" w:hAnsi="Calibri" w:eastAsia="Calibri" w:cs="Calibri"/>
          <w:color w:val="000000"/>
          <w:sz w:val="22"/>
          <w:szCs w:val="22"/>
        </w:rPr>
        <w:t xml:space="preserve"> </w:t>
      </w:r>
    </w:p>
    <w:p>
      <w:r>
        <w:drawing>
          <wp:inline distT="0" distB="0" distL="0" distR="0">
            <wp:extent cx="1800000" cy="604800"/>
            <wp:docPr id="82375654" name="name4944693ed589c378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61693ed589c378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790822">
    <w:multiLevelType w:val="hybridMultilevel"/>
    <w:lvl w:ilvl="0" w:tplc="21611779">
      <w:start w:val="1"/>
      <w:numFmt w:val="decimal"/>
      <w:lvlText w:val="%1."/>
      <w:lvlJc w:val="left"/>
      <w:pPr>
        <w:ind w:left="720" w:hanging="360"/>
      </w:pPr>
    </w:lvl>
    <w:lvl w:ilvl="1" w:tplc="21611779" w:tentative="1">
      <w:start w:val="1"/>
      <w:numFmt w:val="lowerLetter"/>
      <w:lvlText w:val="%2."/>
      <w:lvlJc w:val="left"/>
      <w:pPr>
        <w:ind w:left="1440" w:hanging="360"/>
      </w:pPr>
    </w:lvl>
    <w:lvl w:ilvl="2" w:tplc="21611779" w:tentative="1">
      <w:start w:val="1"/>
      <w:numFmt w:val="lowerRoman"/>
      <w:lvlText w:val="%3."/>
      <w:lvlJc w:val="right"/>
      <w:pPr>
        <w:ind w:left="2160" w:hanging="180"/>
      </w:pPr>
    </w:lvl>
    <w:lvl w:ilvl="3" w:tplc="21611779" w:tentative="1">
      <w:start w:val="1"/>
      <w:numFmt w:val="decimal"/>
      <w:lvlText w:val="%4."/>
      <w:lvlJc w:val="left"/>
      <w:pPr>
        <w:ind w:left="2880" w:hanging="360"/>
      </w:pPr>
    </w:lvl>
    <w:lvl w:ilvl="4" w:tplc="21611779" w:tentative="1">
      <w:start w:val="1"/>
      <w:numFmt w:val="lowerLetter"/>
      <w:lvlText w:val="%5."/>
      <w:lvlJc w:val="left"/>
      <w:pPr>
        <w:ind w:left="3600" w:hanging="360"/>
      </w:pPr>
    </w:lvl>
    <w:lvl w:ilvl="5" w:tplc="21611779" w:tentative="1">
      <w:start w:val="1"/>
      <w:numFmt w:val="lowerRoman"/>
      <w:lvlText w:val="%6."/>
      <w:lvlJc w:val="right"/>
      <w:pPr>
        <w:ind w:left="4320" w:hanging="180"/>
      </w:pPr>
    </w:lvl>
    <w:lvl w:ilvl="6" w:tplc="21611779" w:tentative="1">
      <w:start w:val="1"/>
      <w:numFmt w:val="decimal"/>
      <w:lvlText w:val="%7."/>
      <w:lvlJc w:val="left"/>
      <w:pPr>
        <w:ind w:left="5040" w:hanging="360"/>
      </w:pPr>
    </w:lvl>
    <w:lvl w:ilvl="7" w:tplc="21611779" w:tentative="1">
      <w:start w:val="1"/>
      <w:numFmt w:val="lowerLetter"/>
      <w:lvlText w:val="%8."/>
      <w:lvlJc w:val="left"/>
      <w:pPr>
        <w:ind w:left="5760" w:hanging="360"/>
      </w:pPr>
    </w:lvl>
    <w:lvl w:ilvl="8" w:tplc="21611779" w:tentative="1">
      <w:start w:val="1"/>
      <w:numFmt w:val="lowerRoman"/>
      <w:lvlText w:val="%9."/>
      <w:lvlJc w:val="right"/>
      <w:pPr>
        <w:ind w:left="6480" w:hanging="180"/>
      </w:pPr>
    </w:lvl>
  </w:abstractNum>
  <w:abstractNum w:abstractNumId="24790821">
    <w:multiLevelType w:val="hybridMultilevel"/>
    <w:lvl w:ilvl="0" w:tplc="533841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790821">
    <w:abstractNumId w:val="24790821"/>
  </w:num>
  <w:num w:numId="24790822">
    <w:abstractNumId w:val="247908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5673551" Type="http://schemas.microsoft.com/office/2011/relationships/commentsExtended" Target="commentsExtended.xml"/><Relationship Id="rId857628417" Type="http://schemas.microsoft.com/office/2011/relationships/people" Target="people.xml"/><Relationship Id="rId6058693ed589bcfb1" Type="http://schemas.openxmlformats.org/officeDocument/2006/relationships/hyperlink" Target="https://gd.eppo.int/taxon/CERTCA/" TargetMode="External"/><Relationship Id="rId3345693ed589bcff5" Type="http://schemas.openxmlformats.org/officeDocument/2006/relationships/hyperlink" Target="https://gd.eppo.int/taxon/CERTCA/categorization" TargetMode="External"/><Relationship Id="rId6056693ed589bda27" Type="http://schemas.openxmlformats.org/officeDocument/2006/relationships/hyperlink" Target="https://gd.eppo.int/taxon/CERTCA/photos" TargetMode="External"/><Relationship Id="rId6450693ed589c1f16" Type="http://schemas.openxmlformats.org/officeDocument/2006/relationships/hyperlink" Target="http://www.boldsystems.org/index.php/Taxbrowser_Taxonpage?taxon=Ceratitis+capitata&amp;searchTax=" TargetMode="External"/><Relationship Id="rId2913693ed589c1f63" Type="http://schemas.openxmlformats.org/officeDocument/2006/relationships/hyperlink" Target="http://www.boldsystems.org/index.php/Taxbrowser_Taxonpage?taxon=Ceratitis+capitata&amp;searchTax" TargetMode="External"/><Relationship Id="rId8067693ed589c1f75" Type="http://schemas.openxmlformats.org/officeDocument/2006/relationships/hyperlink" Target="https://qbank.eppo.int/arthropods/taxon/CERTCA/" TargetMode="External"/><Relationship Id="rId2260693ed589c1f9a" Type="http://schemas.openxmlformats.org/officeDocument/2006/relationships/hyperlink" Target="https://qbank.eppo.int/arthropods/taxon/CERTCA/" TargetMode="External"/><Relationship Id="rId8167693ed589c268b" Type="http://schemas.openxmlformats.org/officeDocument/2006/relationships/hyperlink" Target="https://www.delta-intkey.com/ffl/www/bac_zona.htm" TargetMode="External"/><Relationship Id="rId1561693ed589c2ab3" Type="http://schemas.openxmlformats.org/officeDocument/2006/relationships/hyperlink" Target="https://www.ippc.int/en/publications/625/" TargetMode="External"/><Relationship Id="rId6087693ed589c2ae9" Type="http://schemas.openxmlformats.org/officeDocument/2006/relationships/hyperlink" Target="https://www.ippc.int/en/publications/84350/" TargetMode="External"/><Relationship Id="rId7620693ed589c2b78" Type="http://schemas.openxmlformats.org/officeDocument/2006/relationships/hyperlink" Target="https://www.ippc.int/en/publications/84351/" TargetMode="External"/><Relationship Id="rId8629693ed589c2be8" Type="http://schemas.openxmlformats.org/officeDocument/2006/relationships/hyperlink" Target="https://www.ippc.int/en/publications/84352/" TargetMode="External"/><Relationship Id="rId7857693ed589c2c56" Type="http://schemas.openxmlformats.org/officeDocument/2006/relationships/hyperlink" Target="https://www.ippc.int/en/publications/84353/" TargetMode="External"/><Relationship Id="rId3621693ed589c2cc6" Type="http://schemas.openxmlformats.org/officeDocument/2006/relationships/hyperlink" Target="https://www.ippc.int/en/publications/84354/" TargetMode="External"/><Relationship Id="rId1755693ed589c2d33" Type="http://schemas.openxmlformats.org/officeDocument/2006/relationships/hyperlink" Target="https://www.ippc.int/en/publications/84355/" TargetMode="External"/><Relationship Id="rId5316693ed589c2da2" Type="http://schemas.openxmlformats.org/officeDocument/2006/relationships/hyperlink" Target="https://www.ippc.int/en/publications/84356/" TargetMode="External"/><Relationship Id="rId3213693ed589c2e14" Type="http://schemas.openxmlformats.org/officeDocument/2006/relationships/hyperlink" Target="http://www-naweb.iaea.org/nafa/ipc/public/ipc-ecnomic-medfly-maghreb-TECDOC830.pdf" TargetMode="External"/><Relationship Id="rId5617693ed589c2e93" Type="http://schemas.openxmlformats.org/officeDocument/2006/relationships/hyperlink" Target="https://coffhi.cphst.org/" TargetMode="External"/><Relationship Id="rId7909693ed589c31da" Type="http://schemas.openxmlformats.org/officeDocument/2006/relationships/hyperlink" Target="https://www.aphis.usda.gov/import_export/plants/manuals/ports/downloads/treatment.pdf" TargetMode="External"/><Relationship Id="rId2050693ed589c3506" Type="http://schemas.openxmlformats.org/officeDocument/2006/relationships/hyperlink" Target="http://www.cabi.org/isc/datasheet/12367" TargetMode="External"/><Relationship Id="rId4773693ed589c35bd" Type="http://schemas.openxmlformats.org/officeDocument/2006/relationships/hyperlink" Target="https://gd.eppo.int" TargetMode="External"/><Relationship Id="rId7200693ed589c3726" Type="http://schemas.openxmlformats.org/officeDocument/2006/relationships/hyperlink" Target="https://doi.org/10.1111/j.1365-2338.1981.tb01739.x" TargetMode="External"/><Relationship Id="rId8056693ed589bd911" Type="http://schemas.openxmlformats.org/officeDocument/2006/relationships/image" Target="media/imgrId8056693ed589bd911.jpg"/><Relationship Id="rId8562693ed589c1784" Type="http://schemas.openxmlformats.org/officeDocument/2006/relationships/image" Target="media/imgrId8562693ed589c1784.jpg"/><Relationship Id="rId3461693ed589c378e" Type="http://schemas.openxmlformats.org/officeDocument/2006/relationships/image" Target="media/imgrId3461693ed589c378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