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Ceratocystis ficicola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2026-04-20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Ceratocystis ficicola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Kajitani &amp; Masuya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Microascales: Ceratocystidaceae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Ceratocystis fimbriata f. sp. caricae</w:t>
            </w:r>
            <w:r>
              <w:rPr>
                <w:rFonts w:ascii="Calibri" w:hAnsi="Calibri" w:eastAsia="Calibri" w:cs="Calibri"/>
                <w:color w:val="000000"/>
                <w:position w:val="-3"/>
                <w:sz w:val="22"/>
                <w:szCs w:val="22"/>
              </w:rPr>
              <w:t xml:space="preserve"> Kajitani &amp; Kudo</w:t>
            </w:r>
            <w:hyperlink r:id="rId24746aabb69216deb"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63386aabb69216e31"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CERAFC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6949718" name="name76576aabb692195f1" descr="16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852.jpg"/>
                          <pic:cNvPicPr/>
                        </pic:nvPicPr>
                        <pic:blipFill>
                          <a:blip r:embed="rId43306aabb692195ed" cstate="print"/>
                          <a:stretch>
                            <a:fillRect/>
                          </a:stretch>
                        </pic:blipFill>
                        <pic:spPr>
                          <a:xfrm>
                            <a:off x="0" y="0"/>
                            <a:ext cx="2160000" cy="1281600"/>
                          </a:xfrm>
                          <a:prstGeom prst="rect">
                            <a:avLst/>
                          </a:prstGeom>
                          <a:ln w="0">
                            <a:noFill/>
                          </a:ln>
                        </pic:spPr>
                      </pic:pic>
                    </a:graphicData>
                  </a:graphic>
                </wp:inline>
              </w:drawing>
            </w:r>
            <w:hyperlink r:id="rId55626aabb6921972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Ceratocystis canker was first reported on fig trees in Aichi Prefecture, Japan, in the 1970s and 1980s (Kato et al., 1981, 1982; Kato &amp; Miyagawa, 1980). At that time, the disease was considered to be caused by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sensu lato, based on morphological observations.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has been reported on </w:t>
      </w:r>
      <w:r>
        <w:rPr>
          <w:rFonts w:ascii="Calibri" w:hAnsi="Calibri" w:eastAsia="Calibri" w:cs="Calibri"/>
          <w:i/>
          <w:iCs/>
          <w:color w:val="000000"/>
          <w:sz w:val="22"/>
          <w:szCs w:val="22"/>
        </w:rPr>
        <w:t xml:space="preserve">Ficus</w:t>
      </w:r>
      <w:r>
        <w:rPr>
          <w:rFonts w:ascii="Calibri" w:hAnsi="Calibri" w:eastAsia="Calibri" w:cs="Calibri"/>
          <w:color w:val="000000"/>
          <w:sz w:val="22"/>
          <w:szCs w:val="22"/>
        </w:rPr>
        <w:t xml:space="preserve"> species in other countries (e.g. Brazil), where a high mortality of </w:t>
      </w:r>
      <w:r>
        <w:rPr>
          <w:rFonts w:ascii="Calibri" w:hAnsi="Calibri" w:eastAsia="Calibri" w:cs="Calibri"/>
          <w:i/>
          <w:iCs/>
          <w:color w:val="000000"/>
          <w:sz w:val="22"/>
          <w:szCs w:val="22"/>
        </w:rPr>
        <w:t xml:space="preserve">F. carica</w:t>
      </w:r>
      <w:r>
        <w:rPr>
          <w:rFonts w:ascii="Calibri" w:hAnsi="Calibri" w:eastAsia="Calibri" w:cs="Calibri"/>
          <w:color w:val="000000"/>
          <w:sz w:val="22"/>
          <w:szCs w:val="22"/>
        </w:rPr>
        <w:t xml:space="preserve"> was attributed to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(Harrington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Kajitani &amp; Masuya, 2011). However, Kato et al. (1981, 1982) noted that the perithecia of the causal fungus were larger than those of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Kajitani and Kudo (1993) confirmed morphological and physiological differences between the fungus on fig trees in Japan and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and proposed a new forma specialis, that is,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caricae</w:t>
      </w:r>
      <w:r>
        <w:rPr>
          <w:rFonts w:ascii="Calibri" w:hAnsi="Calibri" w:eastAsia="Calibri" w:cs="Calibri"/>
          <w:color w:val="000000"/>
          <w:sz w:val="22"/>
          <w:szCs w:val="22"/>
        </w:rPr>
        <w:t xml:space="preserve"> Kajitani et Kudo. However, Kajitani and Kanematsu (1997) considered the fungus to be a species distinct from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Kajitani and Masuya (2011) described the causal fungus of Ceratocystis canker of fig in Japan as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sp. nov. based on morphological characteristics and DNA data. Further studies of DNA data have shown that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resides in the Asian-Australian clade of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while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is in the Latin American clade (Liu et al., 2017).</w:t>
      </w:r>
    </w:p>
    <w:p>
      <w:pPr>
        <w:widowControl w:val="on"/>
        <w:pBdr/>
        <w:spacing w:before="220" w:after="220" w:line="240" w:lineRule="auto"/>
        <w:ind w:left="0" w:right="0"/>
        <w:jc w:val="both"/>
      </w:pPr>
      <w:r>
        <w:rPr>
          <w:rFonts w:ascii="Calibri" w:hAnsi="Calibri" w:eastAsia="Calibri" w:cs="Calibri"/>
          <w:color w:val="000000"/>
          <w:sz w:val="22"/>
          <w:szCs w:val="22"/>
        </w:rPr>
        <w:t xml:space="preserve">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noted that although the disease is commonly referred to as Ceratocystis canker, both cankers and wilt occur (cankers precede and trigger wilt) and the disease is best described as canker-wilt.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has a narrow host range with only one species </w:t>
      </w:r>
      <w:r>
        <w:rPr>
          <w:rFonts w:ascii="Calibri" w:hAnsi="Calibri" w:eastAsia="Calibri" w:cs="Calibri"/>
          <w:i/>
          <w:iCs/>
          <w:color w:val="000000"/>
          <w:sz w:val="22"/>
          <w:szCs w:val="22"/>
        </w:rPr>
        <w:t xml:space="preserve">F. carica</w:t>
      </w:r>
      <w:r>
        <w:rPr>
          <w:rFonts w:ascii="Calibri" w:hAnsi="Calibri" w:eastAsia="Calibri" w:cs="Calibri"/>
          <w:color w:val="000000"/>
          <w:sz w:val="22"/>
          <w:szCs w:val="22"/>
        </w:rPr>
        <w:t xml:space="preserve"> (fig) known to be attacked under field conditions (Kajitani &amp; Masuya, 2011;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susceptibility of fig cultivars varies and information about susceptibility of fig cultivars and varieties to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is limited and sometimes contradictory.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proved susceptible in inoculation experiments conducted in Greece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was first described from Japan in 1981. It has since been reported in 33 of the 47 prefectures of Japan (Kajitani &amp; Masuya, 2011; Kajitani, 2017; Y. Kajitani, 2023, pers. comm.). In the EPPO region,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has been reported from Greece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Italy (including Sicily) (Crous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Habib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r>
        <w:drawing>
          <wp:inline distT="0" distB="0" distL="0" distR="0">
            <wp:extent cx="6120000" cy="3067200"/>
            <wp:docPr id="1468831" name="name28226aabb6921aa15" descr="CERAF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FC_distribution_map.jpg"/>
                    <pic:cNvPicPr/>
                  </pic:nvPicPr>
                  <pic:blipFill>
                    <a:blip r:embed="rId47896aabb6921aa1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Greece (mainland), Italy (mainland, Sicilia)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(Honshu, Kyushu, Shikoku)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has not been fully described. However, the overall life cycle of different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species is similar (Cabrera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general,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species have teleomorph (sexual) and anamorph (asexual) stages of reproduction (Nasution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Ascospores are formed in the ascus and are released on the top of the neck of the perithecium. Unlike conidia, ascospores are held together in a sticky, hydrophobic matrix, not readily separated by water, but they can adhere to the hydrophobic exoskeleton of insects. Asexual reproduction results in the production of conidia that are formed from conidiophores developing from the mycelium and can extend in a filament chain.</w:t>
      </w:r>
    </w:p>
    <w:p>
      <w:pPr>
        <w:widowControl w:val="on"/>
        <w:pBdr/>
        <w:spacing w:before="220" w:after="220" w:line="240" w:lineRule="auto"/>
        <w:ind w:left="0" w:right="0"/>
        <w:jc w:val="both"/>
      </w:pPr>
      <w:r>
        <w:rPr>
          <w:rFonts w:ascii="Calibri" w:hAnsi="Calibri" w:eastAsia="Calibri" w:cs="Calibri"/>
          <w:color w:val="000000"/>
          <w:sz w:val="22"/>
          <w:szCs w:val="22"/>
        </w:rPr>
        <w:t xml:space="preserve">Both ascospores and conidia can be spread by insects and can potentially be dispersed locally by rain and water (EPPO, 2023; Harrington, 2013; Kile, 1993; Luchi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Perithecia and ascospores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are formed on freshly cut wood surfaces. Endoconidia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have also been observed inside the infected wood (Kajii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According to Harrington (2013), all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species that affect woody plants can start infections through wounds and spread into the sapwood tissues. This is also true for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inoculation studies have shown that aboveground parts of trees can be infected through wounds (Kajii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Sumida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produces aleurioconidia (long lived spores) in infected wood. Harrington (2013) noted that aleurioconidia that are produced in wood can probably survive digestion by woodboring insects and can be found in frass and sawdust. Species that form aleurioconidia can also be soil-borne pathogens that can directly infect roots.</w:t>
      </w:r>
    </w:p>
    <w:p>
      <w:pPr>
        <w:widowControl w:val="on"/>
        <w:pBdr/>
        <w:spacing w:before="220" w:after="220" w:line="240" w:lineRule="auto"/>
        <w:ind w:left="0" w:right="0"/>
        <w:jc w:val="both"/>
      </w:pPr>
      <w:r>
        <w:rPr>
          <w:rFonts w:ascii="Calibri" w:hAnsi="Calibri" w:eastAsia="Calibri" w:cs="Calibri"/>
          <w:color w:val="000000"/>
          <w:sz w:val="22"/>
          <w:szCs w:val="22"/>
        </w:rPr>
        <w:t xml:space="preserve">In Greece,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has been consistently isolated from soils associated with dying fig trees. Kajii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noted that the pathogen invades the roots and the main stems of host plants, causing xylem dysfunction and wilt symptoms on infected fig trees.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not known how long aleurioconidia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survive in the soil, but based on evidence of survival for similar species, the EPPO PRA considered this could be for more than 4 months (EPPO, 2025).</w:t>
      </w:r>
    </w:p>
    <w:p>
      <w:pPr>
        <w:widowControl w:val="on"/>
        <w:pBdr/>
        <w:spacing w:before="220" w:after="220" w:line="240" w:lineRule="auto"/>
        <w:ind w:left="0" w:right="0"/>
        <w:jc w:val="both"/>
      </w:pPr>
      <w:r>
        <w:rPr>
          <w:rFonts w:ascii="Calibri" w:hAnsi="Calibri" w:eastAsia="Calibri" w:cs="Calibri"/>
          <w:color w:val="000000"/>
          <w:sz w:val="22"/>
          <w:szCs w:val="22"/>
        </w:rPr>
        <w:t xml:space="preserve">Spores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are not considered airborne; however, insect frass contaminated with spores may be moved by wind, rain splash or running water over short distances. New infections may arise if the frass comes into contact with fresh wounds on the trees and can also contaminate the soil in fig orchards (Harrington, 2013;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Local spread by the ambrosia beetle, </w:t>
      </w:r>
      <w:r>
        <w:rPr>
          <w:rFonts w:ascii="Calibri" w:hAnsi="Calibri" w:eastAsia="Calibri" w:cs="Calibri"/>
          <w:i/>
          <w:iCs/>
          <w:color w:val="000000"/>
          <w:sz w:val="22"/>
          <w:szCs w:val="22"/>
        </w:rPr>
        <w:t xml:space="preserve">Euwallacea interjectus</w:t>
      </w:r>
      <w:r>
        <w:rPr>
          <w:rFonts w:ascii="Calibri" w:hAnsi="Calibri" w:eastAsia="Calibri" w:cs="Calibri"/>
          <w:color w:val="000000"/>
          <w:sz w:val="22"/>
          <w:szCs w:val="22"/>
        </w:rPr>
        <w:t xml:space="preserve"> (Coleoptera: Curculionidae), has been observed and documented for Japan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Dispersal due to human activity, such as via machinery and equipment that have been previously used in infested areas, is mentioned in the literature (e.g.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are similar to those of many other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species (Nasution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External symptoms on trunk and shoots include lengthwise canker lesions (Miwa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lesions near buds (Miwa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reduced/stunted shoot growth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On mature trees, extensive bark cankers form at the bases of the trunks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on the lower part of the trunk and in some cases on lateral branches (Habib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Symptoms on the foliage include thinning and yellowing (chlorosis) of the foliage (discoloration; wilt; defoliation), either on some of the branches or over the entire crown (Habib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some trees, most of the leaves drop by the end of summer, while some of the unripe fruits remain on the trees indicating rapid tree death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Infected trees have necrotic roots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Internal symptoms include necrotic dark brown sapwood (xylem discoloration) visible after removal of the bark in the lower part of the trunks, and these lesions extend upwards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Necrotic sapwood can be present with no external symptoms (cankers, wilt).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affected trees eventually die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In some cases, symptoms are not expressed until 3 years after planting (and infection) and the number of dead trees increases 3–5 years after planting. Time between leaf wilt and tree death was approximately 1 month; tree mortality rate was 90% after 10 years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0" w:after="0" w:line="240" w:lineRule="auto"/>
        <w:ind w:left="0" w:right="0"/>
        <w:jc w:val="left"/>
      </w:pPr>
      <w:r>
        <w:rPr>
          <w:rFonts w:ascii="Calibri" w:hAnsi="Calibri" w:eastAsia="Calibri" w:cs="Calibri"/>
          <w:color w:val="000000"/>
          <w:sz w:val="22"/>
          <w:szCs w:val="22"/>
        </w:rPr>
        <w:t xml:space="preserve">
A detailed morphological description of the pest is provided by Kajitani and Masuya (2011),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Crous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w:t>
      </w:r>
    </w:p>
    <w:p>
      <w:pPr>
        <w:widowControl w:val="on"/>
        <w:pBdr/>
        <w:spacing w:before="220" w:after="220" w:line="240" w:lineRule="auto"/>
        <w:ind w:left="0" w:right="0"/>
        <w:jc w:val="both"/>
      </w:pPr>
      <w:r>
        <w:rPr>
          <w:rFonts w:ascii="Calibri" w:hAnsi="Calibri" w:eastAsia="Calibri" w:cs="Calibri"/>
          <w:color w:val="000000"/>
          <w:sz w:val="22"/>
          <w:szCs w:val="22"/>
        </w:rPr>
        <w:t xml:space="preserve">The anamorphic characteristics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are almost the same as those of other species in the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s. l. complex, but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does not have apparent doliiform conidia, which are seen on many other species of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s. l., except for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s. str. This characteristic, together with the size of perithecia, helps with the morphological identification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noted that morphological characteristics of the Greek isolates were identical to those of the Japanese isolate, except for the dimensions of the endoconidia. The Japanese isolate had endoconidia of 5–9.5 × 4.5–8 μm, whereas those in the Greek study were 12–40 × 4–7 μm.</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examination is not an appropriate method for the detection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as some infected trees can be asymptomatic. Samples should be sent to the laboratory for testing (e.g. molecular identification). For accurate diagnosis, isolation and identification of the causal agent is necessary. However, no recognized international standards are available for detection and identification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a baiting method has been developed to detect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in soil (Kajitani, 1995;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 baiting method for the detection of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(EPPO, 2014) was used by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to detect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in soil and turned out to be very reliable and faster than the one described by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A TaqMan real-time PCR test based on the ITS region can be used for identification of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species at the generic level. Specific conventional and real-time PCR tests for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are under development in UniBa, Italy (EPPO, 2025). In the meantime, the use of multiple barcode regions can provide sufficiently reliable specific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Sequences of ITS, TEF1, TUB2, RPB2 genes of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including that of the type material, are present in NCBI (National Center for Biotechnology Information, 2023). ITS sequences are available in BOLD (Barcode of Life Data,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has not been intercepted on any pathway in international trade. A number of possible pathways have been suggested in the literature, including plants for planting and conveyance vehicles and equipment. The EPPO PRA identified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plants for planting as the main pathway for entry into the EPPO region. Plants for planting in pots with growing media, bonsai plants and bare rooted plants have the highest risk. Conveyance vehicles and equipment that have been operated in a fig production area may present a pathway for entry.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has caused serious losses in several fig plantation areas (Kajitani &amp; Masuya, 2011). Some farms abandoned their orchards because of the extensive damage caused by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(Shimizu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showed that, in combination with </w:t>
      </w:r>
      <w:r>
        <w:rPr>
          <w:rFonts w:ascii="Calibri" w:hAnsi="Calibri" w:eastAsia="Calibri" w:cs="Calibri"/>
          <w:i/>
          <w:iCs/>
          <w:color w:val="000000"/>
          <w:sz w:val="22"/>
          <w:szCs w:val="22"/>
        </w:rPr>
        <w:t xml:space="preserve">E. interjectus</w:t>
      </w:r>
      <w:r>
        <w:rPr>
          <w:rFonts w:ascii="Calibri" w:hAnsi="Calibri" w:eastAsia="Calibri" w:cs="Calibri"/>
          <w:color w:val="000000"/>
          <w:sz w:val="22"/>
          <w:szCs w:val="22"/>
        </w:rPr>
        <w:t xml:space="preserve"> infestation,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can infest 88% of fig trees in an orchard and induce 45% mortality. In Hiroshima Prefecture, the rate of damage in fig orchards is estimated to be 15% (EPPO, 2025). The total loss due to the presence of the pest is estimated to be 12.4 million EUR per year for the worst-case scenario in the whole of Japan (EPPO, 2025).</w:t>
      </w:r>
    </w:p>
    <w:p>
      <w:pPr>
        <w:widowControl w:val="on"/>
        <w:pBdr/>
        <w:spacing w:before="220" w:after="220" w:line="240" w:lineRule="auto"/>
        <w:ind w:left="0" w:right="0"/>
        <w:jc w:val="both"/>
      </w:pPr>
      <w:r>
        <w:rPr>
          <w:rFonts w:ascii="Calibri" w:hAnsi="Calibri" w:eastAsia="Calibri" w:cs="Calibri"/>
          <w:color w:val="000000"/>
          <w:sz w:val="22"/>
          <w:szCs w:val="22"/>
        </w:rPr>
        <w:t xml:space="preserve">In Greece, infected trees have been reported to die. In a newly planted 6 ha orchard on Euboea Island on land that had not previously been used for fig tree cultivation, approx. 40–50% of the trees were dead or dying with evident disease symptoms 3 years after planting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in the Salento area (Apulia) in severe cases, tree mortality was documented. Affected plants showed symptoms of leaf wilt and extensive defoliation. In two orchards located in Salice Salentino and Squinzano, disease incidence exceeded 80% (Habib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fig cultivars in commercial production are susceptible to the pest. Economic losses can be expected in areas where the pest can establish outdoors. If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becomes established and spreads in the EPPO region, this may promote decline in fig production. Impact will be more severe in the Mediterranean countries where fig trees are commercially cultivated. The negative impact can potentially also include increased costs for control practices (EPPO, 2025).</w:t>
      </w:r>
    </w:p>
    <w:p>
      <w:pPr>
        <w:widowControl w:val="on"/>
        <w:pBdr/>
        <w:spacing w:before="220" w:after="220" w:line="240" w:lineRule="auto"/>
        <w:ind w:left="0" w:right="0"/>
        <w:jc w:val="both"/>
      </w:pPr>
      <w:r>
        <w:rPr>
          <w:rFonts w:ascii="Calibri" w:hAnsi="Calibri" w:eastAsia="Calibri" w:cs="Calibri"/>
          <w:color w:val="000000"/>
          <w:sz w:val="22"/>
          <w:szCs w:val="22"/>
        </w:rPr>
        <w:t xml:space="preserve">If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becomes widely established in Mediterranean countries, there may be economic consequences for producers of </w:t>
      </w:r>
      <w:r>
        <w:rPr>
          <w:rFonts w:ascii="Calibri" w:hAnsi="Calibri" w:eastAsia="Calibri" w:cs="Calibri"/>
          <w:i/>
          <w:iCs/>
          <w:color w:val="000000"/>
          <w:sz w:val="22"/>
          <w:szCs w:val="22"/>
        </w:rPr>
        <w:t xml:space="preserve">F. carica</w:t>
      </w:r>
      <w:r>
        <w:rPr>
          <w:rFonts w:ascii="Calibri" w:hAnsi="Calibri" w:eastAsia="Calibri" w:cs="Calibri"/>
          <w:color w:val="000000"/>
          <w:sz w:val="22"/>
          <w:szCs w:val="22"/>
        </w:rPr>
        <w:t xml:space="preserve"> plants for planting. Plants may need to be grown under strict protected conditions which can be costly. In addition, research and development of resistant cultivars may increase the cost of fig plants. The absence of available control methods will influence potential impact as there are currently no effective fungicides approved for use in the region to control </w:t>
      </w:r>
      <w:r>
        <w:rPr>
          <w:rFonts w:ascii="Calibri" w:hAnsi="Calibri" w:eastAsia="Calibri" w:cs="Calibri"/>
          <w:i/>
          <w:iCs/>
          <w:color w:val="000000"/>
          <w:sz w:val="22"/>
          <w:szCs w:val="22"/>
        </w:rPr>
        <w:t xml:space="preserve">C. ficicola</w:t>
      </w:r>
      <w:r>
        <w:rPr>
          <w:rFonts w:ascii="Calibri" w:hAnsi="Calibri" w:eastAsia="Calibri" w:cs="Calibri"/>
          <w:color w:val="000000"/>
          <w:sz w:val="22"/>
          <w:szCs w:val="22"/>
        </w:rPr>
        <w:t xml:space="preserve">, and no resistant varieties of fig. Using rootstocks would increase costs for fruit production.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Chemical 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Several chemical fungicides have previously been proposed in Japan to eradicate the disease with a soil application (drenching the soil around the plants) (Hirota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Shimizu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Togawa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see more details in EPPO, 2025). The suggested protocols assumed two applications of fungicides per year (spring and autumn) or even monthly applications (from March to November), with possible seasonal alternation of different active substances (Hirota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The effectiveness of some methods was enhanced by mulching the soil with polyethylene film and adjustment of the soil pH to 8.0 (Hirota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w:t>
      </w:r>
    </w:p>
    <w:p>
      <w:pPr>
        <w:widowControl w:val="on"/>
        <w:pBdr/>
        <w:spacing w:before="220" w:after="220" w:line="240" w:lineRule="auto"/>
        <w:ind w:left="0" w:right="0"/>
        <w:jc w:val="left"/>
      </w:pPr>
      <w:r>
        <w:rPr>
          <w:rFonts w:ascii="Calibri" w:hAnsi="Calibri" w:eastAsia="Calibri" w:cs="Calibri"/>
          <w:color w:val="000000"/>
          <w:sz w:val="22"/>
          <w:szCs w:val="22"/>
        </w:rPr>
        <w:t xml:space="preserve">The potential use of fungicides in the EPPO region is limited, as most of the fungicides mentioned in literature are not approved in the EU.</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Use of resistant rootstock</w:t>
      </w:r>
    </w:p>
    <w:p>
      <w:pPr>
        <w:widowControl w:val="on"/>
        <w:pBdr/>
        <w:spacing w:before="220" w:after="220" w:line="240" w:lineRule="auto"/>
        <w:ind w:left="0" w:right="0"/>
        <w:jc w:val="left"/>
      </w:pPr>
      <w:r>
        <w:rPr>
          <w:rFonts w:ascii="Calibri" w:hAnsi="Calibri" w:eastAsia="Calibri" w:cs="Calibri"/>
          <w:color w:val="000000"/>
          <w:sz w:val="22"/>
          <w:szCs w:val="22"/>
        </w:rPr>
        <w:t xml:space="preserve">In Japan, the only control/containment solution currently used is the use of highly resistant rootstock, for example, BC1 hybrids ‘Reikodai 1 go’ (Morita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Kamimori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This highly resistant rootstock (although not immune) has been on the market in Japan since 2022 (S. Jikumaru, 2024, pers. comm.). The EPPO PRA considered that there are no truly resistant cultivars or interspecific hybrids of </w:t>
      </w:r>
      <w:r>
        <w:rPr>
          <w:rFonts w:ascii="Calibri" w:hAnsi="Calibri" w:eastAsia="Calibri" w:cs="Calibri"/>
          <w:i/>
          <w:iCs/>
          <w:color w:val="000000"/>
          <w:sz w:val="22"/>
          <w:szCs w:val="22"/>
        </w:rPr>
        <w:t xml:space="preserve">F. carica</w:t>
      </w:r>
      <w:r>
        <w:rPr>
          <w:rFonts w:ascii="Calibri" w:hAnsi="Calibri" w:eastAsia="Calibri" w:cs="Calibri"/>
          <w:color w:val="000000"/>
          <w:sz w:val="22"/>
          <w:szCs w:val="22"/>
        </w:rPr>
        <w:t xml:space="preserve"> (EPPO, 2025).</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Biological 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no known biological control measures available for this pest. In Japan, as </w:t>
      </w:r>
      <w:r>
        <w:rPr>
          <w:rFonts w:ascii="Calibri" w:hAnsi="Calibri" w:eastAsia="Calibri" w:cs="Calibri"/>
          <w:i/>
          <w:iCs/>
          <w:color w:val="000000"/>
          <w:sz w:val="22"/>
          <w:szCs w:val="22"/>
        </w:rPr>
        <w:t xml:space="preserve">E. interjectus</w:t>
      </w:r>
      <w:r>
        <w:rPr>
          <w:rFonts w:ascii="Calibri" w:hAnsi="Calibri" w:eastAsia="Calibri" w:cs="Calibri"/>
          <w:color w:val="000000"/>
          <w:sz w:val="22"/>
          <w:szCs w:val="22"/>
        </w:rPr>
        <w:t xml:space="preserve"> has been suggested to vector the pest, Kuroda (2013) and Morita and Jikumaru (2013) recommended the development of pest management measures to control this beetle. Jiang and Kajimura (2020) demonstrated that the earwig </w:t>
      </w:r>
      <w:r>
        <w:rPr>
          <w:rFonts w:ascii="Calibri" w:hAnsi="Calibri" w:eastAsia="Calibri" w:cs="Calibri"/>
          <w:i/>
          <w:iCs/>
          <w:color w:val="000000"/>
          <w:sz w:val="22"/>
          <w:szCs w:val="22"/>
        </w:rPr>
        <w:t xml:space="preserve">Forficula auricularia</w:t>
      </w:r>
      <w:r>
        <w:rPr>
          <w:rFonts w:ascii="Calibri" w:hAnsi="Calibri" w:eastAsia="Calibri" w:cs="Calibri"/>
          <w:color w:val="000000"/>
          <w:sz w:val="22"/>
          <w:szCs w:val="22"/>
        </w:rPr>
        <w:t xml:space="preserve"> L. (Dermaptera: Forficulidae) has some potential as a biological control agent against </w:t>
      </w:r>
      <w:r>
        <w:rPr>
          <w:rFonts w:ascii="Calibri" w:hAnsi="Calibri" w:eastAsia="Calibri" w:cs="Calibri"/>
          <w:i/>
          <w:iCs/>
          <w:color w:val="000000"/>
          <w:sz w:val="22"/>
          <w:szCs w:val="22"/>
        </w:rPr>
        <w:t xml:space="preserve">E. interjectus</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Sanitation</w:t>
      </w:r>
    </w:p>
    <w:p>
      <w:pPr>
        <w:widowControl w:val="on"/>
        <w:pBdr/>
        <w:spacing w:before="220" w:after="220" w:line="240" w:lineRule="auto"/>
        <w:ind w:left="0" w:right="0"/>
        <w:jc w:val="left"/>
      </w:pPr>
      <w:r>
        <w:rPr>
          <w:rFonts w:ascii="Calibri" w:hAnsi="Calibri" w:eastAsia="Calibri" w:cs="Calibri"/>
          <w:color w:val="000000"/>
          <w:sz w:val="22"/>
          <w:szCs w:val="22"/>
        </w:rPr>
        <w:t xml:space="preserve">Saranya (2021) suggested disinfection of pruning and grafting tools as supplementary control measures based on the strategies known to control other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pests.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has been controlled by removing and burning infected material (Forest Research, 2024). This method can also be applied for infected fig trees.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has already established in limited areas of Greece and Italy. The pest is more likely to establish outdoors in Mediterranean countries with commercial fig production than in other areas (e.g. Northern Europe). It can establish under protected conditions as well. The EPPO PRA (EPPO, 2025) assessed the potential magnitude of spread to be moderate with human-assisted spread being the main contributing factor. If the pest becomes established, the potential magnitude of impact in the EPPO region would be similar to that in the current area of distribution. The impact may differ depending on the country, and the speed at which control measures can be developed, authorized and implemented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(2025) recommends phytosanitary measures for </w:t>
      </w:r>
      <w:r>
        <w:rPr>
          <w:rFonts w:ascii="Calibri" w:hAnsi="Calibri" w:eastAsia="Calibri" w:cs="Calibri"/>
          <w:i/>
          <w:iCs/>
          <w:color w:val="000000"/>
          <w:sz w:val="22"/>
          <w:szCs w:val="22"/>
        </w:rPr>
        <w:t xml:space="preserve">F. carica</w:t>
      </w:r>
      <w:r>
        <w:rPr>
          <w:rFonts w:ascii="Calibri" w:hAnsi="Calibri" w:eastAsia="Calibri" w:cs="Calibri"/>
          <w:color w:val="000000"/>
          <w:sz w:val="22"/>
          <w:szCs w:val="22"/>
        </w:rPr>
        <w:t xml:space="preserve"> plants for planting (except seeds, tissue culture, pollen) with or without growing media. Options include pest-free area (PFA), pest-free place/site of production or pest-free production site. Because a 3-year asymptomatic period has been observed for the pest, surveillance should be carried out for several growing periods. There should be restrictions on the movement of host material, soil associated with hosts and equipment used (originating from areas where the pest is known to be present) into the PFA, and into the area surrounding the PFA, especially the area between the PFA and the closest area where the pest is known to be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Post-entry quarantine (in the framework of a bilateral agreement) is also a recommended measure, where inspection and testing could be conducted for three growing seasons (EPPO, 2025).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both"/>
      </w:pPr>
      <w:r>
        <w:rPr>
          <w:rFonts w:ascii="Calibri" w:hAnsi="Calibri" w:eastAsia="Calibri" w:cs="Calibri"/>
          <w:color w:val="000000"/>
          <w:sz w:val="22"/>
          <w:szCs w:val="22"/>
        </w:rPr>
        <w:t xml:space="preserve">Barcode of Life Data Systems (BOLD) (2023). </w:t>
      </w:r>
      <w:hyperlink r:id="rId23276aabb6921bdc5" w:history="1">
        <w:r>
          <w:rPr>
            <w:rFonts w:ascii="Calibri" w:hAnsi="Calibri" w:eastAsia="Calibri" w:cs="Calibri"/>
            <w:color w:val="0000CC"/>
            <w:sz w:val="22"/>
            <w:szCs w:val="22"/>
            <w:u w:val="single"/>
          </w:rPr>
          <w:t xml:space="preserve">https://v4.boldsystems.org/</w:t>
        </w:r>
      </w:hyperlink>
      <w:r>
        <w:rPr>
          <w:rFonts w:ascii="Calibri" w:hAnsi="Calibri" w:eastAsia="Calibri" w:cs="Calibri"/>
          <w:color w:val="000000"/>
          <w:sz w:val="22"/>
          <w:szCs w:val="22"/>
        </w:rPr>
        <w:t xml:space="preserve"> (Accessed on 7 August 2025)</w:t>
      </w:r>
    </w:p>
    <w:p>
      <w:pPr>
        <w:widowControl w:val="on"/>
        <w:pBdr/>
        <w:spacing w:before="220" w:after="220" w:line="240" w:lineRule="auto"/>
        <w:ind w:left="0" w:right="0"/>
        <w:jc w:val="left"/>
      </w:pPr>
      <w:r>
        <w:rPr>
          <w:rFonts w:ascii="Calibri" w:hAnsi="Calibri" w:eastAsia="Calibri" w:cs="Calibri"/>
          <w:color w:val="000000"/>
          <w:sz w:val="22"/>
          <w:szCs w:val="22"/>
        </w:rPr>
        <w:t xml:space="preserve">Cabrera OG, Molano EPL, José J, Álvarez JC, Pereira GAG (2016) Ceratocystis wilt pathogens: History and biology—highlighting </w:t>
      </w:r>
      <w:r>
        <w:rPr>
          <w:rFonts w:ascii="Calibri" w:hAnsi="Calibri" w:eastAsia="Calibri" w:cs="Calibri"/>
          <w:i/>
          <w:iCs/>
          <w:color w:val="000000"/>
          <w:sz w:val="22"/>
          <w:szCs w:val="22"/>
        </w:rPr>
        <w:t xml:space="preserve">C. cacaofunesta</w:t>
      </w:r>
      <w:r>
        <w:rPr>
          <w:rFonts w:ascii="Calibri" w:hAnsi="Calibri" w:eastAsia="Calibri" w:cs="Calibri"/>
          <w:color w:val="000000"/>
          <w:sz w:val="22"/>
          <w:szCs w:val="22"/>
        </w:rPr>
        <w:t xml:space="preserve">, the causal agent of wilt disease of cacao. In: Bailey B, Meinhardt L (eds) Cacao Diseases. Springer, Cham. </w:t>
      </w:r>
      <w:r>
        <w:rPr>
          <w:rFonts w:ascii="Calibri" w:hAnsi="Calibri" w:eastAsia="Calibri" w:cs="Calibri"/>
          <w:color w:val="000000"/>
          <w:sz w:val="22"/>
          <w:szCs w:val="22"/>
        </w:rPr>
        <w:t xml:space="preserve">Pp. 383–428</w:t>
      </w:r>
      <w:r>
        <w:rPr>
          <w:rFonts w:ascii="Calibri" w:hAnsi="Calibri" w:eastAsia="Calibri" w:cs="Calibri"/>
          <w:color w:val="000000"/>
          <w:sz w:val="22"/>
          <w:szCs w:val="22"/>
        </w:rPr>
        <w:t xml:space="preserve">. </w:t>
      </w:r>
      <w:hyperlink r:id="rId90496aabb6921be4a" w:history="1">
        <w:r>
          <w:rPr>
            <w:rFonts w:ascii="Calibri" w:hAnsi="Calibri" w:eastAsia="Calibri" w:cs="Calibri"/>
            <w:color w:val="0000CC"/>
            <w:sz w:val="22"/>
            <w:szCs w:val="22"/>
            <w:u w:val="single"/>
          </w:rPr>
          <w:t xml:space="preserve">https://doi.org/10.1007/978-3-319-24789-2_12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Crous PW, Akulov A, Balashov S, Boers J, Braun U, Castillo J, Delgado MA, Denman S, Erhard A, Gusella G, Jurjević Ž, Kruse J, Malloch DW, Osieck ER, Polizzi G, Schumacher RK, Slootweg E, Starink-Willemse M, van Iperen AL, Verkley GJM, Groenewald JZ (2023) New and Interesting Fungi. 6.</w:t>
      </w:r>
      <w:r>
        <w:rPr>
          <w:rFonts w:ascii="Calibri" w:hAnsi="Calibri" w:eastAsia="Calibri" w:cs="Calibri"/>
          <w:i/>
          <w:iCs/>
          <w:color w:val="000000"/>
          <w:sz w:val="22"/>
          <w:szCs w:val="22"/>
        </w:rPr>
        <w:t xml:space="preserve"> Fungal Systematics and Evolution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109–156. </w:t>
      </w:r>
      <w:hyperlink r:id="rId89146aabb6921beb6" w:history="1">
        <w:r>
          <w:rPr>
            <w:rFonts w:ascii="Calibri" w:hAnsi="Calibri" w:eastAsia="Calibri" w:cs="Calibri"/>
            <w:color w:val="0000CC"/>
            <w:sz w:val="22"/>
            <w:szCs w:val="22"/>
            <w:u w:val="single"/>
          </w:rPr>
          <w:t xml:space="preserve">https://doi/org/10.3114/fuse.2023.11.09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(2014) PM 7/14 (2)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338–349. </w:t>
      </w:r>
      <w:hyperlink r:id="rId32216aabb6921bf48" w:history="1">
        <w:r>
          <w:rPr>
            <w:rFonts w:ascii="Calibri" w:hAnsi="Calibri" w:eastAsia="Calibri" w:cs="Calibri"/>
            <w:color w:val="0000CC"/>
            <w:sz w:val="22"/>
            <w:szCs w:val="22"/>
            <w:u w:val="single"/>
          </w:rPr>
          <w:t xml:space="preserve">https://onlinelibrary.wiley.com/doi/epdf/10.1111/epp.12159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Standard PM5/8(1) Guidelines on the phytosanitary measure ‘Plants grown under physical isolation’. Available at </w:t>
      </w:r>
      <w:hyperlink r:id="rId22336aabb6921bf7c" w:history="1">
        <w:r>
          <w:rPr>
            <w:rFonts w:ascii="Calibri" w:hAnsi="Calibri" w:eastAsia="Calibri" w:cs="Calibri"/>
            <w:color w:val="0000CC"/>
            <w:sz w:val="22"/>
            <w:szCs w:val="22"/>
            <w:u w:val="single"/>
          </w:rPr>
          <w:t xml:space="preserve">https://gd.eppo.int/standards/PM5/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EPPO datasheets on pests recommended for regulation. </w:t>
      </w:r>
      <w:hyperlink r:id="rId61546aabb6921bfce" w:history="1">
        <w:r>
          <w:rPr>
            <w:rFonts w:ascii="Calibri" w:hAnsi="Calibri" w:eastAsia="Calibri" w:cs="Calibri"/>
            <w:color w:val="0000CC"/>
            <w:sz w:val="22"/>
            <w:szCs w:val="22"/>
            <w:u w:val="single"/>
          </w:rPr>
          <w:t xml:space="preserve">https://gd.eppo.int/taxon/CERAFP</w:t>
        </w:r>
      </w:hyperlink>
      <w:r>
        <w:rPr>
          <w:rFonts w:ascii="Calibri" w:hAnsi="Calibri" w:eastAsia="Calibri" w:cs="Calibri"/>
          <w:color w:val="000000"/>
          <w:sz w:val="22"/>
          <w:szCs w:val="22"/>
        </w:rPr>
        <w:t xml:space="preserve"> (Accessed on 7 August 2025)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(2025) EPPO Technical Document No. 1095. Pest risk analysis for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(Ascomycota: Ceratocystidaceae). EPPO, Paris. Available at </w:t>
      </w:r>
      <w:hyperlink r:id="rId51426aabb6921c02e" w:history="1">
        <w:r>
          <w:rPr>
            <w:rFonts w:ascii="Calibri" w:hAnsi="Calibri" w:eastAsia="Calibri" w:cs="Calibri"/>
            <w:color w:val="0000CC"/>
            <w:sz w:val="22"/>
            <w:szCs w:val="22"/>
            <w:u w:val="single"/>
          </w:rPr>
          <w:t xml:space="preserve">https://gd.eppo.int/taxon/CERAFC/documents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Forest Research (2024) Canker stain of plane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Available at: </w:t>
      </w:r>
      <w:hyperlink r:id="rId41486aabb6921c080" w:history="1">
        <w:r>
          <w:rPr>
            <w:rFonts w:ascii="Calibri" w:hAnsi="Calibri" w:eastAsia="Calibri" w:cs="Calibri"/>
            <w:color w:val="0000CC"/>
            <w:sz w:val="22"/>
            <w:szCs w:val="22"/>
            <w:u w:val="single"/>
          </w:rPr>
          <w:t xml:space="preserve">https://www.forestresearch.gov.uk/tools-and-resources/fthr/pest-and-disease-resources/canker-stain-of-plane-ceratocystis-platani/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Habib W, Carlucci M, Manco L, Altamura G, Delle Donne AG, Nigro F (2023) First report of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causing wilt disease on common fig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(10), 3287. </w:t>
      </w:r>
      <w:hyperlink r:id="rId59276aabb6921c133" w:history="1">
        <w:r>
          <w:rPr>
            <w:rFonts w:ascii="Calibri" w:hAnsi="Calibri" w:eastAsia="Calibri" w:cs="Calibri"/>
            <w:color w:val="0000CC"/>
            <w:sz w:val="22"/>
            <w:szCs w:val="22"/>
            <w:u w:val="single"/>
          </w:rPr>
          <w:t xml:space="preserve">https://doi.org/10.1094/PDIS-03-23-0464-PDN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Harrington TC (2013) Ceratocystis diseases. In: Infectious Forest Diseases (eds. P Gonthier and G Nicolotti), CABI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Hirota K, Kato K, Miyagawa T (1984) Chemical control of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canker in fig. </w:t>
      </w:r>
      <w:r>
        <w:rPr>
          <w:rFonts w:ascii="Calibri" w:hAnsi="Calibri" w:eastAsia="Calibri" w:cs="Calibri"/>
          <w:i/>
          <w:iCs/>
          <w:color w:val="000000"/>
          <w:sz w:val="22"/>
          <w:szCs w:val="22"/>
        </w:rPr>
        <w:t xml:space="preserve">Research Bulletin of the Aichi-ken Agricultural Research Center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211–218. (in Japanese,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Jiang Z-R, Kajimura H (2020) Earwig preying on ambrosia beetle: Evaluating predatory process and prey preference.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 743–750.</w:t>
      </w:r>
    </w:p>
    <w:p>
      <w:pPr>
        <w:widowControl w:val="on"/>
        <w:pBdr/>
        <w:spacing w:before="220" w:after="220" w:line="240" w:lineRule="auto"/>
        <w:ind w:left="0" w:right="0"/>
        <w:jc w:val="left"/>
      </w:pPr>
      <w:r>
        <w:rPr>
          <w:rFonts w:ascii="Calibri" w:hAnsi="Calibri" w:eastAsia="Calibri" w:cs="Calibri"/>
          <w:color w:val="000000"/>
          <w:sz w:val="22"/>
          <w:szCs w:val="22"/>
        </w:rPr>
        <w:t xml:space="preserve">Kajii C, Morita T, Jikumaru S, Kajimura H, Yamaoka Y, Kuroda K (2013) Xylem dysfunction in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infected with wilt fungus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and the role of the vector beetle </w:t>
      </w:r>
      <w:r>
        <w:rPr>
          <w:rFonts w:ascii="Calibri" w:hAnsi="Calibri" w:eastAsia="Calibri" w:cs="Calibri"/>
          <w:i/>
          <w:iCs/>
          <w:color w:val="000000"/>
          <w:sz w:val="22"/>
          <w:szCs w:val="22"/>
        </w:rPr>
        <w:t xml:space="preserve">Euwallacea interjectus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Association of Wood Anatomists Journal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301–312. </w:t>
      </w:r>
      <w:hyperlink r:id="rId23306aabb6921c2ef" w:history="1">
        <w:r>
          <w:rPr>
            <w:rFonts w:ascii="Calibri" w:hAnsi="Calibri" w:eastAsia="Calibri" w:cs="Calibri"/>
            <w:color w:val="0000CC"/>
            <w:sz w:val="22"/>
            <w:szCs w:val="22"/>
            <w:u w:val="single"/>
          </w:rPr>
          <w:t xml:space="preserve">https://doi.org/10.1163/22941932-00000025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Kajitani Y (1999) The dispersal period of the </w:t>
      </w:r>
      <w:r>
        <w:rPr>
          <w:rFonts w:ascii="Calibri" w:hAnsi="Calibri" w:eastAsia="Calibri" w:cs="Calibri"/>
          <w:i/>
          <w:iCs/>
          <w:color w:val="000000"/>
          <w:sz w:val="22"/>
          <w:szCs w:val="22"/>
        </w:rPr>
        <w:t xml:space="preserve">Xyleborus interjectus</w:t>
      </w:r>
      <w:r>
        <w:rPr>
          <w:rFonts w:ascii="Calibri" w:hAnsi="Calibri" w:eastAsia="Calibri" w:cs="Calibri"/>
          <w:color w:val="000000"/>
          <w:sz w:val="22"/>
          <w:szCs w:val="22"/>
        </w:rPr>
        <w:t xml:space="preserve"> (Coleoptera, Scolytidae), a vector of the fig Ceratocystis canker, and the organ carrying the causal fungus. </w:t>
      </w:r>
      <w:r>
        <w:rPr>
          <w:rFonts w:ascii="Calibri" w:hAnsi="Calibri" w:eastAsia="Calibri" w:cs="Calibri"/>
          <w:i/>
          <w:iCs/>
          <w:color w:val="000000"/>
          <w:sz w:val="22"/>
          <w:szCs w:val="22"/>
        </w:rPr>
        <w:t xml:space="preserve">Annals of the Phytopathological Society of Japan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377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Kajitani Y (2017) Infection strategies of pathogens observed in fig wilt disease and grapevine swelling arm. The 17</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Fungal Plant Pathogen Workshop (FPPW 17). Morioka City (Iwate, Japan, 28 April 2017), 9–20.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Kajitani Y, Kanematsu S (1997) PCR-RFLP analysis of the rDNA ITS region of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isolated from fig and sweet potato.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208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Kajitani Y, Kudo A (1993) Difference of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isolated from fig and sweet potato.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290.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Kajitani Y (1995) Simple method with cut shoots for detection of fig Ceratocystis cancer pathogen,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from soil in orchards. </w:t>
      </w:r>
      <w:r>
        <w:rPr>
          <w:rFonts w:ascii="Calibri" w:hAnsi="Calibri" w:eastAsia="Calibri" w:cs="Calibri"/>
          <w:i/>
          <w:iCs/>
          <w:color w:val="000000"/>
          <w:sz w:val="22"/>
          <w:szCs w:val="22"/>
        </w:rPr>
        <w:t xml:space="preserve">Annales of the Phytopathological Society of Japan</w:t>
      </w:r>
      <w:r>
        <w:rPr>
          <w:rFonts w:ascii="Calibri" w:hAnsi="Calibri" w:eastAsia="Calibri" w:cs="Calibri"/>
          <w:color w:val="000000"/>
          <w:sz w:val="22"/>
          <w:szCs w:val="22"/>
        </w:rPr>
        <w:t xml:space="preserve"> 61 (3), 229 https://www.jstage.jst.go.jp/article/jjphytopath1918/61/3/61_3_210/_pdf/-char/en</w:t>
      </w:r>
    </w:p>
    <w:p>
      <w:pPr>
        <w:widowControl w:val="on"/>
        <w:pBdr/>
        <w:spacing w:before="220" w:after="220" w:line="240" w:lineRule="auto"/>
        <w:ind w:left="0" w:right="0"/>
        <w:jc w:val="left"/>
      </w:pPr>
      <w:r>
        <w:rPr>
          <w:rFonts w:ascii="Calibri" w:hAnsi="Calibri" w:eastAsia="Calibri" w:cs="Calibri"/>
          <w:color w:val="000000"/>
          <w:sz w:val="22"/>
          <w:szCs w:val="22"/>
        </w:rPr>
        <w:t xml:space="preserve">Kajitani Y, Masuya H (2011) </w:t>
      </w:r>
      <w:r>
        <w:rPr>
          <w:rFonts w:ascii="Calibri" w:hAnsi="Calibri" w:eastAsia="Calibri" w:cs="Calibri"/>
          <w:i/>
          <w:iCs/>
          <w:color w:val="000000"/>
          <w:sz w:val="22"/>
          <w:szCs w:val="22"/>
        </w:rPr>
        <w:t xml:space="preserve">Ceratocystis ficicola </w:t>
      </w:r>
      <w:r>
        <w:rPr>
          <w:rFonts w:ascii="Calibri" w:hAnsi="Calibri" w:eastAsia="Calibri" w:cs="Calibri"/>
          <w:color w:val="000000"/>
          <w:sz w:val="22"/>
          <w:szCs w:val="22"/>
        </w:rPr>
        <w:t xml:space="preserve">sp. nov., a causal fungus of fig canker in Japan. </w:t>
      </w:r>
      <w:r>
        <w:rPr>
          <w:rFonts w:ascii="Calibri" w:hAnsi="Calibri" w:eastAsia="Calibri" w:cs="Calibri"/>
          <w:i/>
          <w:iCs/>
          <w:color w:val="000000"/>
          <w:sz w:val="22"/>
          <w:szCs w:val="22"/>
        </w:rPr>
        <w:t xml:space="preserve">Mycoscience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349–353.</w:t>
      </w:r>
    </w:p>
    <w:p>
      <w:pPr>
        <w:widowControl w:val="on"/>
        <w:pBdr/>
        <w:spacing w:before="220" w:after="220" w:line="240" w:lineRule="auto"/>
        <w:ind w:left="0" w:right="0"/>
        <w:jc w:val="left"/>
      </w:pPr>
      <w:r>
        <w:rPr>
          <w:rFonts w:ascii="Calibri" w:hAnsi="Calibri" w:eastAsia="Calibri" w:cs="Calibri"/>
          <w:color w:val="000000"/>
          <w:sz w:val="22"/>
          <w:szCs w:val="22"/>
        </w:rPr>
        <w:t xml:space="preserve">Kamimori M, Isobe T, Yakushiji H (2022) Evaluation of Ceratocystis canker resistance, vegetative growth, and fruit production of ‘Masui Dauphine’ Fig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grafted on ‘Reikodai 1 go’ BC1 of an interspecific hybridization of </w:t>
      </w:r>
      <w:r>
        <w:rPr>
          <w:rFonts w:ascii="Calibri" w:hAnsi="Calibri" w:eastAsia="Calibri" w:cs="Calibri"/>
          <w:i/>
          <w:iCs/>
          <w:color w:val="000000"/>
          <w:sz w:val="22"/>
          <w:szCs w:val="22"/>
        </w:rPr>
        <w:t xml:space="preserve">F. carica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F. erecta. The Horticulture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(3), 337–344.</w:t>
      </w:r>
    </w:p>
    <w:p>
      <w:pPr>
        <w:widowControl w:val="on"/>
        <w:pBdr/>
        <w:spacing w:before="220" w:after="220" w:line="240" w:lineRule="auto"/>
        <w:ind w:left="0" w:right="0"/>
        <w:jc w:val="left"/>
      </w:pPr>
      <w:r>
        <w:rPr>
          <w:rFonts w:ascii="Calibri" w:hAnsi="Calibri" w:eastAsia="Calibri" w:cs="Calibri"/>
          <w:color w:val="000000"/>
          <w:sz w:val="22"/>
          <w:szCs w:val="22"/>
        </w:rPr>
        <w:t xml:space="preserve">Kato K, Miyagawa T (1980) Fig canker disease.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97–98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Kato K, Hirota K, Miyagawa T (1982) A new disease, Ceratocystis canker of fig caused by </w:t>
      </w:r>
      <w:r>
        <w:rPr>
          <w:rFonts w:ascii="Calibri" w:hAnsi="Calibri" w:eastAsia="Calibri" w:cs="Calibri"/>
          <w:i/>
          <w:iCs/>
          <w:color w:val="000000"/>
          <w:sz w:val="22"/>
          <w:szCs w:val="22"/>
        </w:rPr>
        <w:t xml:space="preserve">Ceratocystis fimbriata </w:t>
      </w:r>
      <w:r>
        <w:rPr>
          <w:rFonts w:ascii="Calibri" w:hAnsi="Calibri" w:eastAsia="Calibri" w:cs="Calibri"/>
          <w:color w:val="000000"/>
          <w:sz w:val="22"/>
          <w:szCs w:val="22"/>
        </w:rPr>
        <w:t xml:space="preserve">Ellis et Halsted. </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55–59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Kato K, Hirota K, Miyagawa T, Yokoyama T (1981) Fig canker disease. </w:t>
      </w:r>
      <w:r>
        <w:rPr>
          <w:rFonts w:ascii="Calibri" w:hAnsi="Calibri" w:eastAsia="Calibri" w:cs="Calibri"/>
          <w:i/>
          <w:iCs/>
          <w:color w:val="000000"/>
          <w:sz w:val="22"/>
          <w:szCs w:val="22"/>
        </w:rPr>
        <w:t xml:space="preserve">Annals of the Phytopathological Society of Japan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373–374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Kile GA (1993) Plant diseases caused by species of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sensu stricto and </w:t>
      </w:r>
      <w:r>
        <w:rPr>
          <w:rFonts w:ascii="Calibri" w:hAnsi="Calibri" w:eastAsia="Calibri" w:cs="Calibri"/>
          <w:i/>
          <w:iCs/>
          <w:color w:val="000000"/>
          <w:sz w:val="22"/>
          <w:szCs w:val="22"/>
        </w:rPr>
        <w:t xml:space="preserve">Chalara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Ophiostoma</w:t>
      </w:r>
      <w:r>
        <w:rPr>
          <w:rFonts w:ascii="Calibri" w:hAnsi="Calibri" w:eastAsia="Calibri" w:cs="Calibri"/>
          <w:color w:val="000000"/>
          <w:sz w:val="22"/>
          <w:szCs w:val="22"/>
        </w:rPr>
        <w:t xml:space="preserve">, Taxonomy, Ecology and Pathogenicity. Eds MJ Wingfield, KA Seifert and JF Webber, APS Press, Minnesota.</w:t>
      </w:r>
    </w:p>
    <w:p>
      <w:pPr>
        <w:widowControl w:val="on"/>
        <w:pBdr/>
        <w:spacing w:before="220" w:after="220" w:line="240" w:lineRule="auto"/>
        <w:ind w:left="0" w:right="0"/>
        <w:jc w:val="left"/>
      </w:pPr>
      <w:r>
        <w:rPr>
          <w:rFonts w:ascii="Calibri" w:hAnsi="Calibri" w:eastAsia="Calibri" w:cs="Calibri"/>
          <w:color w:val="000000"/>
          <w:sz w:val="22"/>
          <w:szCs w:val="22"/>
        </w:rPr>
        <w:t xml:space="preserve">Kuroda K (2013) Collaboration of wilt pathogen and vector beetle successfully induces extensive xylem dysfunction and wilt symptom. The 8th Pacific Regional Wood Anatomy Conference, 17–21 October 2013, Nanjing Forestry University, China. </w:t>
      </w:r>
      <w:hyperlink r:id="rId75846aabb6921ccaa" w:history="1">
        <w:r>
          <w:rPr>
            <w:rFonts w:ascii="Calibri" w:hAnsi="Calibri" w:eastAsia="Calibri" w:cs="Calibri"/>
            <w:color w:val="0000CC"/>
            <w:sz w:val="22"/>
            <w:szCs w:val="22"/>
            <w:u w:val="single"/>
          </w:rPr>
          <w:t xml:space="preserve">https://www.researchgate.net/publication/257654295_Collaboration_of_wilt_pathogen_and_vector_beetle_successfully_induces_extensive_xylem_dysfunction_and_wilt_symptom</w:t>
        </w:r>
      </w:hyperlink>
      <w:r>
        <w:rPr>
          <w:rFonts w:ascii="Calibri" w:hAnsi="Calibri" w:eastAsia="Calibri" w:cs="Calibri"/>
          <w:color w:val="000000"/>
          <w:sz w:val="22"/>
          <w:szCs w:val="22"/>
        </w:rPr>
        <w:t xml:space="preserve"> (Accessed on 7 August 2025)</w:t>
      </w:r>
    </w:p>
    <w:p>
      <w:pPr>
        <w:widowControl w:val="on"/>
        <w:pBdr/>
        <w:spacing w:before="220" w:after="220" w:line="240" w:lineRule="auto"/>
        <w:ind w:left="0" w:right="0"/>
        <w:jc w:val="left"/>
      </w:pPr>
      <w:r>
        <w:rPr>
          <w:rFonts w:ascii="Calibri" w:hAnsi="Calibri" w:eastAsia="Calibri" w:cs="Calibri"/>
          <w:color w:val="000000"/>
          <w:sz w:val="22"/>
          <w:szCs w:val="22"/>
        </w:rPr>
        <w:t xml:space="preserve">Liu FF, Barnes I, Wingfield JRM, Chen SF (2017) Molecular phylogenetics and microsatellite analysis reveal a new pathogenic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species in the Asian-Australian clade.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1097–1113.</w:t>
      </w:r>
    </w:p>
    <w:p>
      <w:pPr>
        <w:widowControl w:val="on"/>
        <w:pBdr/>
        <w:spacing w:before="220" w:after="220" w:line="240" w:lineRule="auto"/>
        <w:ind w:left="0" w:right="0"/>
        <w:jc w:val="left"/>
      </w:pPr>
      <w:r>
        <w:rPr>
          <w:rFonts w:ascii="Calibri" w:hAnsi="Calibri" w:eastAsia="Calibri" w:cs="Calibri"/>
          <w:color w:val="000000"/>
          <w:sz w:val="22"/>
          <w:szCs w:val="22"/>
        </w:rPr>
        <w:t xml:space="preserve">Luchi N, Ghelardini L, Belbarhri L, Quartier M, Santini A (2013) Rapid detection of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inoculum by quantitative Real-Time PCR assay.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5394–5404.</w:t>
      </w:r>
    </w:p>
    <w:p>
      <w:pPr>
        <w:widowControl w:val="on"/>
        <w:pBdr/>
        <w:spacing w:before="220" w:after="220" w:line="240" w:lineRule="auto"/>
        <w:ind w:left="0" w:right="0"/>
        <w:jc w:val="left"/>
      </w:pPr>
      <w:r>
        <w:rPr>
          <w:rFonts w:ascii="Calibri" w:hAnsi="Calibri" w:eastAsia="Calibri" w:cs="Calibri"/>
          <w:color w:val="000000"/>
          <w:sz w:val="22"/>
          <w:szCs w:val="22"/>
        </w:rPr>
        <w:t xml:space="preserve">Miwa Y, Hosomi A, Ishii T (2014) Lesion spreading of Ceratocystis canker on ‘Masui Dauphine’ fig trees. </w:t>
      </w:r>
      <w:r>
        <w:rPr>
          <w:rFonts w:ascii="Calibri" w:hAnsi="Calibri" w:eastAsia="Calibri" w:cs="Calibri"/>
          <w:i/>
          <w:iCs/>
          <w:color w:val="000000"/>
          <w:sz w:val="22"/>
          <w:szCs w:val="22"/>
        </w:rPr>
        <w:t xml:space="preserve">International Journal of Agricultural Policy and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(2), 55–06.</w:t>
      </w:r>
    </w:p>
    <w:p>
      <w:pPr>
        <w:widowControl w:val="on"/>
        <w:pBdr/>
        <w:spacing w:before="220" w:after="220" w:line="240" w:lineRule="auto"/>
        <w:ind w:left="0" w:right="0"/>
        <w:jc w:val="left"/>
      </w:pPr>
      <w:r>
        <w:rPr>
          <w:rFonts w:ascii="Calibri" w:hAnsi="Calibri" w:eastAsia="Calibri" w:cs="Calibri"/>
          <w:color w:val="000000"/>
          <w:sz w:val="22"/>
          <w:szCs w:val="22"/>
        </w:rPr>
        <w:t xml:space="preserve">Morita T, Hara H, Mise D, Jikumaru S (2012) A case study of Ceratocystis canker epidemic in relation with </w:t>
      </w:r>
      <w:r>
        <w:rPr>
          <w:rFonts w:ascii="Calibri" w:hAnsi="Calibri" w:eastAsia="Calibri" w:cs="Calibri"/>
          <w:i/>
          <w:iCs/>
          <w:color w:val="000000"/>
          <w:sz w:val="22"/>
          <w:szCs w:val="22"/>
        </w:rPr>
        <w:t xml:space="preserve">Euwallacea interjectus </w:t>
      </w:r>
      <w:r>
        <w:rPr>
          <w:rFonts w:ascii="Calibri" w:hAnsi="Calibri" w:eastAsia="Calibri" w:cs="Calibri"/>
          <w:color w:val="000000"/>
          <w:sz w:val="22"/>
          <w:szCs w:val="22"/>
        </w:rPr>
        <w:t xml:space="preserve">infestation. </w:t>
      </w:r>
      <w:r>
        <w:rPr>
          <w:rFonts w:ascii="Calibri" w:hAnsi="Calibri" w:eastAsia="Calibri" w:cs="Calibri"/>
          <w:i/>
          <w:iCs/>
          <w:color w:val="000000"/>
          <w:sz w:val="22"/>
          <w:szCs w:val="22"/>
        </w:rPr>
        <w:t xml:space="preserve">Annual Report of The Kansai Plant Protection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29–34. (in Japanese,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Morita T, Hara T, Nakano M, Jikumaru S (2013) Detection of fig stain blight fungus from soil using branch cutting method. </w:t>
      </w:r>
      <w:r>
        <w:rPr>
          <w:rFonts w:ascii="Calibri" w:hAnsi="Calibri" w:eastAsia="Calibri" w:cs="Calibri"/>
          <w:i/>
          <w:iCs/>
          <w:color w:val="000000"/>
          <w:sz w:val="22"/>
          <w:szCs w:val="22"/>
        </w:rPr>
        <w:t xml:space="preserve">Annual Report of The Kansai Plant Protection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71–75.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Morita T, Jikumaru S (2013) A case study of Ceratocystis cancer epidemic following the invasion of Euwallacea interjectus. </w:t>
      </w:r>
      <w:r>
        <w:rPr>
          <w:rFonts w:ascii="Calibri" w:hAnsi="Calibri" w:eastAsia="Calibri" w:cs="Calibri"/>
          <w:i/>
          <w:iCs/>
          <w:color w:val="000000"/>
          <w:sz w:val="22"/>
          <w:szCs w:val="22"/>
        </w:rPr>
        <w:t xml:space="preserve">Shokubutsu Bōeki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(5), 23–26. (in Japanese)</w:t>
      </w:r>
      <w:r>
        <w:rPr>
          <w:rFonts w:ascii="Calibri" w:hAnsi="Calibri" w:eastAsia="Calibri" w:cs="Calibri"/>
          <w:i/>
          <w:iCs/>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Morita T, Jikumaru S, Kuroda K (2016) Disease development in </w:t>
      </w:r>
      <w:r>
        <w:rPr>
          <w:rFonts w:ascii="Calibri" w:hAnsi="Calibri" w:eastAsia="Calibri" w:cs="Calibri"/>
          <w:i/>
          <w:iCs/>
          <w:color w:val="000000"/>
          <w:sz w:val="22"/>
          <w:szCs w:val="22"/>
        </w:rPr>
        <w:t xml:space="preserve">Ficus carica </w:t>
      </w:r>
      <w:r>
        <w:rPr>
          <w:rFonts w:ascii="Calibri" w:hAnsi="Calibri" w:eastAsia="Calibri" w:cs="Calibri"/>
          <w:color w:val="000000"/>
          <w:sz w:val="22"/>
          <w:szCs w:val="22"/>
        </w:rPr>
        <w:t xml:space="preserve">plants after inoculation with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(1) Relationship between xylem dysfunction and wilt symptoms.</w:t>
      </w:r>
      <w:r>
        <w:rPr>
          <w:rFonts w:ascii="Calibri" w:hAnsi="Calibri" w:eastAsia="Calibri" w:cs="Calibri"/>
          <w:i/>
          <w:iCs/>
          <w:color w:val="000000"/>
          <w:sz w:val="22"/>
          <w:szCs w:val="22"/>
        </w:rPr>
        <w:t xml:space="preserve"> Japanese 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301–309. </w:t>
      </w:r>
      <w:hyperlink r:id="rId57796aabb6921d068" w:history="1">
        <w:r>
          <w:rPr>
            <w:rFonts w:ascii="Calibri" w:hAnsi="Calibri" w:eastAsia="Calibri" w:cs="Calibri"/>
            <w:color w:val="0000CC"/>
            <w:sz w:val="22"/>
            <w:szCs w:val="22"/>
            <w:u w:val="single"/>
          </w:rPr>
          <w:t xml:space="preserve">https://doi.org/10.3186/jjphytopath.82.301</w:t>
        </w:r>
      </w:hyperlink>
      <w:r>
        <w:rPr>
          <w:rFonts w:ascii="Calibri" w:hAnsi="Calibri" w:eastAsia="Calibri" w:cs="Calibri"/>
          <w:color w:val="000000"/>
          <w:sz w:val="22"/>
          <w:szCs w:val="22"/>
        </w:rPr>
        <w:t xml:space="preserve"> (in Japanese,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Morita T, Mise D, Jikumaru S (2018) Observation of external and internal symptoms in fig cultivar ‘Houraishi’ planted in soil contaminated with</w:t>
      </w:r>
      <w:r>
        <w:rPr>
          <w:rFonts w:ascii="Calibri" w:hAnsi="Calibri" w:eastAsia="Calibri" w:cs="Calibri"/>
          <w:i/>
          <w:iCs/>
          <w:color w:val="000000"/>
          <w:sz w:val="22"/>
          <w:szCs w:val="22"/>
        </w:rPr>
        <w:t xml:space="preserve"> Ceratocystis ficicola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Hiroshima Prefectural Technology R</w:t>
      </w:r>
      <w:r>
        <w:rPr>
          <w:rFonts w:ascii="Calibri" w:hAnsi="Calibri" w:eastAsia="Calibri" w:cs="Calibri"/>
          <w:i/>
          <w:iCs/>
          <w:color w:val="000000"/>
          <w:sz w:val="22"/>
          <w:szCs w:val="22"/>
        </w:rPr>
        <w:t xml:space="preserve">esearch</w:t>
      </w:r>
      <w:r>
        <w:rPr>
          <w:rFonts w:ascii="Calibri" w:hAnsi="Calibri" w:eastAsia="Calibri" w:cs="Calibri"/>
          <w:i/>
          <w:iCs/>
          <w:color w:val="000000"/>
          <w:sz w:val="22"/>
          <w:szCs w:val="22"/>
        </w:rPr>
        <w:t xml:space="preserve"> Institute Agricultural Technology Research Center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1–9. (in Japanese,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Nasution A, Glen M, Beadle C, Mohammed C (2019) Ceratocystis wilt and canker – a disease that compromises the growing of commercial Acacia-based plantations in the tropics. </w:t>
      </w:r>
      <w:r>
        <w:rPr>
          <w:rFonts w:ascii="Calibri" w:hAnsi="Calibri" w:eastAsia="Calibri" w:cs="Calibri"/>
          <w:i/>
          <w:iCs/>
          <w:color w:val="000000"/>
          <w:sz w:val="22"/>
          <w:szCs w:val="22"/>
        </w:rPr>
        <w:t xml:space="preserve">Australian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80–93.</w:t>
      </w:r>
    </w:p>
    <w:p>
      <w:pPr>
        <w:widowControl w:val="on"/>
        <w:pBdr/>
        <w:spacing w:before="220" w:after="220" w:line="240" w:lineRule="auto"/>
        <w:ind w:left="0" w:right="0"/>
        <w:jc w:val="left"/>
      </w:pPr>
      <w:r>
        <w:rPr>
          <w:rFonts w:ascii="Calibri" w:hAnsi="Calibri" w:eastAsia="Calibri" w:cs="Calibri"/>
          <w:color w:val="000000"/>
          <w:sz w:val="22"/>
          <w:szCs w:val="22"/>
        </w:rPr>
        <w:t xml:space="preserve">National Center for Biotechnology Information (NCBI) (2023) </w:t>
      </w:r>
      <w:hyperlink r:id="rId17046aabb6921d1b2" w:history="1">
        <w:r>
          <w:rPr>
            <w:rFonts w:ascii="Calibri" w:hAnsi="Calibri" w:eastAsia="Calibri" w:cs="Calibri"/>
            <w:color w:val="0000CC"/>
            <w:sz w:val="22"/>
            <w:szCs w:val="22"/>
            <w:u w:val="single"/>
          </w:rPr>
          <w:t xml:space="preserve">https://www.ncbi.nlm.nih.gov/</w:t>
        </w:r>
      </w:hyperlink>
      <w:r>
        <w:rPr>
          <w:rFonts w:ascii="Calibri" w:hAnsi="Calibri" w:eastAsia="Calibri" w:cs="Calibri"/>
          <w:color w:val="000000"/>
          <w:sz w:val="22"/>
          <w:szCs w:val="22"/>
        </w:rPr>
        <w:t xml:space="preserve"> (Accessed on 21 November 2023)</w:t>
      </w:r>
    </w:p>
    <w:p>
      <w:pPr>
        <w:widowControl w:val="on"/>
        <w:pBdr/>
        <w:spacing w:before="220" w:after="220" w:line="240" w:lineRule="auto"/>
        <w:ind w:left="0" w:right="0"/>
        <w:jc w:val="left"/>
      </w:pPr>
      <w:r>
        <w:rPr>
          <w:rFonts w:ascii="Calibri" w:hAnsi="Calibri" w:eastAsia="Calibri" w:cs="Calibri"/>
          <w:color w:val="000000"/>
          <w:sz w:val="22"/>
          <w:szCs w:val="22"/>
        </w:rPr>
        <w:t xml:space="preserve">Saranya R (2021)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 A threatening pathogen. </w:t>
      </w:r>
      <w:r>
        <w:rPr>
          <w:rFonts w:ascii="Calibri" w:hAnsi="Calibri" w:eastAsia="Calibri" w:cs="Calibri"/>
          <w:i/>
          <w:iCs/>
          <w:color w:val="000000"/>
          <w:sz w:val="22"/>
          <w:szCs w:val="22"/>
        </w:rPr>
        <w:t xml:space="preserve">Agriculture and Food: E-Newsletter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(11), 91–93. </w:t>
      </w:r>
      <w:hyperlink r:id="rId39126aabb6921d24e" w:history="1">
        <w:r>
          <w:rPr>
            <w:rFonts w:ascii="Calibri" w:hAnsi="Calibri" w:eastAsia="Calibri" w:cs="Calibri"/>
            <w:color w:val="0000CC"/>
            <w:sz w:val="22"/>
            <w:szCs w:val="22"/>
            <w:u w:val="single"/>
          </w:rPr>
          <w:t xml:space="preserve">https://krishi.icar.gov.in/jspui/bitstream/123456789/70260/1/popular%20art.cera.pdf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Shimizu S, Miyoshi T, Ochi M, Tachibana Y (1999) Occurrence of fig Ceratocystis canker in Ehime Prefecture and its control by thiophanate-methyl triflumizole fungicide. </w:t>
      </w:r>
      <w:r>
        <w:rPr>
          <w:rFonts w:ascii="Calibri" w:hAnsi="Calibri" w:eastAsia="Calibri" w:cs="Calibri"/>
          <w:i/>
          <w:iCs/>
          <w:color w:val="000000"/>
          <w:sz w:val="22"/>
          <w:szCs w:val="22"/>
        </w:rPr>
        <w:t xml:space="preserve">Bulletin of the Ehime Fruit Tree Experimental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27–35 (in Japanese,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Sumida S, Morita T, Kuroda K (2016) Invasion strategy of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from soil to host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Tree and Forest Health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30–31.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Togawa M, Masui S, Nomura A, Masui H (1999) Occurrence and control of stem rot on fig. </w:t>
      </w:r>
      <w:r>
        <w:rPr>
          <w:rFonts w:ascii="Calibri" w:hAnsi="Calibri" w:eastAsia="Calibri" w:cs="Calibri"/>
          <w:i/>
          <w:iCs/>
          <w:color w:val="000000"/>
          <w:sz w:val="22"/>
          <w:szCs w:val="22"/>
        </w:rPr>
        <w:t xml:space="preserve">Bulletin of the Shizuoka Prefectural Citrus Experiment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51–62. (in Japanese, with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Tsopelas P, Soulioti N, Wingfield MJ, Barnes I, Marincowitz S, Tjamos EC, Paplomatas EJ (2021)</w:t>
      </w:r>
      <w:r>
        <w:rPr>
          <w:rFonts w:ascii="Calibri" w:hAnsi="Calibri" w:eastAsia="Calibri" w:cs="Calibri"/>
          <w:i/>
          <w:iCs/>
          <w:color w:val="000000"/>
          <w:sz w:val="22"/>
          <w:szCs w:val="22"/>
        </w:rPr>
        <w:t xml:space="preserve"> Ceratocystis ficicola </w:t>
      </w:r>
      <w:r>
        <w:rPr>
          <w:rFonts w:ascii="Calibri" w:hAnsi="Calibri" w:eastAsia="Calibri" w:cs="Calibri"/>
          <w:color w:val="000000"/>
          <w:sz w:val="22"/>
          <w:szCs w:val="22"/>
        </w:rPr>
        <w:t xml:space="preserve">causing a serious disease of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in Greece. </w:t>
      </w:r>
      <w:r>
        <w:rPr>
          <w:rFonts w:ascii="Calibri" w:hAnsi="Calibri" w:eastAsia="Calibri" w:cs="Calibri"/>
          <w:i/>
          <w:iCs/>
          <w:color w:val="000000"/>
          <w:sz w:val="22"/>
          <w:szCs w:val="22"/>
        </w:rPr>
        <w:t xml:space="preserve">Phytopathologia Mediterranea</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(2), 337–349. </w:t>
      </w:r>
      <w:hyperlink r:id="rId61866aabb6921d472" w:history="1">
        <w:r>
          <w:rPr>
            <w:rFonts w:ascii="Calibri" w:hAnsi="Calibri" w:eastAsia="Calibri" w:cs="Calibri"/>
            <w:color w:val="0000CC"/>
            <w:sz w:val="22"/>
            <w:szCs w:val="22"/>
            <w:u w:val="single"/>
          </w:rPr>
          <w:t xml:space="preserve">https://doi.org/10.36253/phyto-12794</w:t>
        </w:r>
      </w:hyperlink>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2025 by the EPPO Secretariat based on the pest risk analysis produced by an EPPO Expert Working Group in 2024. The Expert Working Group was composed of Clovis Douanla-Meli (JKI, Federal Research Centre for Cultivated Plants, Institute for National and International Plant Health, Germany), Erincik Ömer (Adnan Menderes University, Türkiye), Jose Maria Guitian Castrillon (Tecnologias y Servicios Agrarios, S. A.—TRAGSATEC, Spain), Shota Jikumaru (Hiroshima Prefectural Technology Research Institute, Japan), Franco Nigro (UNIBA, Italy), Panaghiotis Tsopelas (Institute of Mediterranean Forest Ecosystems, Greece), Marco Pautasso (Observer, European Food Safety Authority, Italy), Dmitrii Musolin (EPPO) and Rob Tanner (EPPO).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Ceratocystis ficicola</w:t>
      </w:r>
      <w:r>
        <w:rPr>
          <w:rFonts w:ascii="Calibri" w:hAnsi="Calibri" w:eastAsia="Calibri" w:cs="Calibri"/>
          <w:color w:val="000000"/>
          <w:sz w:val="22"/>
          <w:szCs w:val="22"/>
        </w:rPr>
        <w:t xml:space="preserve">. EPPO datasheets on pests recommended for regulation. Available online. </w:t>
      </w:r>
      <w:hyperlink r:id="rId84726aabb6921d54c"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0" w:after="0" w:line="240" w:lineRule="auto"/>
        <w:ind w:left="0" w:right="0"/>
        <w:jc w:val="left"/>
      </w:pPr>
      <w:r>
        <w:rPr>
          <w:rFonts w:ascii="Calibri" w:hAnsi="Calibri" w:eastAsia="Calibri" w:cs="Calibri"/>
          <w:color w:val="000000"/>
          <w:sz w:val="22"/>
          <w:szCs w:val="22"/>
        </w:rPr>
        <w:t xml:space="preserve">This datasheet was first published in the EPPO Bulletin in 2026.  It is maintained in an electronic format in the EPPO Global Database. The sections on ‘Identity’, ‘Hosts’ and ‘Geographical distribution’ are automatically updated from the database. For other sections, the date of last revision is indicated on the right.</w:t>
      </w:r>
      <w:r>
        <w:rPr>
          <w:rFonts w:ascii="Calibri" w:hAnsi="Calibri" w:eastAsia="Calibri" w:cs="Calibri"/>
          <w:color w:val="000000"/>
          <w:sz w:val="22"/>
          <w:szCs w:val="22"/>
        </w:rPr>
        <w:br/>
        <w:t xml:space="preserve">EPPO (2026) Datasheets on pests recommended for regulation.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Ceratocystis ficicola</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(1),  102-107. </w:t>
      </w:r>
      <w:hyperlink r:id="rId12156aabb6921d617" w:history="1">
        <w:r>
          <w:rPr>
            <w:rFonts w:ascii="Calibri" w:hAnsi="Calibri" w:eastAsia="Calibri" w:cs="Calibri"/>
            <w:color w:val="0000CC"/>
            <w:sz w:val="22"/>
            <w:szCs w:val="22"/>
            <w:u w:val="single"/>
          </w:rPr>
          <w:t xml:space="preserve">https://doi.org/10.1111/epp.70051</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36500">
    <w:multiLevelType w:val="hybridMultilevel"/>
    <w:lvl w:ilvl="0" w:tplc="40197956">
      <w:start w:val="1"/>
      <w:numFmt w:val="decimal"/>
      <w:lvlText w:val="%1."/>
      <w:lvlJc w:val="left"/>
      <w:pPr>
        <w:ind w:left="720" w:hanging="360"/>
      </w:pPr>
    </w:lvl>
    <w:lvl w:ilvl="1" w:tplc="40197956" w:tentative="1">
      <w:start w:val="1"/>
      <w:numFmt w:val="lowerLetter"/>
      <w:lvlText w:val="%2."/>
      <w:lvlJc w:val="left"/>
      <w:pPr>
        <w:ind w:left="1440" w:hanging="360"/>
      </w:pPr>
    </w:lvl>
    <w:lvl w:ilvl="2" w:tplc="40197956" w:tentative="1">
      <w:start w:val="1"/>
      <w:numFmt w:val="lowerRoman"/>
      <w:lvlText w:val="%3."/>
      <w:lvlJc w:val="right"/>
      <w:pPr>
        <w:ind w:left="2160" w:hanging="180"/>
      </w:pPr>
    </w:lvl>
    <w:lvl w:ilvl="3" w:tplc="40197956" w:tentative="1">
      <w:start w:val="1"/>
      <w:numFmt w:val="decimal"/>
      <w:lvlText w:val="%4."/>
      <w:lvlJc w:val="left"/>
      <w:pPr>
        <w:ind w:left="2880" w:hanging="360"/>
      </w:pPr>
    </w:lvl>
    <w:lvl w:ilvl="4" w:tplc="40197956" w:tentative="1">
      <w:start w:val="1"/>
      <w:numFmt w:val="lowerLetter"/>
      <w:lvlText w:val="%5."/>
      <w:lvlJc w:val="left"/>
      <w:pPr>
        <w:ind w:left="3600" w:hanging="360"/>
      </w:pPr>
    </w:lvl>
    <w:lvl w:ilvl="5" w:tplc="40197956" w:tentative="1">
      <w:start w:val="1"/>
      <w:numFmt w:val="lowerRoman"/>
      <w:lvlText w:val="%6."/>
      <w:lvlJc w:val="right"/>
      <w:pPr>
        <w:ind w:left="4320" w:hanging="180"/>
      </w:pPr>
    </w:lvl>
    <w:lvl w:ilvl="6" w:tplc="40197956" w:tentative="1">
      <w:start w:val="1"/>
      <w:numFmt w:val="decimal"/>
      <w:lvlText w:val="%7."/>
      <w:lvlJc w:val="left"/>
      <w:pPr>
        <w:ind w:left="5040" w:hanging="360"/>
      </w:pPr>
    </w:lvl>
    <w:lvl w:ilvl="7" w:tplc="40197956" w:tentative="1">
      <w:start w:val="1"/>
      <w:numFmt w:val="lowerLetter"/>
      <w:lvlText w:val="%8."/>
      <w:lvlJc w:val="left"/>
      <w:pPr>
        <w:ind w:left="5760" w:hanging="360"/>
      </w:pPr>
    </w:lvl>
    <w:lvl w:ilvl="8" w:tplc="40197956" w:tentative="1">
      <w:start w:val="1"/>
      <w:numFmt w:val="lowerRoman"/>
      <w:lvlText w:val="%9."/>
      <w:lvlJc w:val="right"/>
      <w:pPr>
        <w:ind w:left="6480" w:hanging="180"/>
      </w:pPr>
    </w:lvl>
  </w:abstractNum>
  <w:abstractNum w:abstractNumId="44136499">
    <w:multiLevelType w:val="hybridMultilevel"/>
    <w:lvl w:ilvl="0" w:tplc="56051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36499">
    <w:abstractNumId w:val="44136499"/>
  </w:num>
  <w:num w:numId="44136500">
    <w:abstractNumId w:val="4413650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2843269" Type="http://schemas.microsoft.com/office/2011/relationships/commentsExtended" Target="commentsExtended.xml"/><Relationship Id="rId606414780" Type="http://schemas.microsoft.com/office/2011/relationships/people" Target="people.xml"/><Relationship Id="rId24746aabb69216deb" Type="http://schemas.openxmlformats.org/officeDocument/2006/relationships/hyperlink" Target="https://gd.eppo.int/taxon/CERAFC/" TargetMode="External"/><Relationship Id="rId63386aabb69216e31" Type="http://schemas.openxmlformats.org/officeDocument/2006/relationships/hyperlink" Target="https://gd.eppo.int/taxon/CERAFC/categorization" TargetMode="External"/><Relationship Id="rId55626aabb6921972a" Type="http://schemas.openxmlformats.org/officeDocument/2006/relationships/hyperlink" Target="https://gd.eppo.int/taxon/CERAFC/photos" TargetMode="External"/><Relationship Id="rId23276aabb6921bdc5" Type="http://schemas.openxmlformats.org/officeDocument/2006/relationships/hyperlink" Target="https://v4.boldsystems.org/" TargetMode="External"/><Relationship Id="rId90496aabb6921be4a" Type="http://schemas.openxmlformats.org/officeDocument/2006/relationships/hyperlink" Target="https://doi.org/10.1007/978-3-319-24789-2_12" TargetMode="External"/><Relationship Id="rId89146aabb6921beb6" Type="http://schemas.openxmlformats.org/officeDocument/2006/relationships/hyperlink" Target="https://doi/org/10.3114/fuse.2023.11.09" TargetMode="External"/><Relationship Id="rId32216aabb6921bf48" Type="http://schemas.openxmlformats.org/officeDocument/2006/relationships/hyperlink" Target="https://onlinelibrary.wiley.com/doi/epdf/10.1111/epp.12159" TargetMode="External"/><Relationship Id="rId22336aabb6921bf7c" Type="http://schemas.openxmlformats.org/officeDocument/2006/relationships/hyperlink" Target="https://gd.eppo.int/standards/PM5/" TargetMode="External"/><Relationship Id="rId61546aabb6921bfce" Type="http://schemas.openxmlformats.org/officeDocument/2006/relationships/hyperlink" Target="https://gd.eppo.int/taxon/CERAFP" TargetMode="External"/><Relationship Id="rId51426aabb6921c02e" Type="http://schemas.openxmlformats.org/officeDocument/2006/relationships/hyperlink" Target="https://gd.eppo.int/taxon/CERAFC/documents" TargetMode="External"/><Relationship Id="rId41486aabb6921c080" Type="http://schemas.openxmlformats.org/officeDocument/2006/relationships/hyperlink" Target="https://www.forestresearch.gov.uk/tools-and-resources/fthr/pest-and-disease-resources/canker-stain-of-plane-ceratocystis-platani/" TargetMode="External"/><Relationship Id="rId59276aabb6921c133" Type="http://schemas.openxmlformats.org/officeDocument/2006/relationships/hyperlink" Target="https://doi.org/10.1094/PDIS-03-23-0464-PDN" TargetMode="External"/><Relationship Id="rId23306aabb6921c2ef" Type="http://schemas.openxmlformats.org/officeDocument/2006/relationships/hyperlink" Target="https://doi.org/10.1163/22941932-00000025" TargetMode="External"/><Relationship Id="rId75846aabb6921ccaa" Type="http://schemas.openxmlformats.org/officeDocument/2006/relationships/hyperlink" Target="https://www.researchgate.net/publication/257654295_Collaboration_of_wilt_pathogen_and_vector_beetle_successfully_induces_extensive_xylem_dysfunction_and_wilt_symptom" TargetMode="External"/><Relationship Id="rId57796aabb6921d068" Type="http://schemas.openxmlformats.org/officeDocument/2006/relationships/hyperlink" Target="https://doi.org/10.3186/jjphytopath.82.301" TargetMode="External"/><Relationship Id="rId17046aabb6921d1b2" Type="http://schemas.openxmlformats.org/officeDocument/2006/relationships/hyperlink" Target="https://www.ncbi.nlm.nih.gov/" TargetMode="External"/><Relationship Id="rId39126aabb6921d24e" Type="http://schemas.openxmlformats.org/officeDocument/2006/relationships/hyperlink" Target="https://krishi.icar.gov.in/jspui/bitstream/123456789/70260/1/popular%20art.cera.pdf" TargetMode="External"/><Relationship Id="rId61866aabb6921d472" Type="http://schemas.openxmlformats.org/officeDocument/2006/relationships/hyperlink" Target="https://doi.org/10.36253/phyto-12794" TargetMode="External"/><Relationship Id="rId84726aabb6921d54c" Type="http://schemas.openxmlformats.org/officeDocument/2006/relationships/hyperlink" Target="https://gd.eppo.int" TargetMode="External"/><Relationship Id="rId12156aabb6921d617" Type="http://schemas.openxmlformats.org/officeDocument/2006/relationships/hyperlink" Target="https://doi.org/10.1111/epp.70051" TargetMode="External"/><Relationship Id="rId43306aabb692195ed" Type="http://schemas.openxmlformats.org/officeDocument/2006/relationships/image" Target="media/imgrId43306aabb692195ed.jpg"/><Relationship Id="rId47896aabb6921aa12" Type="http://schemas.openxmlformats.org/officeDocument/2006/relationships/image" Target="media/imgrId47896aabb6921aa12.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