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Bretziella fagacearum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Bretziella fagacearum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(Bretz) Z.W. de Beer, Marincowitz, T.A. Duong &amp; M.J. Wingfield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Microascales: Ceratocystidaceae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fagacearum</w:t>
            </w:r>
            <w:r>
              <w:rPr>
                <w:rFonts w:ascii="Calibri" w:hAnsi="Calibri" w:eastAsia="Calibri" w:cs="Calibri"/>
                <w:color w:val="000000"/>
                <w:position w:val="-3"/>
                <w:sz w:val="22"/>
                <w:szCs w:val="22"/>
              </w:rPr>
              <w:t xml:space="preserve"> (Bretz) J. Hunt, </w:t>
            </w:r>
            <w:r>
              <w:rPr>
                <w:rFonts w:ascii="Calibri" w:hAnsi="Calibri" w:eastAsia="Calibri" w:cs="Calibri"/>
                <w:i/>
                <w:iCs/>
                <w:color w:val="000000"/>
                <w:position w:val="-3"/>
                <w:sz w:val="22"/>
                <w:szCs w:val="22"/>
              </w:rPr>
              <w:t xml:space="preserve">Chalara quercina</w:t>
            </w:r>
            <w:r>
              <w:rPr>
                <w:rFonts w:ascii="Calibri" w:hAnsi="Calibri" w:eastAsia="Calibri" w:cs="Calibri"/>
                <w:color w:val="000000"/>
                <w:position w:val="-3"/>
                <w:sz w:val="22"/>
                <w:szCs w:val="22"/>
              </w:rPr>
              <w:t xml:space="preserve"> B.W. Henry, </w:t>
            </w:r>
            <w:r>
              <w:rPr>
                <w:rFonts w:ascii="Calibri" w:hAnsi="Calibri" w:eastAsia="Calibri" w:cs="Calibri"/>
                <w:i/>
                <w:iCs/>
                <w:color w:val="000000"/>
                <w:position w:val="-3"/>
                <w:sz w:val="22"/>
                <w:szCs w:val="22"/>
              </w:rPr>
              <w:t xml:space="preserve">Endoconidiophora fagacearum</w:t>
            </w:r>
            <w:r>
              <w:rPr>
                <w:rFonts w:ascii="Calibri" w:hAnsi="Calibri" w:eastAsia="Calibri" w:cs="Calibri"/>
                <w:color w:val="000000"/>
                <w:position w:val="-3"/>
                <w:sz w:val="22"/>
                <w:szCs w:val="22"/>
              </w:rPr>
              <w:t xml:space="preserve"> Bretz, </w:t>
            </w:r>
            <w:r>
              <w:rPr>
                <w:rFonts w:ascii="Calibri" w:hAnsi="Calibri" w:eastAsia="Calibri" w:cs="Calibri"/>
                <w:i/>
                <w:iCs/>
                <w:color w:val="000000"/>
                <w:position w:val="-3"/>
                <w:sz w:val="22"/>
                <w:szCs w:val="22"/>
              </w:rPr>
              <w:t xml:space="preserve">Thielaviopsis quercina</w:t>
            </w:r>
            <w:r>
              <w:rPr>
                <w:rFonts w:ascii="Calibri" w:hAnsi="Calibri" w:eastAsia="Calibri" w:cs="Calibri"/>
                <w:color w:val="000000"/>
                <w:position w:val="-3"/>
                <w:sz w:val="22"/>
                <w:szCs w:val="22"/>
              </w:rPr>
              <w:t xml:space="preserve"> (B.W. Henry) A.E. Paulin, T.C. Harrington &amp; McNew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wilt, wilt of oak</w:t>
            </w:r>
            <w:hyperlink r:id="rId919966852706382b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864668527063832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CERAFA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948417" name="name15956685270638b07" descr="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jpg"/>
                          <pic:cNvPicPr/>
                        </pic:nvPicPr>
                        <pic:blipFill>
                          <a:blip r:embed="rId58086685270638b03" cstate="print"/>
                          <a:stretch>
                            <a:fillRect/>
                          </a:stretch>
                        </pic:blipFill>
                        <pic:spPr>
                          <a:xfrm>
                            <a:off x="0" y="0"/>
                            <a:ext cx="2160000" cy="1281600"/>
                          </a:xfrm>
                          <a:prstGeom prst="rect">
                            <a:avLst/>
                          </a:prstGeom>
                          <a:ln w="0">
                            <a:noFill/>
                          </a:ln>
                        </pic:spPr>
                      </pic:pic>
                    </a:graphicData>
                  </a:graphic>
                </wp:inline>
              </w:drawing>
            </w:r>
            <w:hyperlink r:id="rId67906685270638c8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 analyses supported the establishment of the monophyletic genus </w:t>
      </w:r>
      <w:r>
        <w:rPr>
          <w:rFonts w:ascii="Calibri" w:hAnsi="Calibri" w:eastAsia="Calibri" w:cs="Calibri"/>
          <w:i/>
          <w:iCs/>
          <w:color w:val="000000"/>
          <w:sz w:val="22"/>
          <w:szCs w:val="22"/>
        </w:rPr>
        <w:t xml:space="preserve">Bretziella</w:t>
      </w:r>
      <w:r>
        <w:rPr>
          <w:rFonts w:ascii="Calibri" w:hAnsi="Calibri" w:eastAsia="Calibri" w:cs="Calibri"/>
          <w:color w:val="000000"/>
          <w:sz w:val="22"/>
          <w:szCs w:val="22"/>
        </w:rPr>
        <w:t xml:space="preserve"> in the lineage of Ceratocystisdaceae to accommodate the oak wilt fungus due to its distinct differences from other genera in the family (de 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Formation of sporulating mats as mirror image structures on outer sapwood and inner phloem with pressure cushions required to open the bark is unique to this species among the species of Ceratocystidaceae; thus, further support these changes in taxonomy and nomenclature.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infects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(more than 30 species) and several species in other genera of the Fagaceae (e.g.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densiflora</w:t>
      </w:r>
      <w:r>
        <w:rPr>
          <w:rFonts w:ascii="Calibri" w:hAnsi="Calibri" w:eastAsia="Calibri" w:cs="Calibri"/>
          <w:color w:val="000000"/>
          <w:sz w:val="22"/>
          <w:szCs w:val="22"/>
        </w:rPr>
        <w:t xml:space="preserve">) based on documented natural infections and/or results of artificial inoculation studies. No North American oak is known to be immune. Red oaks (subgenus </w:t>
      </w:r>
      <w:r>
        <w:rPr>
          <w:rFonts w:ascii="Calibri" w:hAnsi="Calibri" w:eastAsia="Calibri" w:cs="Calibri"/>
          <w:i/>
          <w:iCs/>
          <w:color w:val="000000"/>
          <w:sz w:val="22"/>
          <w:szCs w:val="22"/>
        </w:rPr>
        <w:t xml:space="preserve">Lobatae</w:t>
      </w:r>
      <w:r>
        <w:rPr>
          <w:rFonts w:ascii="Calibri" w:hAnsi="Calibri" w:eastAsia="Calibri" w:cs="Calibri"/>
          <w:color w:val="000000"/>
          <w:sz w:val="22"/>
          <w:szCs w:val="22"/>
        </w:rPr>
        <w:t xml:space="preserve">) are highly susceptible and may die in as few as 4 to 6 weeks or early in the subsequent growing season. American white oaks (subgenus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are more resistant to disease development than red oaks. Moderately resistant oak species die over a period of 2 to 4 years several years while a highly resistant species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may die over many years or recover. To assess the susceptibility of European oaks, hundreds of European white oaks were artificially inoculated with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West Virginia and South Carolina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All individual oaks appeared susceptible regardless of the species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pubescens</w:t>
      </w:r>
      <w:r>
        <w:rPr>
          <w:rFonts w:ascii="Calibri" w:hAnsi="Calibri" w:eastAsia="Calibri" w:cs="Calibri"/>
          <w:color w:val="000000"/>
          <w:sz w:val="22"/>
          <w:szCs w:val="22"/>
        </w:rPr>
        <w:t xml:space="preserve">) and died within the year following inoculation. Foliar symptoms and subsequent tree death were equally observed after branch or main stem inoculations. Root graft transmission of the fungus to nearby trees also became obvious within a few weeks and led to the death of these trees during the subsequent year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Pinon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caused wilt and mortality has occurred in plantations of </w:t>
      </w:r>
      <w:r>
        <w:rPr>
          <w:rFonts w:ascii="Calibri" w:hAnsi="Calibri" w:eastAsia="Calibri" w:cs="Calibri"/>
          <w:i/>
          <w:iCs/>
          <w:color w:val="000000"/>
          <w:sz w:val="22"/>
          <w:szCs w:val="22"/>
        </w:rPr>
        <w:t xml:space="preserve">C. mollissima </w:t>
      </w:r>
      <w:r>
        <w:rPr>
          <w:rFonts w:ascii="Calibri" w:hAnsi="Calibri" w:eastAsia="Calibri" w:cs="Calibri"/>
          <w:color w:val="000000"/>
          <w:sz w:val="22"/>
          <w:szCs w:val="22"/>
        </w:rPr>
        <w:t xml:space="preserve">(Missouri and Ohio USA).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Chrysolepis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garryana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imbricaria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phellos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shumardii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wislizenii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unknown. Evidence for its status as either a native or an introduced pathogen have been considered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For many years, the fungus was known only from a number of states in the eastern United States, but in June 2023 it was found for the first time in Ontario (Canada) where official control measures were taken (NAPPO, 2023). At present, the fungus has not spread to other continents.</w:t>
      </w:r>
    </w:p>
    <w:p>
      <w:r>
        <w:drawing>
          <wp:inline distT="0" distB="0" distL="0" distR="0">
            <wp:extent cx="6120000" cy="3067200"/>
            <wp:docPr id="91807393" name="name7263668527063a1d4" descr="CERA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FA_distribution_map.jpg"/>
                    <pic:cNvPicPr/>
                  </pic:nvPicPr>
                  <pic:blipFill>
                    <a:blip r:embed="rId8682668527063a1d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Illinois, Indiana, Iowa, Kansas, Kentucky, Louisiana, Maryland, Michigan, Minnesota, Mississippi, Missouri, Nebraska, New York, North Carolina, Ohio, Oklahoma, Pennsylvania, South Carolina, South Dakota,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a classic vascular wilt pathogen. On red oak species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Lobatae</w:t>
      </w:r>
      <w:r>
        <w:rPr>
          <w:rFonts w:ascii="Calibri" w:hAnsi="Calibri" w:eastAsia="Calibri" w:cs="Calibri"/>
          <w:color w:val="000000"/>
          <w:sz w:val="22"/>
          <w:szCs w:val="22"/>
        </w:rPr>
        <w:t xml:space="preserve">), the fungus is confined to the vessels of the outermost xylem ring of the tree until it becomes moribund. Passive movement of spores within the transpiration stream usually results in the fungus being transported to all parts of a red oak. Upon complete crown wilt, the fungus hyphae grow radially outward to colonize the outer sapwood and inner bark and radially inward to colonize deeper sapwood. Sporulating mats commonly form in the cambium region of red oaks. Rectangular-shaped asexual spores are produced by endoconidiophores on the mycelial mat. Dense, sterile pads also form on the mats and the pressure exerted by opposing pads on well-developed mats force the bark to crack open. Volatiles produced by the fungus attract insects that access the mats through the ruptured bark. Sexual reproduction of the fungus is facilitated by insects that carry conidia of the opposite mating type. Sexual spores are exuded in a gelatinous matrix from the resulting perithecia. Mat production may be limited by high summer temperatures and colonization by competing fungi. Once formed, mat deterioration is hastened by higher temperatures, colonization by other microorganisms, and activity of larvae from insects utilizing mats for brood development. The pathogen usually dies in the above-ground parts of a colonized tree within one year of wilting and is quickly replaced by saprobes. Survival in the root system may be more prolonged, especially if the roots are grafted to those of neighboring trees.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Internal spread of the pathogen in water-conducting xylem of American white oak species is more restricted than in red oaks. Xylem vessel anatomy (e.g. smaller diameters, thicker walls) and natural propensity of some white oak species to produce tyloses (balloon-like structures that plug vessels) contribute to limited pathogen spread. Scattered branch wilt in white oaks (e.g. </w:t>
      </w:r>
      <w:r>
        <w:rPr>
          <w:rFonts w:ascii="Calibri" w:hAnsi="Calibri" w:eastAsia="Calibri" w:cs="Calibri"/>
          <w:i/>
          <w:iCs/>
          <w:color w:val="000000"/>
          <w:sz w:val="22"/>
          <w:szCs w:val="22"/>
        </w:rPr>
        <w:t xml:space="preserve">Q.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virginiana</w:t>
      </w:r>
      <w:r>
        <w:rPr>
          <w:rFonts w:ascii="Calibri" w:hAnsi="Calibri" w:eastAsia="Calibri" w:cs="Calibri"/>
          <w:color w:val="000000"/>
          <w:sz w:val="22"/>
          <w:szCs w:val="22"/>
        </w:rPr>
        <w:t xml:space="preserve">) that exhibit moderate resistance leads to tree death over several years while ‘highly’ resistant species (e.g.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exhibit symptoms typical of slow crown decline that occurs over many years. In the latter case, infected annual rings can be buried under new xylem and are considered an unlikely source of inoculum. Furthermore, sporulating mats rarely form on such species. Interestingly, European white oaks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pubescens</w:t>
      </w:r>
      <w:r>
        <w:rPr>
          <w:rFonts w:ascii="Calibri" w:hAnsi="Calibri" w:eastAsia="Calibri" w:cs="Calibri"/>
          <w:color w:val="000000"/>
          <w:sz w:val="22"/>
          <w:szCs w:val="22"/>
        </w:rPr>
        <w:t xml:space="preserve">) were found to be as susceptible to oak wilt development as North American red oak species. Reasons for this difference have not been investigated. For a review of many aspects of disease biology, see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Appel (1995).</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means of pathogen spread among trees occurs below-ground. In many parts of its range, the fungus spreads via functional unions of grafted roots. Root grafting is known to occur in numerous oak species and is also common in oak forests in Europe. In the USA, frequency of inter-tree root grafting varies by oak species, site factors (e.g. soil texture, topography) and geographic region (Juzwik, 2009). In Wisconsin, the highest frequencies (over 70%) of intra-specific grafting occurs in </w:t>
      </w:r>
      <w:r>
        <w:rPr>
          <w:rFonts w:ascii="Calibri" w:hAnsi="Calibri" w:eastAsia="Calibri" w:cs="Calibri"/>
          <w:i/>
          <w:iCs/>
          <w:color w:val="000000"/>
          <w:sz w:val="22"/>
          <w:szCs w:val="22"/>
        </w:rPr>
        <w:t xml:space="preserve">Q. ellipsoidalis</w:t>
      </w:r>
      <w:r>
        <w:rPr>
          <w:rFonts w:ascii="Calibri" w:hAnsi="Calibri" w:eastAsia="Calibri" w:cs="Calibri"/>
          <w:color w:val="000000"/>
          <w:sz w:val="22"/>
          <w:szCs w:val="22"/>
        </w:rPr>
        <w:t xml:space="preserve"> and the lowest (5%) in </w:t>
      </w:r>
      <w:r>
        <w:rPr>
          <w:rFonts w:ascii="Calibri" w:hAnsi="Calibri" w:eastAsia="Calibri" w:cs="Calibri"/>
          <w:i/>
          <w:iCs/>
          <w:color w:val="000000"/>
          <w:sz w:val="22"/>
          <w:szCs w:val="22"/>
        </w:rPr>
        <w:t xml:space="preserve">Q. macrocarpa</w:t>
      </w:r>
      <w:r>
        <w:rPr>
          <w:rFonts w:ascii="Calibri" w:hAnsi="Calibri" w:eastAsia="Calibri" w:cs="Calibri"/>
          <w:color w:val="000000"/>
          <w:sz w:val="22"/>
          <w:szCs w:val="22"/>
        </w:rPr>
        <w:t xml:space="preserve"> (Parmeter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Spores move passively in the transpiration stream of the xylem from wilted oaks to actively transpiring, healthy oaks leading to enlargement of oak wilt centres. Highest rates of annual radial expansion range from 7.6 m/year on deep sandy soils in Minnesota to 12 m/year on sandy soils in Michigan (Bruhn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clonal production of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in Texas results in shared root systems that can extend over multiple hectares. Following pathogen introduction, its rapid spread through roots leads to disease centre expansions of 11-16 m/year (Appel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spread of the pathogen from diseased to healthy trees over short to long distances is mediated by insect vectors. Insect transmission is the way new oak wilt foci are established in the USA. Nitidulid beetles and oak bark beetles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 Curculionidae: Scolytinae) are considered the most important vectors; however, their relative importance varies by geographic region (Juzwik, 2009). Between May and July in Minnesota,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-contaminated </w:t>
      </w:r>
      <w:r>
        <w:rPr>
          <w:rFonts w:ascii="Calibri" w:hAnsi="Calibri" w:eastAsia="Calibri" w:cs="Calibri"/>
          <w:i/>
          <w:iCs/>
          <w:color w:val="000000"/>
          <w:sz w:val="22"/>
          <w:szCs w:val="22"/>
        </w:rPr>
        <w:t xml:space="preserve">Colopterus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truncatus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Carpophilus sayi</w:t>
      </w:r>
      <w:r>
        <w:rPr>
          <w:rFonts w:ascii="Calibri" w:hAnsi="Calibri" w:eastAsia="Calibri" w:cs="Calibri"/>
          <w:color w:val="000000"/>
          <w:sz w:val="22"/>
          <w:szCs w:val="22"/>
        </w:rPr>
        <w:t xml:space="preserve"> (Nitidulidae) were found on 24 to 33% and 4 to 79% of the species, respectively, visiting fresh wounds on healthy oaks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These vectors were found to acquire viable pathogen spores from fungal mats in an earlier study (Juzwik and French, 1983). The frequency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spore dissemination by oak bark beetles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is quite variable. Although up to 30% of beetles emerging from wilted red oaks may carry viable spores, a more typical beetle contamination rate is between 0.4 and 2.5%. The frequencies of fungus-contaminated, free-flying (= dispersing)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 oak wilt centres in Minnesota during May ranged from 0.4 to 1.3%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is widespread in Europe and is considered a potential vector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(Donganlar and Schopf, 1984; Yates, 1984). This species is known to feed on many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and is known to transmit two fungal pathogens (</w:t>
      </w:r>
      <w:r>
        <w:rPr>
          <w:rFonts w:ascii="Calibri" w:hAnsi="Calibri" w:eastAsia="Calibri" w:cs="Calibri"/>
          <w:i/>
          <w:iCs/>
          <w:color w:val="000000"/>
          <w:sz w:val="22"/>
          <w:szCs w:val="22"/>
        </w:rPr>
        <w:t xml:space="preserve">Ophiostoma roboris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Ceratocystis piceae</w:t>
      </w:r>
      <w:r>
        <w:rPr>
          <w:rFonts w:ascii="Calibri" w:hAnsi="Calibri" w:eastAsia="Calibri" w:cs="Calibri"/>
          <w:color w:val="000000"/>
          <w:sz w:val="22"/>
          <w:szCs w:val="22"/>
        </w:rPr>
        <w:t xml:space="preserve">) associated with oak decline in Europe (Eisenhauer, 1989; Srutka,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red oaks, the first appearance of foliar wilt may occur anytime from mid-spring to late summer. Early season wilt is indicative of previous season infection of the tree via root-graft spread. Early to late-summer wilting results from current season infections associated with insect transmission to wounds or via root grafts. Individual leaves exhibit bronzing or yellowing beginning at leaf margins and apex and progressing to mid-rib and leaf base. Such leaves are often cast and found on the ground near a wilting tree, although some turn brown and remain on a completely wilted tree. </w:t>
      </w:r>
    </w:p>
    <w:p>
      <w:pPr>
        <w:widowControl w:val="on"/>
        <w:pBdr/>
        <w:spacing w:before="220" w:after="220" w:line="240" w:lineRule="auto"/>
        <w:ind w:left="0" w:right="0"/>
        <w:jc w:val="both"/>
      </w:pPr>
      <w:r>
        <w:rPr>
          <w:rFonts w:ascii="Calibri" w:hAnsi="Calibri" w:eastAsia="Calibri" w:cs="Calibri"/>
          <w:color w:val="000000"/>
          <w:sz w:val="22"/>
          <w:szCs w:val="22"/>
        </w:rPr>
        <w:t xml:space="preserve">In white oak species, leaf symptoms are more variable. Reddish-brown to brown discoloration start at the leaf margin and apex but are often limited to one side of the mid-rib. Veinal chlorosis and necrosis of the evergreen live oak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are unique and diagnostic (Appel, 1986). Diseased live oaks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virginiana</w:t>
      </w:r>
      <w:r>
        <w:rPr>
          <w:rFonts w:ascii="Calibri" w:hAnsi="Calibri" w:eastAsia="Calibri" w:cs="Calibri"/>
          <w:color w:val="000000"/>
          <w:sz w:val="22"/>
          <w:szCs w:val="22"/>
        </w:rPr>
        <w:t xml:space="preserve">) in Texas usually die within 3 to 8 months after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Vascular staining in the xylem of branches and main stem of moribund oaks is a less reliable symptom compared to the foliage. Diffuse, bluish-grey to dark-brown discoloration in the outer sapwood occurs in red oaks. More pronounced dark brown to blackish streaks in the outer xylem are found when bark is removed from branches and stems of at least some white oak species. Discoloration is also often evident in red and white oak species in cross-sections and may appear as discrete brown spots or as coalescing brown spots in a ring in the outermost annual growth increment of recently infected trees. In white oak species, a new uninfected growing increment may be produced leaving discrete stained spots “buried” in older growth increments.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Sporulating mats are the definitive sign of the oak wilt pathogen in recently wilted trees. These fruity-smelling mats occur most commonly on red oak species and may be visually detected on vertical bark cracks several months after complete tree wilt. Mats are seldom to never formed on species in the white oak group.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produces rectangular-shaped (4-9 x 2-3 µm) endoconidia on endoconidiophores when grown on 2% yeast malt, lactic acid-amended potato dextrose agar, or oak wilt identification agar (per Barnett, 1953). Mycelia are fluffy, pale to dark grey on 2% yeast malt agar and emit a characteristic fruity odour. With mated (A and B types) cultures, perithecia appear in 7-10 days and are black flask-shaped structures with a spheroidal base and an erect beak (250-450 µm long). Ascospores exuded in a sticky creamy-white mass from the tip are hyaline, one celled, and elliptical in shape (5-10 x 2-3 µm in size). For further information, see DeBeer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isolated from xylem chips taken from outermost sapwood of branches showing active disease symptoms and plated on agar media (e.g. malt, acidified potato dextrose agar) (Pokorny, 1999). Isolation is also possible from the outermost xylem annual ring of wedge samples cut from main stem of recently wilted red oak species in late autumn through the subsequent spring. Isolation is most successful from chips obtained from sapwood with characteristic vascular staining. Isolation on oak wilt identification agar (Barnett, 1953) is useful for tests of logs sampled in winter. Viable propagules of the pathogen on insect vectors can be detected by plating sonicated and diluted suspensions on agar media. The latter protocol was used to determine peak dispersal periods of two nitidulid beetle vector species in Minnesota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during the development of a degree day model for emergence of the same insect species carrying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Wisconsin (Jagemann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DNA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detected in wood and on insect vectors using molecular methods. A nested PCR technique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developed for phytosanitary inspection purposes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was modified for use by diagnostic plant disease laboratories (Yang and Juzwik, 2017).  The method was also used to evaluate presence of viable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harvested oak logs before and after heat or chemical fumigation treatment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Real-time PCR protocols utilizing rDNA ITS region have also been used to detect the fungus in wood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Yang and Juzwik, 2017). Specific TaqMan real-time PCR detection assays developed for multiple target pathogens demonstrated rapid and reliable detection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sapwood samples and on nitidulid beetles obtained from oak wilt mats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isolated from infected wood tissue can be identified in culture based on specific morphological characteristics following the EPPO diagnostic protocols for regulated pests PM 7/1 (EPPO, 2001) which is currently under revision, and the revised version will include molecular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noted under Biology,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normally spreads slowly (over one to several years) between a diseased and a nearby healthy tree whose root systems are connected by grafts. However, in central and northern US stands with a high red oak component or in Texas with clonally propagated live oak, expansion of disease centres often occur outwardly in a radial fashion leading to large pockets of dead trees over time. Insect transmission over short distances can lead to multiple centers in a forested land parcel that may coalesce. Wind-directed spread of dispersing, pathogen-laden insect vectors may lead to new disease centers in disjunct land parcels up to 600 m (Shelstad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or potentially greater distances (Bowen and Merrill, 1982) from the nearest existing centre. In the USA, human-aided spread of diseased oak material with sporulating mats infested with insect vectors is suspected to be the pathway implicated for several major extensions of the oak wilt range, e.g. in north central states and in New York (Jensen-Tracy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main pathways for introducing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into new areas are international movements of wood (with and without bark), as well as of isolated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and other potential hosts. Plants for planting and cut branches are considered to be potential pathways, although it is noted that there are no reports of infections on oak seedlings or sapling in US nurseries (EFSA, 2018). There is no evidence that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transmitted via acorns.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currently considered to exist in at least 830 counties of 24 US states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significant losses are only occurring in limited portions of the disease range. For example, even though the pathogen is reported in all but two counties in West Virginia, less than one tree per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oak forest is killed by the pathogen each year. In contrast, tens of thousands of oak trees (primarily red oak species) die in portions of Michigan, Minnesota, Texas, and Wisconsin each year where epidemics are on-going. Economic losses such as reduced production of timber and decreased property values, are associated with the large numbers of trees that die each year in impacted areas. However, salvage of timber from forest stands affected by the disease occurs for domestic production of wood products. Proceeds from sale of salvaged timber in oak wilt control zones usually covers the cost of treatments. Arguably, the greatest negative economic impact has been in urban and community forests due to tree removal and replacement costs of oaks of high amenity value. For additional information, see Haight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Davies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are available and carried out in both rural and urban forests in the USA, particularly in areas where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causing significant losses or has the potential to do so. Several mechanical methods that sever roots are available for disrupting pathogen spread through connected root systems, e.g. vibratory plow, excavation, rock saw. Herbicides applied to encircling chainsaw cuts on lower stems of trees is used to kill all oaks within root-grafting distance of diseased oaks in some rural forests where heavy, large equipment cannot be used or is not desired. Removal of red oaks prior to sporulating mat formation (sanitation), avoidance of harvesting or pruning oaks during high-risk season and preventing movement of oak firewood are primary methods used to prevent insect transmission. High-risk season is the time period during which the following co-occur: a) large diameter vessel formation (= earlywood), b) a peak population period for free-flying, primary vector species, and c) a peak period of mat production. The time of this high-risk period varies by latitude. For trees of high amenity value, e.g. urban and community trees, systemic fungicides can suppress disease development but cannot eradicate the pathogen (Blaedow and Juzwik</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2010). The greatest success is obtained with an integrated management approach (i.e. use of two or more tools). Oak wilt has been managed successfully in localities of the USA where consistent and sustained disease control programs exist. Recent reviews include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Koch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Oak trees are widely distributed across the EPPO region, although excluding northern parts of Scandinavia and Russia. They are of significant economic and ecological importance, as well of high symbolic value in many countries of the EPPO region.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constitutes a threat to the EPPO region because of the susceptibility of the major European oak species and their potential for root graft transmission of the disease. The white oaks,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suber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ilex</w:t>
      </w:r>
      <w:r>
        <w:rPr>
          <w:rFonts w:ascii="Calibri" w:hAnsi="Calibri" w:eastAsia="Calibri" w:cs="Calibri"/>
          <w:color w:val="000000"/>
          <w:sz w:val="22"/>
          <w:szCs w:val="22"/>
        </w:rPr>
        <w:t xml:space="preserve"> are very important forest and amenity trees in the EPPO region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North American red oaks such as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have been extensively planted in some countries (e.g. in France). The current distribution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North America correspond to climatic areas which largely overlap with the distribution of native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in Europe (EFSA, 2018). Therefore, climatic conditions prevailing in a large part of the EPPO region will not be a limiting factor for the establishment of the pathogen if it was to be introduced. The occurrence in the EPPO region of insects which appear to have the potential to be highly effective vectors, e.g. the European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(Doganlar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also adds to the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EPPO’s recommendations to prevent the introduction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are detailed in PM 8/5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(EPPO, 2017). For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(including wood chips, and other wood residues) from the USA, several options are proposed (alone or in combination): pest-free area; debarking, treatments (heat, fumigation), and restrictions on transportation of wood to avoid possible infestations by insect vectors. A pest-free area is also recommended for imports of plants for planting and cut branches. Seeds should come from a pest-free area or should have undergone a hot water treatment. Guidance on how to inspect imported consignments of wood chips, hogwood and bark is provided in the EPPO Standard PM 3/87 (EPPO, 2019). Concerning fumigation treatments, recent studies have identified sulphuryl fluoride as a possible replacement for methyl bromide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use of vacuum and steam process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EFSA, 2020). The possibility of fumigation or non-degrading heat treatment is principally relevant for red oak logs with bark attached, intended for the veneering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 (2006) Flight periodicities, phoresy rates, and colonization characteristics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Moon RD (2005) Seasonal dispersal of the oak wilt fungus by </w:t>
      </w:r>
      <w:r>
        <w:rPr>
          <w:rFonts w:ascii="Calibri" w:hAnsi="Calibri" w:eastAsia="Calibri" w:cs="Calibri"/>
          <w:i/>
          <w:iCs/>
          <w:color w:val="000000"/>
          <w:sz w:val="22"/>
          <w:szCs w:val="22"/>
        </w:rPr>
        <w:t xml:space="preserve">Colopterus truncatus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Carpophilus sayi</w:t>
      </w:r>
      <w:r>
        <w:rPr>
          <w:rFonts w:ascii="Calibri" w:hAnsi="Calibri" w:eastAsia="Calibri" w:cs="Calibri"/>
          <w:color w:val="000000"/>
          <w:sz w:val="22"/>
          <w:szCs w:val="22"/>
        </w:rPr>
        <w:t xml:space="preserve">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(10), 1067-1076.</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(1995) The oak wilt enigma: Perspectives from the Texas epidemic.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103-118.</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Maggio RC, Nelson EL &amp; Jeger MJ (1989) Measurement of expanding oak wilt centers in live oak.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1318-1322.</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(1986) Recognition of oak wilt in live oak.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213-218.</w:t>
      </w:r>
    </w:p>
    <w:p>
      <w:pPr>
        <w:widowControl w:val="on"/>
        <w:pBdr/>
        <w:spacing w:before="220" w:after="220" w:line="240" w:lineRule="auto"/>
        <w:ind w:left="0" w:right="0"/>
        <w:jc w:val="left"/>
      </w:pPr>
      <w:r>
        <w:rPr>
          <w:rFonts w:ascii="Calibri" w:hAnsi="Calibri" w:eastAsia="Calibri" w:cs="Calibri"/>
          <w:color w:val="000000"/>
          <w:sz w:val="22"/>
          <w:szCs w:val="22"/>
        </w:rPr>
        <w:t xml:space="preserve">Barnett HL (1953) Isolation and identification of the oak wilt fungus. W. V. Exp. Sta. Bull. 359T. 15 pp. </w:t>
      </w:r>
    </w:p>
    <w:p>
      <w:pPr>
        <w:widowControl w:val="on"/>
        <w:pBdr/>
        <w:spacing w:before="220" w:after="220" w:line="240" w:lineRule="auto"/>
        <w:ind w:left="0" w:right="0"/>
        <w:jc w:val="left"/>
      </w:pPr>
      <w:r>
        <w:rPr>
          <w:rFonts w:ascii="Calibri" w:hAnsi="Calibri" w:eastAsia="Calibri" w:cs="Calibri"/>
          <w:color w:val="000000"/>
          <w:sz w:val="22"/>
          <w:szCs w:val="22"/>
        </w:rPr>
        <w:t xml:space="preserve">Blaedow R &amp; Juzwik J (2010) Propiconazole distribution and effects on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survival in roots of treated red oaks.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979-985.</w:t>
      </w:r>
    </w:p>
    <w:p>
      <w:pPr>
        <w:widowControl w:val="on"/>
        <w:pBdr/>
        <w:spacing w:before="220" w:after="220" w:line="240" w:lineRule="auto"/>
        <w:ind w:left="0" w:right="0"/>
        <w:jc w:val="left"/>
      </w:pPr>
      <w:r>
        <w:rPr>
          <w:rFonts w:ascii="Calibri" w:hAnsi="Calibri" w:eastAsia="Calibri" w:cs="Calibri"/>
          <w:color w:val="000000"/>
          <w:sz w:val="22"/>
          <w:szCs w:val="22"/>
        </w:rPr>
        <w:t xml:space="preserve">Bowen K &amp; Merrill WC (1982) Oak wilt foci related to ridge-bearing aspects in Pennsylvania.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137-139.</w:t>
      </w:r>
    </w:p>
    <w:p>
      <w:pPr>
        <w:widowControl w:val="on"/>
        <w:pBdr/>
        <w:spacing w:before="220" w:after="220" w:line="240" w:lineRule="auto"/>
        <w:ind w:left="0" w:right="0"/>
        <w:jc w:val="left"/>
      </w:pPr>
      <w:r>
        <w:rPr>
          <w:rFonts w:ascii="Calibri" w:hAnsi="Calibri" w:eastAsia="Calibri" w:cs="Calibri"/>
          <w:color w:val="000000"/>
          <w:sz w:val="22"/>
          <w:szCs w:val="22"/>
        </w:rPr>
        <w:t xml:space="preserve">Bruhn JN, Pickens JB &amp; Stanfield DB (1991) Probit analysis of oak wilt transmission through root grafts in red oak stands.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28-44.</w:t>
      </w:r>
    </w:p>
    <w:p>
      <w:pPr>
        <w:widowControl w:val="on"/>
        <w:pBdr/>
        <w:spacing w:before="220" w:after="220" w:line="240" w:lineRule="auto"/>
        <w:ind w:left="0" w:right="0"/>
        <w:jc w:val="left"/>
      </w:pPr>
      <w:r>
        <w:rPr>
          <w:rFonts w:ascii="Calibri" w:hAnsi="Calibri" w:eastAsia="Calibri" w:cs="Calibri"/>
          <w:color w:val="000000"/>
          <w:sz w:val="22"/>
          <w:szCs w:val="22"/>
        </w:rPr>
        <w:t xml:space="preserve">Davies CS (1992) Environmental management of oak wilt disease in central Texas.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323-333.</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ZW, Marincowitz S, Duong TZ &amp; Wingfield MJ (2017) </w:t>
      </w:r>
      <w:r>
        <w:rPr>
          <w:rFonts w:ascii="Calibri" w:hAnsi="Calibri" w:eastAsia="Calibri" w:cs="Calibri"/>
          <w:i/>
          <w:iCs/>
          <w:color w:val="000000"/>
          <w:sz w:val="22"/>
          <w:szCs w:val="22"/>
        </w:rPr>
        <w:t xml:space="preserve">Bretziella</w:t>
      </w:r>
      <w:r>
        <w:rPr>
          <w:rFonts w:ascii="Calibri" w:hAnsi="Calibri" w:eastAsia="Calibri" w:cs="Calibri"/>
          <w:color w:val="000000"/>
          <w:sz w:val="22"/>
          <w:szCs w:val="22"/>
        </w:rPr>
        <w:t xml:space="preserve">, a new genus to accommodate the oak wilt fungus,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(Microascales, Ascomycota). </w:t>
      </w:r>
      <w:r>
        <w:rPr>
          <w:rFonts w:ascii="Calibri" w:hAnsi="Calibri" w:eastAsia="Calibri" w:cs="Calibri"/>
          <w:i/>
          <w:iCs/>
          <w:color w:val="000000"/>
          <w:sz w:val="22"/>
          <w:szCs w:val="22"/>
        </w:rPr>
        <w:t xml:space="preserve">MycoKeys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Doganlar M, Schopf R &amp; Bombosch S (1984) The occurrence of potential vectors of oak wilt disease in Southern Lower Saxony (Central Europe). </w:t>
      </w:r>
      <w:r>
        <w:rPr>
          <w:rFonts w:ascii="Calibri" w:hAnsi="Calibri" w:eastAsia="Calibri" w:cs="Calibri"/>
          <w:i/>
          <w:iCs/>
          <w:color w:val="000000"/>
          <w:sz w:val="22"/>
          <w:szCs w:val="22"/>
        </w:rPr>
        <w:t xml:space="preserve">Entomologia Generalis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35-46.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PLH Panel. Jeger M, Bragard C, Caffier D, Candresse T, Chatzivassiliou E, Dehnen‐Schmutz K, Gilioli G, Grégoire JC, Jaques Miret JA, MacLeod A, Navajas Navarro M, Niere B, Parnell S, Potting R, Rafoss T, Rossi V, Van Bruggen A, Van der Werf W, West J, Winter S, Boberg J, Gonthier P &amp; Pautasso M.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e05185, 30 pp. </w:t>
      </w:r>
      <w:hyperlink r:id="rId4374668527063b9e5"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PLH Panel (EFSA Panel on Plant Health), Bragard C, Dehnen-Schmutz K, Di Serio F, Jacques M-A, Jaques Miret JA, Justesen AF, MacLeod A, Magnusson CS, Milonas P, Navas-Cortes JA, Parnell S, Potting R, Reignault PL, Thulke H-H, van der Werf W, Vicent Civera A, Yuen J, Zappal_a L, Battisti A, Douma JC, Rigling D, Mosbach-Schulz O, Stancanelli G, Tramontini S &amp; Gonthier P. Scientific Opinion on the commodity risk assessment of oak logs with bark from the US for the oak wilt pathogen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under an integrated systems approach.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(12), 6352, 67 pp. </w:t>
      </w:r>
      <w:hyperlink r:id="rId5694668527063ba81" w:history="1">
        <w:r>
          <w:rPr>
            <w:rFonts w:ascii="Calibri" w:hAnsi="Calibri" w:eastAsia="Calibri" w:cs="Calibri"/>
            <w:color w:val="0000CC"/>
            <w:sz w:val="22"/>
            <w:szCs w:val="22"/>
            <w:u w:val="single"/>
          </w:rPr>
          <w:t xml:space="preserve">https://doi.org/10.2903/j.efsa.2020.6352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Eisenhauer DR (1989) Investigations towards improving the ecological stability of oak stands in the northeastern foothills of the Harz Mountains. </w:t>
      </w:r>
      <w:r>
        <w:rPr>
          <w:rFonts w:ascii="Calibri" w:hAnsi="Calibri" w:eastAsia="Calibri" w:cs="Calibri"/>
          <w:i/>
          <w:iCs/>
          <w:color w:val="000000"/>
          <w:sz w:val="22"/>
          <w:szCs w:val="22"/>
        </w:rPr>
        <w:t xml:space="preserve">Beiträge für die Forstwirtschaft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55-62.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EPPO Standards. Diagnostics. PM 7/1(1) </w:t>
      </w:r>
      <w:r>
        <w:rPr>
          <w:rFonts w:ascii="Calibri" w:hAnsi="Calibri" w:eastAsia="Calibri" w:cs="Calibri"/>
          <w:i/>
          <w:iCs/>
          <w:color w:val="000000"/>
          <w:sz w:val="22"/>
          <w:szCs w:val="22"/>
        </w:rPr>
        <w:t xml:space="preserve">Ceratocystis fagacearum.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(1), 41-44.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PM8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Phytosanitary procedures. PM 3/87(1)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JN, Liese W &amp; Pinon J (1984) Oak wilt for Europe? </w:t>
      </w:r>
      <w:r>
        <w:rPr>
          <w:rFonts w:ascii="Calibri" w:hAnsi="Calibri" w:eastAsia="Calibri" w:cs="Calibri"/>
          <w:i/>
          <w:iCs/>
          <w:color w:val="000000"/>
          <w:sz w:val="22"/>
          <w:szCs w:val="22"/>
        </w:rPr>
        <w:t xml:space="preserve">Outlook 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Haight RG, Homans RR, Horie T, Mehta SV, Smith DJ &amp; Venette RC (2011) Assessing the cost of an invasive forest pathogen: A case study with oak wilt.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506-517.</w:t>
      </w:r>
    </w:p>
    <w:p>
      <w:pPr>
        <w:widowControl w:val="on"/>
        <w:pBdr/>
        <w:spacing w:before="220" w:after="220" w:line="240" w:lineRule="auto"/>
        <w:ind w:left="0" w:right="0"/>
        <w:jc w:val="left"/>
      </w:pPr>
      <w:r>
        <w:rPr>
          <w:rFonts w:ascii="Calibri" w:hAnsi="Calibri" w:eastAsia="Calibri" w:cs="Calibri"/>
          <w:color w:val="000000"/>
          <w:sz w:val="22"/>
          <w:szCs w:val="22"/>
        </w:rPr>
        <w:t xml:space="preserve">Jagemann SM., Juzwik J, Tobin PC &amp; Raffa KF (2018) Seasonal and regional distributions, degree-day models, and phoresy rates of the major sap beetle (Coleoptera: Nitidulidae) vectors of the oak wilt fungus,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in Wisconsin.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1152-1164.</w:t>
      </w:r>
    </w:p>
    <w:p>
      <w:pPr>
        <w:widowControl w:val="on"/>
        <w:pBdr/>
        <w:spacing w:before="220" w:after="220" w:line="240" w:lineRule="auto"/>
        <w:ind w:left="0" w:right="0"/>
        <w:jc w:val="left"/>
      </w:pPr>
      <w:r>
        <w:rPr>
          <w:rFonts w:ascii="Calibri" w:hAnsi="Calibri" w:eastAsia="Calibri" w:cs="Calibri"/>
          <w:color w:val="000000"/>
          <w:sz w:val="22"/>
          <w:szCs w:val="22"/>
        </w:rPr>
        <w:t xml:space="preserve">Jensen-Tracy S, Kenaley S, Hudler G, Harrington T &amp; Logue C (2009) First report of the oak wilt fungus,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in New York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428.</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Yang A, Chen Z, White MS, Shugrue S &amp; Mack R (2019) Vacuum steam treatment eradicates viable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from logs cut from wilted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276-283.</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(8), 888-900.</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(2009) Epidemiology and occurrence of oak wilt in Midwestern, middle, and south Atlantic states. In: Appel DN and Billings RF (eds.). Proceedings of the National Oak Wilt Symposium, 2007. USDA Forest Service, Forest Health Protection, Austin, USA, pp. 55-66.</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Harrington TC, MacDonald WL &amp; Appel DN (2008) The origin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the oak wilt fungus.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13-26.</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Skalbeck TC &amp; Neuman MF (2004) Sap beetle species (Coleoptera: Nitidulidae) visiting fresh wounds on healthy oaks during spring in Minnesota.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757-764.</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&amp; French DW (1983)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piceae</w:t>
      </w:r>
      <w:r>
        <w:rPr>
          <w:rFonts w:ascii="Calibri" w:hAnsi="Calibri" w:eastAsia="Calibri" w:cs="Calibri"/>
          <w:color w:val="000000"/>
          <w:sz w:val="22"/>
          <w:szCs w:val="22"/>
        </w:rPr>
        <w:t xml:space="preserve"> on the surfaces of free-flying and fungus mat-inhabiting nitidulids.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1164-1168.</w:t>
      </w:r>
    </w:p>
    <w:p>
      <w:pPr>
        <w:widowControl w:val="on"/>
        <w:pBdr/>
        <w:spacing w:before="220" w:after="220" w:line="240" w:lineRule="auto"/>
        <w:ind w:left="0" w:right="0"/>
        <w:jc w:val="left"/>
      </w:pPr>
      <w:r>
        <w:rPr>
          <w:rFonts w:ascii="Calibri" w:hAnsi="Calibri" w:eastAsia="Calibri" w:cs="Calibri"/>
          <w:color w:val="000000"/>
          <w:sz w:val="22"/>
          <w:szCs w:val="22"/>
        </w:rPr>
        <w:t xml:space="preserve">Koch KA, Quiram GL &amp; Venette RC (2010) A review of oak wilt management: a summary of treatment options and their efficacy. </w:t>
      </w:r>
      <w:r>
        <w:rPr>
          <w:rFonts w:ascii="Calibri" w:hAnsi="Calibri" w:eastAsia="Calibri" w:cs="Calibri"/>
          <w:i/>
          <w:iCs/>
          <w:color w:val="000000"/>
          <w:sz w:val="22"/>
          <w:szCs w:val="22"/>
        </w:rPr>
        <w:t xml:space="preserve">Urban forestry &amp; urban greening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Pelletier G, Stewart D, Feau N, Alayon D, Dale A, Coelho A, Uzunovic A, Bilodeau G, Briere S, Hamelin R &amp; Tanguay P (2015) Molecular detection of 10 of the most unwanted alien forest pathogens in Canada using real-time 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e0134265. </w:t>
      </w:r>
      <w:hyperlink r:id="rId3078668527063c314" w:history="1">
        <w:r>
          <w:rPr>
            <w:rFonts w:ascii="Calibri" w:hAnsi="Calibri" w:eastAsia="Calibri" w:cs="Calibri"/>
            <w:color w:val="0000CC"/>
            <w:sz w:val="22"/>
            <w:szCs w:val="22"/>
            <w:u w:val="single"/>
          </w:rPr>
          <w:t xml:space="preserve">https://doi.org/10.1371/journal.pone.0134265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MacDonald W, Pinon J, Tainter F &amp; Double M (2001) European oaks—susceptible to oak wilt? In: Ash, C.L. (Ed.), Shade Tree Wilt Diseases. APS Press, St. Paul, MN, pp.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NAPPO Phytosanitary Alert System. Official Pest Reports. Canada (2023-06-16) Report of oak wilt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in Niagara Falls, Ontario, Canada (2023). </w:t>
      </w:r>
      <w:hyperlink r:id="rId6205668527063c38b" w:history="1">
        <w:r>
          <w:rPr>
            <w:rFonts w:ascii="Calibri" w:hAnsi="Calibri" w:eastAsia="Calibri" w:cs="Calibri"/>
            <w:color w:val="0000CC"/>
            <w:sz w:val="22"/>
            <w:szCs w:val="22"/>
            <w:u w:val="single"/>
          </w:rPr>
          <w:t xml:space="preserve">https://www.pestalerts.org/official-pest-report/report-oak-wilt-bretziella-fagacearum-niagara-falls-ontario-canada-2023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Parmeter Jr JR, Kuntz JE &amp; Riker AJ (1956) Oak wilt development in bur oaks.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423-436.</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MacDonald W, Double M &amp; Tainter F (2003) Les risques pour la chênaie européenne d’introduction de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en provenance des Etats-Unis, 5 pp. </w:t>
      </w:r>
      <w:hyperlink r:id="rId1218668527063c441" w:history="1">
        <w:r>
          <w:rPr>
            <w:rFonts w:ascii="Calibri" w:hAnsi="Calibri" w:eastAsia="Calibri" w:cs="Calibri"/>
            <w:color w:val="0000CC"/>
            <w:sz w:val="22"/>
            <w:szCs w:val="22"/>
            <w:u w:val="single"/>
          </w:rPr>
          <w:t xml:space="preserve">https://www.academie-agriculture.fr/actualites/academie/seance/academie/la-place-des-champignons-pathogenes-dans-lequilibre-de-la?191103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Pokorny J (1999) How to collect field samples and identify the oak wilt fungus in the laboratory. USDA Forest Service, Northeastern Area State and Private Forestry. St. Paul, MN: NA-FR-01-99. 11 p. </w:t>
      </w:r>
    </w:p>
    <w:p>
      <w:pPr>
        <w:widowControl w:val="on"/>
        <w:pBdr/>
        <w:spacing w:before="220" w:after="220" w:line="240" w:lineRule="auto"/>
        <w:ind w:left="0" w:right="0"/>
        <w:jc w:val="left"/>
      </w:pPr>
      <w:r>
        <w:rPr>
          <w:rFonts w:ascii="Calibri" w:hAnsi="Calibri" w:eastAsia="Calibri" w:cs="Calibri"/>
          <w:color w:val="000000"/>
          <w:sz w:val="22"/>
          <w:szCs w:val="22"/>
        </w:rPr>
        <w:t xml:space="preserve">Shelstad D, Queen L, French D, Fitzpatrick D (1991) Describing the spread of oak wilt using a geographic information system.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192-199.</w:t>
      </w:r>
    </w:p>
    <w:p>
      <w:pPr>
        <w:widowControl w:val="on"/>
        <w:pBdr/>
        <w:spacing w:before="220" w:after="220" w:line="240" w:lineRule="auto"/>
        <w:ind w:left="0" w:right="0"/>
        <w:jc w:val="left"/>
      </w:pPr>
      <w:r>
        <w:rPr>
          <w:rFonts w:ascii="Calibri" w:hAnsi="Calibri" w:eastAsia="Calibri" w:cs="Calibri"/>
          <w:color w:val="000000"/>
          <w:sz w:val="22"/>
          <w:szCs w:val="22"/>
        </w:rPr>
        <w:t xml:space="preserve">Šrůtka P (1996) Transmission of fungus spores by bark beetles of the genus </w:t>
      </w:r>
      <w:r>
        <w:rPr>
          <w:rFonts w:ascii="Calibri" w:hAnsi="Calibri" w:eastAsia="Calibri" w:cs="Calibri"/>
          <w:i/>
          <w:iCs/>
          <w:color w:val="000000"/>
          <w:sz w:val="22"/>
          <w:szCs w:val="22"/>
        </w:rPr>
        <w:t xml:space="preserve">Scolytus </w:t>
      </w:r>
      <w:r>
        <w:rPr>
          <w:rFonts w:ascii="Calibri" w:hAnsi="Calibri" w:eastAsia="Calibri" w:cs="Calibri"/>
          <w:color w:val="000000"/>
          <w:sz w:val="22"/>
          <w:szCs w:val="22"/>
        </w:rPr>
        <w:t xml:space="preserve">with respect to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Ratz.). </w:t>
      </w:r>
      <w:r>
        <w:rPr>
          <w:rFonts w:ascii="Calibri" w:hAnsi="Calibri" w:eastAsia="Calibri" w:cs="Calibri"/>
          <w:i/>
          <w:iCs/>
          <w:color w:val="000000"/>
          <w:sz w:val="22"/>
          <w:szCs w:val="22"/>
        </w:rPr>
        <w:t xml:space="preserve">Lesnictví-Forestry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510-517.</w:t>
      </w:r>
    </w:p>
    <w:p>
      <w:pPr>
        <w:widowControl w:val="on"/>
        <w:pBdr/>
        <w:spacing w:before="220" w:after="220" w:line="240" w:lineRule="auto"/>
        <w:ind w:left="0" w:right="0"/>
        <w:jc w:val="left"/>
      </w:pPr>
      <w:r>
        <w:rPr>
          <w:rFonts w:ascii="Calibri" w:hAnsi="Calibri" w:eastAsia="Calibri" w:cs="Calibri"/>
          <w:color w:val="000000"/>
          <w:sz w:val="22"/>
          <w:szCs w:val="22"/>
        </w:rPr>
        <w:t xml:space="preserve">Wu CP, Chen GY, Li B, Su H,An YL, Zhen SZ &amp; Ye JR (2011) Rapid and accurate detection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from stained wood and soil by nested and real-time PCR.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15–21.</w:t>
      </w:r>
    </w:p>
    <w:p>
      <w:pPr>
        <w:widowControl w:val="on"/>
        <w:pBdr/>
        <w:spacing w:before="220" w:after="220" w:line="240" w:lineRule="auto"/>
        <w:ind w:left="0" w:right="0"/>
        <w:jc w:val="left"/>
      </w:pPr>
      <w:r>
        <w:rPr>
          <w:rFonts w:ascii="Calibri" w:hAnsi="Calibri" w:eastAsia="Calibri" w:cs="Calibri"/>
          <w:color w:val="000000"/>
          <w:sz w:val="22"/>
          <w:szCs w:val="22"/>
        </w:rPr>
        <w:t xml:space="preserve">Yang A, Seabright K, Juzwik J, Myers SW &amp; Taylor A (2019) Survival of the oak wilt fungus in logs fumigated with sulfuryl fluoride and methyl bromide.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87-95.</w:t>
      </w:r>
    </w:p>
    <w:p>
      <w:pPr>
        <w:widowControl w:val="on"/>
        <w:pBdr/>
        <w:spacing w:before="220" w:after="220" w:line="240" w:lineRule="auto"/>
        <w:ind w:left="0" w:right="0"/>
        <w:jc w:val="left"/>
      </w:pPr>
      <w:r>
        <w:rPr>
          <w:rFonts w:ascii="Calibri" w:hAnsi="Calibri" w:eastAsia="Calibri" w:cs="Calibri"/>
          <w:color w:val="000000"/>
          <w:sz w:val="22"/>
          <w:szCs w:val="22"/>
        </w:rPr>
        <w:t xml:space="preserve">Yang A &amp; Juzwik J (2017) Use of nested and real-time PCR for the detection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in the sapwood of diseased oak species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480-486.</w:t>
      </w:r>
    </w:p>
    <w:p>
      <w:pPr>
        <w:widowControl w:val="on"/>
        <w:pBdr/>
        <w:spacing w:before="220" w:after="220" w:line="240" w:lineRule="auto"/>
        <w:ind w:left="0" w:right="0"/>
        <w:jc w:val="left"/>
      </w:pPr>
      <w:r>
        <w:rPr>
          <w:rFonts w:ascii="Calibri" w:hAnsi="Calibri" w:eastAsia="Calibri" w:cs="Calibri"/>
          <w:color w:val="000000"/>
          <w:sz w:val="22"/>
          <w:szCs w:val="22"/>
        </w:rPr>
        <w:t xml:space="preserve">Yates MG (1984) The biology of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(Ratzeburg) Coleoptera: Scolytidae), in southern England.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569-579.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Jennifer Juzwik, Research Plant Pathologist, Northern Research Station, U.S. Department of Agriculture – Forest Service.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EPPO datasheets on pests recommended for regulation. Available online. </w:t>
      </w:r>
      <w:hyperlink r:id="rId3470668527063c7f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2011 by Dr Jean Pinon. In addition,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 on Quarantine Organisms no 6: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31-37.  </w:t>
      </w:r>
      <w:hyperlink r:id="rId1824668527063c989" w:history="1">
        <w:r>
          <w:rPr>
            <w:rFonts w:ascii="Calibri" w:hAnsi="Calibri" w:eastAsia="Calibri" w:cs="Calibri"/>
            <w:color w:val="0000CC"/>
            <w:sz w:val="22"/>
            <w:szCs w:val="22"/>
            <w:u w:val="single"/>
          </w:rPr>
          <w:t xml:space="preserve">https://doi.org/10.1111/j.1365-2338.1979.tb02448.x</w:t>
        </w:r>
      </w:hyperlink>
    </w:p>
    <w:p>
      <w:r>
        <w:drawing>
          <wp:inline distT="0" distB="0" distL="0" distR="0">
            <wp:extent cx="1800000" cy="604800"/>
            <wp:docPr id="1501622" name="name3907668527063ca2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82668527063ca2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72531">
    <w:multiLevelType w:val="hybridMultilevel"/>
    <w:lvl w:ilvl="0" w:tplc="25661835">
      <w:start w:val="1"/>
      <w:numFmt w:val="decimal"/>
      <w:lvlText w:val="%1."/>
      <w:lvlJc w:val="left"/>
      <w:pPr>
        <w:ind w:left="720" w:hanging="360"/>
      </w:pPr>
    </w:lvl>
    <w:lvl w:ilvl="1" w:tplc="25661835" w:tentative="1">
      <w:start w:val="1"/>
      <w:numFmt w:val="lowerLetter"/>
      <w:lvlText w:val="%2."/>
      <w:lvlJc w:val="left"/>
      <w:pPr>
        <w:ind w:left="1440" w:hanging="360"/>
      </w:pPr>
    </w:lvl>
    <w:lvl w:ilvl="2" w:tplc="25661835" w:tentative="1">
      <w:start w:val="1"/>
      <w:numFmt w:val="lowerRoman"/>
      <w:lvlText w:val="%3."/>
      <w:lvlJc w:val="right"/>
      <w:pPr>
        <w:ind w:left="2160" w:hanging="180"/>
      </w:pPr>
    </w:lvl>
    <w:lvl w:ilvl="3" w:tplc="25661835" w:tentative="1">
      <w:start w:val="1"/>
      <w:numFmt w:val="decimal"/>
      <w:lvlText w:val="%4."/>
      <w:lvlJc w:val="left"/>
      <w:pPr>
        <w:ind w:left="2880" w:hanging="360"/>
      </w:pPr>
    </w:lvl>
    <w:lvl w:ilvl="4" w:tplc="25661835" w:tentative="1">
      <w:start w:val="1"/>
      <w:numFmt w:val="lowerLetter"/>
      <w:lvlText w:val="%5."/>
      <w:lvlJc w:val="left"/>
      <w:pPr>
        <w:ind w:left="3600" w:hanging="360"/>
      </w:pPr>
    </w:lvl>
    <w:lvl w:ilvl="5" w:tplc="25661835" w:tentative="1">
      <w:start w:val="1"/>
      <w:numFmt w:val="lowerRoman"/>
      <w:lvlText w:val="%6."/>
      <w:lvlJc w:val="right"/>
      <w:pPr>
        <w:ind w:left="4320" w:hanging="180"/>
      </w:pPr>
    </w:lvl>
    <w:lvl w:ilvl="6" w:tplc="25661835" w:tentative="1">
      <w:start w:val="1"/>
      <w:numFmt w:val="decimal"/>
      <w:lvlText w:val="%7."/>
      <w:lvlJc w:val="left"/>
      <w:pPr>
        <w:ind w:left="5040" w:hanging="360"/>
      </w:pPr>
    </w:lvl>
    <w:lvl w:ilvl="7" w:tplc="25661835" w:tentative="1">
      <w:start w:val="1"/>
      <w:numFmt w:val="lowerLetter"/>
      <w:lvlText w:val="%8."/>
      <w:lvlJc w:val="left"/>
      <w:pPr>
        <w:ind w:left="5760" w:hanging="360"/>
      </w:pPr>
    </w:lvl>
    <w:lvl w:ilvl="8" w:tplc="25661835" w:tentative="1">
      <w:start w:val="1"/>
      <w:numFmt w:val="lowerRoman"/>
      <w:lvlText w:val="%9."/>
      <w:lvlJc w:val="right"/>
      <w:pPr>
        <w:ind w:left="6480" w:hanging="180"/>
      </w:pPr>
    </w:lvl>
  </w:abstractNum>
  <w:abstractNum w:abstractNumId="87272530">
    <w:multiLevelType w:val="hybridMultilevel"/>
    <w:lvl w:ilvl="0" w:tplc="240406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72530">
    <w:abstractNumId w:val="87272530"/>
  </w:num>
  <w:num w:numId="87272531">
    <w:abstractNumId w:val="872725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5288864" Type="http://schemas.microsoft.com/office/2011/relationships/commentsExtended" Target="commentsExtended.xml"/><Relationship Id="rId256476748" Type="http://schemas.microsoft.com/office/2011/relationships/people" Target="people.xml"/><Relationship Id="rId919966852706382bb" Type="http://schemas.openxmlformats.org/officeDocument/2006/relationships/hyperlink" Target="https://gd.eppo.int/taxon/CERAFA/" TargetMode="External"/><Relationship Id="rId48646685270638326" Type="http://schemas.openxmlformats.org/officeDocument/2006/relationships/hyperlink" Target="https://gd.eppo.int/taxon/CERAFA/categorization" TargetMode="External"/><Relationship Id="rId67906685270638c81" Type="http://schemas.openxmlformats.org/officeDocument/2006/relationships/hyperlink" Target="https://gd.eppo.int/taxon/CERAFA/photos" TargetMode="External"/><Relationship Id="rId4374668527063b9e5" Type="http://schemas.openxmlformats.org/officeDocument/2006/relationships/hyperlink" Target="https://doi.org/10.2903/j.efsa.2018.5185" TargetMode="External"/><Relationship Id="rId5694668527063ba81" Type="http://schemas.openxmlformats.org/officeDocument/2006/relationships/hyperlink" Target="https://doi.org/10.2903/j.efsa.2020.6352" TargetMode="External"/><Relationship Id="rId3078668527063c314" Type="http://schemas.openxmlformats.org/officeDocument/2006/relationships/hyperlink" Target="https://doi.org/10.1371/journal.pone.0134265" TargetMode="External"/><Relationship Id="rId6205668527063c38b" Type="http://schemas.openxmlformats.org/officeDocument/2006/relationships/hyperlink" Target="https://www.pestalerts.org/official-pest-report/report-oak-wilt-bretziella-fagacearum-niagara-falls-ontario-canada-2023" TargetMode="External"/><Relationship Id="rId1218668527063c441" Type="http://schemas.openxmlformats.org/officeDocument/2006/relationships/hyperlink" Target="https://www.academie-agriculture.fr/actualites/academie/seance/academie/la-place-des-champignons-pathogenes-dans-lequilibre-de-la?191103" TargetMode="External"/><Relationship Id="rId3470668527063c7f2" Type="http://schemas.openxmlformats.org/officeDocument/2006/relationships/hyperlink" Target="https://gd.eppo.int" TargetMode="External"/><Relationship Id="rId1824668527063c989" Type="http://schemas.openxmlformats.org/officeDocument/2006/relationships/hyperlink" Target="https://doi.org/10.1111/j.1365-2338.1979.tb02448.x" TargetMode="External"/><Relationship Id="rId58086685270638b03" Type="http://schemas.openxmlformats.org/officeDocument/2006/relationships/image" Target="media/imgrId58086685270638b03.jpg"/><Relationship Id="rId8682668527063a1d2" Type="http://schemas.openxmlformats.org/officeDocument/2006/relationships/image" Target="media/imgrId8682668527063a1d2.jpg"/><Relationship Id="rId2182668527063ca25" Type="http://schemas.openxmlformats.org/officeDocument/2006/relationships/image" Target="media/imgrId2182668527063ca2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