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niponensis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2018-07-27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niponensis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hyperlink r:id="rId50746a18945892b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has two subspecies - </w:t>
      </w:r>
      <w:r>
        <w:rPr>
          <w:rFonts w:ascii="Calibri" w:hAnsi="Calibri" w:eastAsia="Calibri" w:cs="Calibri"/>
          <w:i/>
          <w:iCs/>
          <w:color w:val="000000"/>
          <w:sz w:val="22"/>
          <w:szCs w:val="22"/>
        </w:rPr>
        <w:t xml:space="preserve">niponensis</w:t>
      </w:r>
      <w:r>
        <w:rPr>
          <w:rFonts w:ascii="Calibri" w:hAnsi="Calibri" w:eastAsia="Calibri" w:cs="Calibri"/>
          <w:color w:val="000000"/>
          <w:sz w:val="22"/>
          <w:szCs w:val="22"/>
        </w:rPr>
        <w:t xml:space="preserve"> confined to the Far East and a pest of Rosaceae, and </w:t>
      </w:r>
      <w:r>
        <w:rPr>
          <w:rFonts w:ascii="Calibri" w:hAnsi="Calibri" w:eastAsia="Calibri" w:cs="Calibri"/>
          <w:i/>
          <w:iCs/>
          <w:color w:val="000000"/>
          <w:sz w:val="22"/>
          <w:szCs w:val="22"/>
        </w:rPr>
        <w:t xml:space="preserve">ottawana</w:t>
      </w:r>
      <w:r>
        <w:rPr>
          <w:rFonts w:ascii="Calibri" w:hAnsi="Calibri" w:eastAsia="Calibri" w:cs="Calibri"/>
          <w:color w:val="000000"/>
          <w:sz w:val="22"/>
          <w:szCs w:val="22"/>
        </w:rPr>
        <w:t xml:space="preserve"> confined to Canada and feeding only on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The latter does not attack Rosaceae and is not recorded as a pest (Davis,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Apples, peaches and pears. Apricots,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plums, quinces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are also noted as hosts (Shutova,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occurs in the Far Eastern provinces of Russia, it does not occur in the European part or in Siberia and is a quarantine pest for Russia.  In Canada, only the harmless subspecies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occurs (see Notes on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overwinters as hibernating larvae in cocoons in the soil, though some larvae may overwinter in fruit in storage (Shutova, 1970). The larvae pupate in the spring in fresh cocoons on the surface of the soil and the moths emerge about 12 days later. The flight period starts in late May or early June in Korea Democratic People's Republic (Muramatsu, 1927) and ends in mid-June, with the second generation of adults flying from mid-August to early September. In China (Hwang, 1958), Japan (Yago &amp; Ishikawa, 1936) and Korea Republic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overwintering larvae may pupate at any time between mid-May and late July, depending on soil temperature and soil humidity. The moths fly from mid-June until late September and there is considerable overlapping of broods.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The emergence of the first generation of moths in Hokkaido (Japan) has been found to be well synchronized with the growth of the main apple cultivars there (Kajino &amp; Nakao, 1977).</w:t>
      </w:r>
    </w:p>
    <w:p>
      <w:pPr>
        <w:widowControl w:val="on"/>
        <w:pBdr/>
        <w:spacing w:before="220" w:after="220" w:line="240" w:lineRule="auto"/>
        <w:ind w:left="0" w:right="0"/>
        <w:jc w:val="left"/>
      </w:pPr>
      <w:r>
        <w:rPr>
          <w:rFonts w:ascii="Calibri" w:hAnsi="Calibri" w:eastAsia="Calibri" w:cs="Calibri"/>
          <w:color w:val="000000"/>
          <w:sz w:val="22"/>
          <w:szCs w:val="22"/>
        </w:rPr>
        <w:t xml:space="preserve">Several eggs are laid on each fruit, usually near the calyx. Up to 13 larvae have been recorded in a single pear (Yago &amp; Ishikawa, 1936). One female can carry up to 350 mature eggs (Ohira, 1989) and lays an average of about 100 eggs (Gibanov &amp; Sanin, 1971). The young larvae bore into the fruit, usually near the calyx, but reject the skin. Later, they may move from one fruit to another. Susceptibility to penetration by the young larvae varies with growth stage, species and cultivar of fruit. These factors (in addition to temperature) affect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larvae tunnel all parts of the fruit, feeding on the fleshy parts and on the seeds. Damage to peach may be confused with that due to Cydia molesta in Japan and Korea (an A2 quarantine pest occurring in Europe; EPPO/CABI, 1996a). Damage to apple resembles that caused by larvae of the fruit fly Rhagoletis pomonella (a North American pest on the A1 list; EPPO/CABI, 1996b) and not by the caterpillars of Cydia pomonella, the familiar European codling moth. Several larvae may feed in each fruit. Infested apples exude a sticky gum, pears turn yellow and apricots ripen unevenly (Gibanov &amp; Sanin, 1971).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Elliptical, light yellowish-brown in colour with a granulated chorion, rose-red. Distinctive ring of spines round the apex, possibly encircling the micropyle (Wu &amp; Hwang, 1955; Shutova, 1970).</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Wing span 15-19 mm. Long narrow forewings, mottled grey in colour, with a darker area along the anterior margin; hind wings with a fringe of long scales, and only five veins arising from the median cell. The genitalia have been illustrated by Danilevskii (1958) and Wu &amp; Hwang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is found by USDA inspectors almost every year on raw fruit from Japan and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C. niponensis is considered one of the most important pests of pome fruits in the Far East. On apples in Japan, Korea and China, it 'may cause heavy losses if not controlled' (USDA, 1958). In China (Hwang, 1958), it is recorded as destroying about one-third of the apple crop in Liaoning province (with Cydia inopinata - see above). In the Primor'e province of Russia, C. niponensis is the most damaging fruit moth, more so than Cydia pomonella. Damage to pears can reach 100% in some cases, but apples are less heavily infested (40-100%) (Sytenko, 1960; Pavlova, 1970; Gibanov &amp; Sanin, 1971).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pest can be successfully achieved by applying either fenitrothion, parathion, fenvalerate or deltamethrin at the oviposition peaks of the first and second generations, in combination with the mechanical removal of fallen fruit (Huan et al., 1987).</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few records of parasites. Anilastus sp. (Hymenoptera: Ichneumonidae) was raised from infested apples in Japan (Pschorn-Walcher, 1964). A fungus, Isaria fumosorosea, has been advocated for control (Sekiguchi, 1960). More recently, Metarhizium anisopliae has been reported most effective in a comparative study (Yaginuma &amp; Takagi, 1987).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C. niponensis is an A1 quarantine pest for EPPO (OEPP/EPPO, 1988) and is also of quarantine significance for COSAVE. In the EPPO region, there is no directly analogous pest of fruit, with several larvae surviving in a single fruit. Argyresthia conjugella is perhaps the most similar. The pest presents a risk to fruit production in most parts of the EPPO region. While it might only complete one generation per year in northern countries, it seems likely that a partial or complete second generation would be possible over much of Europe. The introduction of C. niponensis into the EPPO region could have a severe economic impact on the fruit-growing areas of the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Fruits of host plants from the Far East should be subject to strict requirements. A fumigation schedule for fresh fruit has been published in Russia - 23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methyl bromide for 4 h at &gt;15°C for overwintering caterpillars, with slightly lower doses (17-20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caterpillars of the summer 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all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Ziziphus</w:t>
      </w:r>
      <w:r>
        <w:rPr>
          <w:rFonts w:ascii="Calibri" w:hAnsi="Calibri" w:eastAsia="Calibri" w:cs="Calibri"/>
          <w:color w:val="000000"/>
          <w:sz w:val="22"/>
          <w:szCs w:val="22"/>
        </w:rPr>
        <w:t xml:space="preserve"> plants with roots (especially those with growing medium) should have been grown in an organic medium or growing medium which was treated or tested against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by an EPPO-recommended procedure if they are coming from a country where the pest occurs. Additionally, the consignment should have been kept under conditions which prevent a reinfestation by the organism (OEPP/EPPO,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20,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CIE (1990)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511.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injurious to fruit trees in the Far East]. </w:t>
      </w:r>
      <w:r>
        <w:rPr>
          <w:rFonts w:ascii="Calibri" w:hAnsi="Calibri" w:eastAsia="Calibri" w:cs="Calibri"/>
          <w:i/>
          <w:iCs/>
          <w:color w:val="000000"/>
          <w:sz w:val="22"/>
          <w:szCs w:val="22"/>
        </w:rPr>
        <w:t xml:space="preserve">Revue Entomologique de l'URSS</w:t>
      </w:r>
      <w:r>
        <w:rPr>
          <w:rFonts w:ascii="Calibri" w:hAnsi="Calibri" w:eastAsia="Calibri" w:cs="Calibri"/>
          <w:color w:val="000000"/>
          <w:sz w:val="22"/>
          <w:szCs w:val="22"/>
        </w:rPr>
        <w:t xml:space="preserve"> 37,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Davis, D.R. (1968) A revision of the American moths of the family Carposinidae. </w:t>
      </w:r>
      <w:r>
        <w:rPr>
          <w:rFonts w:ascii="Calibri" w:hAnsi="Calibri" w:eastAsia="Calibri" w:cs="Calibri"/>
          <w:i/>
          <w:iCs/>
          <w:color w:val="000000"/>
          <w:sz w:val="22"/>
          <w:szCs w:val="22"/>
        </w:rPr>
        <w:t xml:space="preserve">Bulletin of the Smithsonian Institution US National Museum</w:t>
      </w:r>
      <w:r>
        <w:rPr>
          <w:rFonts w:ascii="Calibri" w:hAnsi="Calibri" w:eastAsia="Calibri" w:cs="Calibri"/>
          <w:color w:val="000000"/>
          <w:sz w:val="22"/>
          <w:szCs w:val="22"/>
        </w:rPr>
        <w:t xml:space="preserve"> No. 289.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Cydia molesta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 V. (1971) [Lepidopteran pests of fruits in Primorskii province].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16, 41-43.</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plantations of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and its control.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13,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w:t>
      </w:r>
      <w:r>
        <w:rPr>
          <w:rFonts w:ascii="Calibri" w:hAnsi="Calibri" w:eastAsia="Calibri" w:cs="Calibri"/>
          <w:color w:val="000000"/>
          <w:sz w:val="22"/>
          <w:szCs w:val="22"/>
        </w:rPr>
        <w:t xml:space="preserve"> No. 1, 31-66.</w:t>
      </w:r>
    </w:p>
    <w:p>
      <w:pPr>
        <w:widowControl w:val="on"/>
        <w:pBdr/>
        <w:spacing w:before="220" w:after="220" w:line="240" w:lineRule="auto"/>
        <w:ind w:left="0" w:right="0"/>
        <w:jc w:val="left"/>
      </w:pPr>
      <w:r>
        <w:rPr>
          <w:rFonts w:ascii="Calibri" w:hAnsi="Calibri" w:eastAsia="Calibri" w:cs="Calibri"/>
          <w:color w:val="000000"/>
          <w:sz w:val="22"/>
          <w:szCs w:val="22"/>
        </w:rPr>
        <w:t xml:space="preserve">Kajino, Y.; Nakao, H. (1977) [Ecology of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 Period of adult emergence of the first brood]. </w:t>
      </w:r>
      <w:r>
        <w:rPr>
          <w:rFonts w:ascii="Calibri" w:hAnsi="Calibri" w:eastAsia="Calibri" w:cs="Calibri"/>
          <w:i/>
          <w:iCs/>
          <w:color w:val="000000"/>
          <w:sz w:val="22"/>
          <w:szCs w:val="22"/>
        </w:rPr>
        <w:t xml:space="preserve">Bulletin of the Hokkaido Prefectural Agricultural Experiment Station</w:t>
      </w:r>
      <w:r>
        <w:rPr>
          <w:rFonts w:ascii="Calibri" w:hAnsi="Calibri" w:eastAsia="Calibri" w:cs="Calibri"/>
          <w:color w:val="000000"/>
          <w:sz w:val="22"/>
          <w:szCs w:val="22"/>
        </w:rPr>
        <w:t xml:space="preserve"> No. 37.</w:t>
      </w:r>
    </w:p>
    <w:p>
      <w:pPr>
        <w:widowControl w:val="on"/>
        <w:pBdr/>
        <w:spacing w:before="220" w:after="220" w:line="240" w:lineRule="auto"/>
        <w:ind w:left="0" w:right="0"/>
        <w:jc w:val="left"/>
      </w:pPr>
      <w:r>
        <w:rPr>
          <w:rFonts w:ascii="Calibri" w:hAnsi="Calibri" w:eastAsia="Calibri" w:cs="Calibri"/>
          <w:color w:val="000000"/>
          <w:sz w:val="22"/>
          <w:szCs w:val="22"/>
        </w:rPr>
        <w:t xml:space="preserve">Lee, S.W.; Hyun, J.S.; Park, J.S. (1984) Studies on the developments of the overwintering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23, 42-48.</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w:t>
      </w:r>
      <w:r>
        <w:rPr>
          <w:rFonts w:ascii="Calibri" w:hAnsi="Calibri" w:eastAsia="Calibri" w:cs="Calibri"/>
          <w:color w:val="000000"/>
          <w:sz w:val="22"/>
          <w:szCs w:val="22"/>
        </w:rPr>
        <w:t xml:space="preserve"> 16, 1-37.</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18, 543-547.</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(1990) Specific quarantine requirements. </w:t>
      </w:r>
      <w:r>
        <w:rPr>
          <w:rFonts w:ascii="Calibri" w:hAnsi="Calibri" w:eastAsia="Calibri" w:cs="Calibri"/>
          <w:i/>
          <w:iCs/>
          <w:color w:val="000000"/>
          <w:sz w:val="22"/>
          <w:szCs w:val="22"/>
        </w:rPr>
        <w:t xml:space="preserve">EPPO Technical Documents</w:t>
      </w:r>
      <w:r>
        <w:rPr>
          <w:rFonts w:ascii="Calibri" w:hAnsi="Calibri" w:eastAsia="Calibri" w:cs="Calibri"/>
          <w:color w:val="000000"/>
          <w:sz w:val="22"/>
          <w:szCs w:val="22"/>
        </w:rPr>
        <w:t xml:space="preserve"> No. 1008.</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No. 40,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15, 54-55.</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(1964) On the parasites of some injurious Lepidoptera from Northern Japan. </w:t>
      </w:r>
      <w:r>
        <w:rPr>
          <w:rFonts w:ascii="Calibri" w:hAnsi="Calibri" w:eastAsia="Calibri" w:cs="Calibri"/>
          <w:i/>
          <w:iCs/>
          <w:color w:val="000000"/>
          <w:sz w:val="22"/>
          <w:szCs w:val="22"/>
        </w:rPr>
        <w:t xml:space="preserve">Technical Bulletin of the Commonwealth Institute of Biological Control</w:t>
      </w:r>
      <w:r>
        <w:rPr>
          <w:rFonts w:ascii="Calibri" w:hAnsi="Calibri" w:eastAsia="Calibri" w:cs="Calibri"/>
          <w:color w:val="000000"/>
          <w:sz w:val="22"/>
          <w:szCs w:val="22"/>
        </w:rPr>
        <w:t xml:space="preserve"> No. 4, 24-37.</w:t>
      </w:r>
    </w:p>
    <w:p>
      <w:pPr>
        <w:widowControl w:val="on"/>
        <w:pBdr/>
        <w:spacing w:before="220" w:after="220" w:line="240" w:lineRule="auto"/>
        <w:ind w:left="0" w:right="0"/>
        <w:jc w:val="left"/>
      </w:pPr>
      <w:r>
        <w:rPr>
          <w:rFonts w:ascii="Calibri" w:hAnsi="Calibri" w:eastAsia="Calibri" w:cs="Calibri"/>
          <w:color w:val="000000"/>
          <w:sz w:val="22"/>
          <w:szCs w:val="22"/>
        </w:rPr>
        <w:t xml:space="preserve">Sekiguchi, A. (1960) [Studies on the control of peach fruit moth by the entomogenous fungus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Bulletin of the Tohoku National Agricultural Experimental Station</w:t>
      </w:r>
      <w:r>
        <w:rPr>
          <w:rFonts w:ascii="Calibri" w:hAnsi="Calibri" w:eastAsia="Calibri" w:cs="Calibri"/>
          <w:color w:val="000000"/>
          <w:sz w:val="22"/>
          <w:szCs w:val="22"/>
        </w:rPr>
        <w:t xml:space="preserve"> 16, 89-93.</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using mark-release-recapture technique. </w:t>
      </w:r>
      <w:r>
        <w:rPr>
          <w:rFonts w:ascii="Calibri" w:hAnsi="Calibri" w:eastAsia="Calibri" w:cs="Calibri"/>
          <w:i/>
          <w:iCs/>
          <w:color w:val="000000"/>
          <w:sz w:val="22"/>
          <w:szCs w:val="22"/>
        </w:rPr>
        <w:t xml:space="preserve">Acta Agriculturae Nucleatae Sinica</w:t>
      </w:r>
      <w:r>
        <w:rPr>
          <w:rFonts w:ascii="Calibri" w:hAnsi="Calibri" w:eastAsia="Calibri" w:cs="Calibri"/>
          <w:color w:val="000000"/>
          <w:sz w:val="22"/>
          <w:szCs w:val="22"/>
        </w:rPr>
        <w:t xml:space="preserve"> 1,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w:t>
      </w:r>
      <w:r>
        <w:rPr>
          <w:rFonts w:ascii="Calibri" w:hAnsi="Calibri" w:eastAsia="Calibri" w:cs="Calibri"/>
          <w:color w:val="000000"/>
          <w:sz w:val="22"/>
          <w:szCs w:val="22"/>
        </w:rPr>
        <w:t xml:space="preserve"> 39, 551-555.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(1958) Insects not known to occur in the United States: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8, 34.</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5,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Yaginuma, K.; Takagi, K. (1987) Use of entomogenous fungi for the control of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Extension Bulletin, ASPAC Food and Fertilizer Technology Center for the Asian and Pacific Region, Taiwan 1987</w:t>
      </w:r>
      <w:r>
        <w:rPr>
          <w:rFonts w:ascii="Calibri" w:hAnsi="Calibri" w:eastAsia="Calibri" w:cs="Calibri"/>
          <w:color w:val="000000"/>
          <w:sz w:val="22"/>
          <w:szCs w:val="22"/>
        </w:rPr>
        <w:t xml:space="preserve"> No. 257, 25.</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w:t>
      </w:r>
      <w:r>
        <w:rPr>
          <w:rFonts w:ascii="Calibri" w:hAnsi="Calibri" w:eastAsia="Calibri" w:cs="Calibri"/>
          <w:color w:val="000000"/>
          <w:sz w:val="22"/>
          <w:szCs w:val="22"/>
        </w:rPr>
        <w:t xml:space="preserve"> No. 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EPPO datasheets on pests recommended for regulation. Available online. </w:t>
      </w:r>
      <w:hyperlink r:id="rId59056a18945893f29" w:history="1">
        <w:r>
          <w:rPr>
            <w:rFonts w:ascii="Calibri" w:hAnsi="Calibri" w:eastAsia="Calibri" w:cs="Calibri"/>
            <w:color w:val="0000CC"/>
            <w:sz w:val="22"/>
            <w:szCs w:val="22"/>
            <w:u w:val="single"/>
          </w:rPr>
          <w:t xml:space="preserve">https://gd.eppo.int</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88342">
    <w:multiLevelType w:val="hybridMultilevel"/>
    <w:lvl w:ilvl="0" w:tplc="16074169">
      <w:start w:val="1"/>
      <w:numFmt w:val="decimal"/>
      <w:lvlText w:val="%1."/>
      <w:lvlJc w:val="left"/>
      <w:pPr>
        <w:ind w:left="720" w:hanging="360"/>
      </w:pPr>
    </w:lvl>
    <w:lvl w:ilvl="1" w:tplc="16074169" w:tentative="1">
      <w:start w:val="1"/>
      <w:numFmt w:val="lowerLetter"/>
      <w:lvlText w:val="%2."/>
      <w:lvlJc w:val="left"/>
      <w:pPr>
        <w:ind w:left="1440" w:hanging="360"/>
      </w:pPr>
    </w:lvl>
    <w:lvl w:ilvl="2" w:tplc="16074169" w:tentative="1">
      <w:start w:val="1"/>
      <w:numFmt w:val="lowerRoman"/>
      <w:lvlText w:val="%3."/>
      <w:lvlJc w:val="right"/>
      <w:pPr>
        <w:ind w:left="2160" w:hanging="180"/>
      </w:pPr>
    </w:lvl>
    <w:lvl w:ilvl="3" w:tplc="16074169" w:tentative="1">
      <w:start w:val="1"/>
      <w:numFmt w:val="decimal"/>
      <w:lvlText w:val="%4."/>
      <w:lvlJc w:val="left"/>
      <w:pPr>
        <w:ind w:left="2880" w:hanging="360"/>
      </w:pPr>
    </w:lvl>
    <w:lvl w:ilvl="4" w:tplc="16074169" w:tentative="1">
      <w:start w:val="1"/>
      <w:numFmt w:val="lowerLetter"/>
      <w:lvlText w:val="%5."/>
      <w:lvlJc w:val="left"/>
      <w:pPr>
        <w:ind w:left="3600" w:hanging="360"/>
      </w:pPr>
    </w:lvl>
    <w:lvl w:ilvl="5" w:tplc="16074169" w:tentative="1">
      <w:start w:val="1"/>
      <w:numFmt w:val="lowerRoman"/>
      <w:lvlText w:val="%6."/>
      <w:lvlJc w:val="right"/>
      <w:pPr>
        <w:ind w:left="4320" w:hanging="180"/>
      </w:pPr>
    </w:lvl>
    <w:lvl w:ilvl="6" w:tplc="16074169" w:tentative="1">
      <w:start w:val="1"/>
      <w:numFmt w:val="decimal"/>
      <w:lvlText w:val="%7."/>
      <w:lvlJc w:val="left"/>
      <w:pPr>
        <w:ind w:left="5040" w:hanging="360"/>
      </w:pPr>
    </w:lvl>
    <w:lvl w:ilvl="7" w:tplc="16074169" w:tentative="1">
      <w:start w:val="1"/>
      <w:numFmt w:val="lowerLetter"/>
      <w:lvlText w:val="%8."/>
      <w:lvlJc w:val="left"/>
      <w:pPr>
        <w:ind w:left="5760" w:hanging="360"/>
      </w:pPr>
    </w:lvl>
    <w:lvl w:ilvl="8" w:tplc="16074169" w:tentative="1">
      <w:start w:val="1"/>
      <w:numFmt w:val="lowerRoman"/>
      <w:lvlText w:val="%9."/>
      <w:lvlJc w:val="right"/>
      <w:pPr>
        <w:ind w:left="6480" w:hanging="180"/>
      </w:pPr>
    </w:lvl>
  </w:abstractNum>
  <w:abstractNum w:abstractNumId="61188341">
    <w:multiLevelType w:val="hybridMultilevel"/>
    <w:lvl w:ilvl="0" w:tplc="53009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88341">
    <w:abstractNumId w:val="61188341"/>
  </w:num>
  <w:num w:numId="61188342">
    <w:abstractNumId w:val="611883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278285" Type="http://schemas.microsoft.com/office/2011/relationships/commentsExtended" Target="commentsExtended.xml"/><Relationship Id="rId748705089" Type="http://schemas.microsoft.com/office/2011/relationships/people" Target="people.xml"/><Relationship Id="rId50746a18945892bfc" Type="http://schemas.openxmlformats.org/officeDocument/2006/relationships/hyperlink" Target="https://gd.eppo.int/taxon/CARSNI/" TargetMode="External"/><Relationship Id="rId59056a18945893f2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