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Curtovirus 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Curtovirus 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Curtovirus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curtovirus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mild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severe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Cal/Logan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Colorado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yellow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green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curly leaf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virus 1</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Western yellow blight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Worland 4 BCTV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leaf of sugarbeet, curly top of beet, curly top of sugarbeet, green dwarf of potato, western yellow blight, yellows of tomato</w:t>
            </w:r>
            <w:hyperlink r:id="rId168369f1bd43a692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6369f1bd43a69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230808" name="name682969f1bd43a6e91" descr="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6.jpg"/>
                          <pic:cNvPicPr/>
                        </pic:nvPicPr>
                        <pic:blipFill>
                          <a:blip r:embed="rId955169f1bd43a6e8f" cstate="print"/>
                          <a:stretch>
                            <a:fillRect/>
                          </a:stretch>
                        </pic:blipFill>
                        <pic:spPr>
                          <a:xfrm>
                            <a:off x="0" y="0"/>
                            <a:ext cx="2160000" cy="1281600"/>
                          </a:xfrm>
                          <a:prstGeom prst="rect">
                            <a:avLst/>
                          </a:prstGeom>
                          <a:ln w="0">
                            <a:noFill/>
                          </a:ln>
                        </pic:spPr>
                      </pic:pic>
                    </a:graphicData>
                  </a:graphic>
                </wp:inline>
              </w:drawing>
            </w:r>
            <w:hyperlink r:id="rId566969f1bd43a6fc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redefined curtoviruses from many separate viruses into a single virus,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with many strains. There are currently many strains of beet curly top virus that differ in symptomatology and severity on hosts including BCTV-Svr, BCTV-Mld, BCTV-Wor, BCTV-PeCT, BCTV-PeYD, BCTV-SpCT, BCTV-CO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Peinado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Curtoviruses contain 7 ORF (open reading frames) or coding regions, with 3 on the virion sense DNA strand and 4 on the complimentary sense strand. They also contain a conserved stem loop intergenic region. A related virus group, becurtoviruses are also members of the family Geminiviridae (Heydarnejad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Members of this group include Beet curly top Iran virus (BCTIV) and Spinach curly top Arizona virus (SCTAV). Becurtoviruses have 5 ORFs with 3 on the virion sense strand that are closely related to the corresponding ORFs of curtoviruses, and 2 ORFs on the complementary-sense strand that lack any similarity. Becurtoviruses have a slightly different sequence from curtoviruses in their stem loop intergenic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BCTV has an extremely wide host range, but its most economically important crop hosts are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common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cucurbits,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sugarbeet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(Bennett, 1971;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Chen &amp; Gilbertson, 2016). In addition to its crop hosts, a number of other species, including weeds, in many families are reported as hosts, including in Asteraceae, Brassicaceae, Chenopodiaceae, Geraniaceae and Solanaceae.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argentea var. expansa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bracteosa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fruticulosa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leptophyllum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Lasthenia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nitidum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Microseris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Monolepis nuttalliana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Streptanthus lasiophyllus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thought to have originated in the eastern Mediterranean area and to have spread from there to America (Bennett, 1971). The virus has been widely recorded from Canada to Mexico, and there are also records in other parts of the world.</w:t>
      </w:r>
    </w:p>
    <w:p>
      <w:r>
        <w:drawing>
          <wp:inline distT="0" distB="0" distL="0" distR="0">
            <wp:extent cx="6120000" cy="3067200"/>
            <wp:docPr id="5696773" name="name453169f1bd43a8c0e" descr="BCT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V00_distribution_map.jpg"/>
                    <pic:cNvPicPr/>
                  </pic:nvPicPr>
                  <pic:blipFill>
                    <a:blip r:embed="rId383769f1bd43a8c0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Italy (mainland,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Iran, Islamic Republic of, Japan (Hokkaido)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Mexico, United States of America (Arizona, California, Colorado, Hawaii, Idaho, Illinois, Iowa, Kansas, Maryland, Michigan, Minnesota, Montana, Nebraska, Nevada, New Mexico, North Carolina, North Dakota, Ohio, Oklahoma, Oregon, South Dakota, Texas, Utah,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not easily transmitted by mechanical means. BCTV is primarily found in phloem tissue, where it causes necrosis and hyperplasia (Bennett, 1971). Virus replication occurs in the plant nucleus.</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vectors of BCTV are phloem-feeding leafhoppers. </w:t>
      </w:r>
      <w:r>
        <w:rPr>
          <w:rFonts w:ascii="Calibri" w:hAnsi="Calibri" w:eastAsia="Calibri" w:cs="Calibri"/>
          <w:i/>
          <w:iCs/>
          <w:color w:val="000000"/>
          <w:sz w:val="22"/>
          <w:szCs w:val="22"/>
        </w:rPr>
        <w:t xml:space="preserve">Circulifer (=Neoaliturus) tenellus</w:t>
      </w:r>
      <w:r>
        <w:rPr>
          <w:rFonts w:ascii="Calibri" w:hAnsi="Calibri" w:eastAsia="Calibri" w:cs="Calibri"/>
          <w:color w:val="000000"/>
          <w:sz w:val="22"/>
          <w:szCs w:val="22"/>
        </w:rPr>
        <w:t xml:space="preserve"> is the only vector of BCTV in North America, while in the Middle East, </w:t>
      </w:r>
      <w:r>
        <w:rPr>
          <w:rFonts w:ascii="Calibri" w:hAnsi="Calibri" w:eastAsia="Calibri" w:cs="Calibri"/>
          <w:i/>
          <w:iCs/>
          <w:color w:val="000000"/>
          <w:sz w:val="22"/>
          <w:szCs w:val="22"/>
        </w:rPr>
        <w:t xml:space="preserve">C. opacipennis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haematoceps</w:t>
      </w:r>
      <w:r>
        <w:rPr>
          <w:rFonts w:ascii="Calibri" w:hAnsi="Calibri" w:eastAsia="Calibri" w:cs="Calibri"/>
          <w:color w:val="000000"/>
          <w:sz w:val="22"/>
          <w:szCs w:val="22"/>
        </w:rPr>
        <w:t xml:space="preserve"> have also been reported as vectors (Kheyri and Alimoradi, 1969; Taheri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virus is transmitted in a persistent circulative manner and does not multiply in the leafhopper vector. The leafhoppers can acquire the virus within 1 hour of feeding on infected material, with a 4-hour latent period sufficient to transmit the virus. The leafhoppers can retain the virus for up to 30 days (Soto &amp; Gilbertson, 2003).</w:t>
      </w:r>
    </w:p>
    <w:p>
      <w:pPr>
        <w:widowControl w:val="on"/>
        <w:pBdr/>
        <w:spacing w:before="220" w:after="220" w:line="240" w:lineRule="auto"/>
        <w:ind w:left="0" w:right="0"/>
        <w:jc w:val="both"/>
      </w:pPr>
      <w:r>
        <w:rPr>
          <w:rFonts w:ascii="Calibri" w:hAnsi="Calibri" w:eastAsia="Calibri" w:cs="Calibri"/>
          <w:color w:val="000000"/>
          <w:sz w:val="22"/>
          <w:szCs w:val="22"/>
        </w:rPr>
        <w:t xml:space="preserve">Many strains differing in virulence, symptomatology and host range have been reported, especially in North America (Thomas &amp; Mink,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Some symptoms induced by BCTV infection, such as plant stunting and thickened curled leaves are similar throughout its host range (Bennett, 1971). </w:t>
      </w:r>
    </w:p>
    <w:p>
      <w:pPr>
        <w:widowControl w:val="on"/>
        <w:pBdr/>
        <w:spacing w:before="220" w:after="220" w:line="240" w:lineRule="auto"/>
        <w:ind w:left="0" w:right="0"/>
        <w:jc w:val="both"/>
      </w:pPr>
      <w:r>
        <w:rPr>
          <w:rFonts w:ascii="Calibri" w:hAnsi="Calibri" w:eastAsia="Calibri" w:cs="Calibri"/>
          <w:color w:val="000000"/>
          <w:sz w:val="22"/>
          <w:szCs w:val="22"/>
        </w:rPr>
        <w:t xml:space="preserve">In sugarbeet, the most reliable, early diagnostic feature is an inward rolling of the leaf margins and a clearing of the minute veins on the youngest, innermost leaves. Subsequently, development of pin prick-like protuberances on the veins of the lower leaf surfaces is characteristic. Leaves often become chlorotic, thick, crisp and brittle.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in the field, there is an inward rolling of leaflets along the midrib; the petiole and midrib frequently curve downwards, giving the leaf a drooping but not wilting appearance. Leaves become thickened and crisp and may later turn yellow with purple veins. Fruits, if formed, ripen prematurely and seeds are abortive. Leaves of tomato plants grown in glasshouses lack the purple venation. Inward curling of leaflets occurs, especially in older plants. There is a marked stunting of plants infected at an early stage, leading to whole plant chlorosis and possible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crops, in addition to stunting of plants and thickened curled leaves, symptoms include:</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peppers, chlorosis, crisp brittle leaves, stiff plant stems, lack of fruit set, and small rounded fruit if infection occurs after fruit set. Plants do not grow taller after infection (Creamer, 2003).</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cucurbits, stunting of leaves, poor fruit set, and sometimes increased vertical growth.</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bean, stunting and curling of leaves. Some bean varieties show chlorosis and reduced fruit set.</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spinach and other leafy vegetables, stunting and curling of leaves, and chlorosis.</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potato, yellowish, inward-rolled leaflets and sometimes a bending of the petioles. In advanced stages of infection, dwarfed shoots frequently develop in the axis of leaves near the tip of the plant. Infected plants can become chlorotic and die. - on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symptoms vary, but include stunted plants with thin curled leaves, chlorosis, mottling, and thickened bushy plants with symptoms differing among plants and locations (Giladi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Chiginsky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rarely show distinctive symptoms of BCTV infection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Small geminate particles 18-22 nm in diameter, single or paired (geminivirus) (Thomas &amp; Mink,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BCTV infection is based on specific symptoms on each crop host. Detection of BCTV is possible using polymerase chain reaction (PCR) with virus-specific primers based on the capsid region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will detect most strains of BCTV (except BCTV-PeCTV), and does not cross-react with becurtoviruses. PCR can also be carried out  with strain-specific primer sets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BCTV can also be detected by ELISA using virus-capsid specific antibodies (Durrin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as for the PCR on the capsid region, will react with most strains of BCTV (but not all) and will not cross-react with becurtoviruses.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moved locally by its insect vectors. Internationally, it may be carried in infected host material, or possibly in the vector. There are no reports of the virus being seed-borne or tuber-borne and, therefore, such plant parts are not considered as possible infection sources.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seedlings of sugarbeet and tomato may be traded, they are less likely to be infected than mature plants and they show distinct symptoms when infected. In addition, tomato and pepper plants are poor sources for virus acquisition by the leafhopper vectors because they are not preferred hosts (Hudson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Infected sugarbeet roots intended for planting, including breeding stocks, could potentially be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first recognized causing important damage in 1888, in Nebraska (USA), and has since caused frequent and often very destructive outbreaks throughout the Western USA. Economic impact varies by location and crop in the Western USA, with periodic severe outbreaks in California in tomatoes, in New Mexico in peppers, in Colorado in tomatoes and hemp, and in Wyoming and Idaho in sugarbeets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&amp; Gilbertson, 2016). Some strains are currently found only in a limited geographic region. Other strains are only found infecting certain crop plants and weeds. Some strains only cause symptoms on certain crop hosts. Infection rate may be above 50% per field in a certain years, with an infected plant producing no yield for tomatoes and peppers, and reduced sugar content for sugarbeets. In the EPPO region, in contrast, BCTV is not considered a significant pest. In Türkiye, beet curly top Iran becurtovirus was recently reported as the main viral agent responsible for beet curly top disease in sugarbeets (Yildirim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virus is possible through a combination of measures, which is dependent on location and crop. Insecticide sprays to control the vector are applied in the breeding areas of the leafhoppers in California in the spring and in and around crop fields when leafhopper levels increase (CDFA, 2019). The disease is managed in sugarbeet through the use of seed-applied systemic insecticides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is some reported resistance to the virus in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dry bean type -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while resistance has been identified in wild sugarbeet relatives (Eujayl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controls, such as changing planting date, overseeding with late thinning, kaolin clay applications and improved weed management have been used in peppers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BCTV used to be an EPPO A2 quarantine pest (EPPO, 1982), on the basis of the reported problems in North America. However, in view of the probable origin of the virus in the eastern Mediterranean area, its presence in several Mediterranean countries, its failure to spread in the EPPO region, the limited natural distribution of its vectors and its very minor importance in Europe, it was deleted from the EPPO list in 1984. There is a certain danger that severe strains of the virus could spread into the EPPO region in areas where sugarbeets, tomatoes and peppers are grown. The risk is highest in areas with warm dry climates where the leafhopper vector could become established on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the main pathway for entry of the virus (see Pathways for movement). The EU requires that, for 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(other than seeds), no symptoms of BCTV should have been observed at the place of production since the beginning of the last complete cycle of vegetation (EU, 2023). Only plants with roots are relevant for phytosanitary requirements, as seeds and tubers do not carry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(1971) The curly top disease of sugarbeet and other plants. </w:t>
      </w:r>
      <w:r>
        <w:rPr>
          <w:rFonts w:ascii="Calibri" w:hAnsi="Calibri" w:eastAsia="Calibri" w:cs="Calibri"/>
          <w:i/>
          <w:iCs/>
          <w:color w:val="000000"/>
          <w:sz w:val="22"/>
          <w:szCs w:val="22"/>
        </w:rPr>
        <w:t xml:space="preserve">Monograph, American Phytopathological Society</w:t>
      </w:r>
      <w:r>
        <w:rPr>
          <w:rFonts w:ascii="Calibri" w:hAnsi="Calibri" w:eastAsia="Calibri" w:cs="Calibri"/>
          <w:color w:val="000000"/>
          <w:sz w:val="22"/>
          <w:szCs w:val="22"/>
        </w:rPr>
        <w:t xml:space="preserve"> No. 7, 81 pp.</w:t>
      </w:r>
    </w:p>
    <w:p>
      <w:pPr>
        <w:widowControl w:val="on"/>
        <w:pBdr/>
        <w:spacing w:before="220" w:after="220" w:line="240" w:lineRule="auto"/>
        <w:ind w:left="0" w:right="0"/>
        <w:jc w:val="left"/>
      </w:pPr>
      <w:r>
        <w:rPr>
          <w:rFonts w:ascii="Calibri" w:hAnsi="Calibri" w:eastAsia="Calibri" w:cs="Calibri"/>
          <w:color w:val="000000"/>
          <w:sz w:val="22"/>
          <w:szCs w:val="22"/>
        </w:rPr>
        <w:t xml:space="preserve">CDFA (2019) Curly top Virus: Program Details. California Department of Food and Agriculture. </w:t>
      </w:r>
      <w:hyperlink r:id="rId163969f1bd43aa260" w:history="1">
        <w:r>
          <w:rPr>
            <w:rFonts w:ascii="Calibri" w:hAnsi="Calibri" w:eastAsia="Calibri" w:cs="Calibri"/>
            <w:color w:val="0000CC"/>
            <w:sz w:val="22"/>
            <w:szCs w:val="22"/>
            <w:u w:val="single"/>
          </w:rPr>
          <w:t xml:space="preserve">https://www.cdfa.ca.gov/plant/ipc/curlytopvirus/ctv_hp.htm</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&amp; Gilbertson RL (2016) Transmission of curtoviruses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by the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Vector Mediated Transmission of Plant Pathogens</w:t>
      </w:r>
      <w:r>
        <w:rPr>
          <w:rFonts w:ascii="Calibri" w:hAnsi="Calibri" w:eastAsia="Calibri" w:cs="Calibri"/>
          <w:color w:val="000000"/>
          <w:sz w:val="22"/>
          <w:szCs w:val="22"/>
        </w:rPr>
        <w:t xml:space="preserve"> (ed Brown JK), pp.243-262.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Batuman O, Aegerter BJ, Willems J &amp; Gilbertson RL (2017) First report of curly top disease of pepper and tomato in California caused by the Spinach curly top strain of Beet curly top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1334. </w:t>
      </w:r>
    </w:p>
    <w:p>
      <w:pPr>
        <w:widowControl w:val="on"/>
        <w:pBdr/>
        <w:spacing w:before="220" w:after="220" w:line="240" w:lineRule="auto"/>
        <w:ind w:left="0" w:right="0"/>
        <w:jc w:val="left"/>
      </w:pPr>
      <w:r>
        <w:rPr>
          <w:rFonts w:ascii="Calibri" w:hAnsi="Calibri" w:eastAsia="Calibri" w:cs="Calibri"/>
          <w:color w:val="000000"/>
          <w:sz w:val="22"/>
          <w:szCs w:val="22"/>
        </w:rPr>
        <w:t xml:space="preserve">Chen L, Brannigan K, Clark R &amp; Gilbertson RL (2010) Characterization of curtoviruses associated with curly top disease of tomato in California and monitoring for these viruses in beet leafhoppers.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99-108.</w:t>
      </w:r>
    </w:p>
    <w:p>
      <w:pPr>
        <w:widowControl w:val="on"/>
        <w:pBdr/>
        <w:spacing w:before="220" w:after="220" w:line="240" w:lineRule="auto"/>
        <w:ind w:left="0" w:right="0"/>
        <w:jc w:val="left"/>
      </w:pPr>
      <w:r>
        <w:rPr>
          <w:rFonts w:ascii="Calibri" w:hAnsi="Calibri" w:eastAsia="Calibri" w:cs="Calibri"/>
          <w:color w:val="000000"/>
          <w:sz w:val="22"/>
          <w:szCs w:val="22"/>
        </w:rPr>
        <w:t xml:space="preserve">Chinginsky J, Langemeier K, MacWilliams J, Albrecht T, Cranshaw W, Fulladolsa AC, Kapuscinski M, Stenglein M &amp; Nachappa P (2021) First insights into the virus and viroid communities in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778433.</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(2003) Beet curly top virus. In </w:t>
      </w:r>
      <w:r>
        <w:rPr>
          <w:rFonts w:ascii="Calibri" w:hAnsi="Calibri" w:eastAsia="Calibri" w:cs="Calibri"/>
          <w:i/>
          <w:iCs/>
          <w:color w:val="000000"/>
          <w:sz w:val="22"/>
          <w:szCs w:val="22"/>
        </w:rPr>
        <w:t xml:space="preserve">Compendium of Pepper Diseases</w:t>
      </w:r>
      <w:r>
        <w:rPr>
          <w:rFonts w:ascii="Calibri" w:hAnsi="Calibri" w:eastAsia="Calibri" w:cs="Calibri"/>
          <w:color w:val="000000"/>
          <w:sz w:val="22"/>
          <w:szCs w:val="22"/>
        </w:rPr>
        <w:t xml:space="preserve"> (eds Pernezny K, Roberts P, Murphy JF, Goldberg NP), pp. 26-27.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Carpenter J &amp; Rascon J (2003) Incidence of the beet leafhopper, </w:t>
      </w:r>
      <w:r>
        <w:rPr>
          <w:rFonts w:ascii="Calibri" w:hAnsi="Calibri" w:eastAsia="Calibri" w:cs="Calibri"/>
          <w:i/>
          <w:iCs/>
          <w:color w:val="000000"/>
          <w:sz w:val="22"/>
          <w:szCs w:val="22"/>
        </w:rPr>
        <w:t xml:space="preserve">Circulifer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tenellus</w:t>
      </w:r>
      <w:r>
        <w:rPr>
          <w:rFonts w:ascii="Calibri" w:hAnsi="Calibri" w:eastAsia="Calibri" w:cs="Calibri"/>
          <w:color w:val="000000"/>
          <w:sz w:val="22"/>
          <w:szCs w:val="22"/>
        </w:rPr>
        <w:t xml:space="preserve"> (Homoptera: Cicadellidae) in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Hubble H &amp; Lewis A (2005) Curtovirus infection of chile pepper in New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Luque M &amp; Howo M (1996) Epidemiology and incidence of beet curly top geminivirus in naturally infected weed hosts.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Sanogo S, El-Sebai O, Carpenter J &amp; Sanderson R (2005) Kaolin-based foliar reflectant affects physiology, incidence of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but not yield of chile pepper.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574-576.</w:t>
      </w:r>
    </w:p>
    <w:p>
      <w:pPr>
        <w:widowControl w:val="on"/>
        <w:pBdr/>
        <w:spacing w:before="220" w:after="220" w:line="240" w:lineRule="auto"/>
        <w:ind w:left="0" w:right="0"/>
        <w:jc w:val="left"/>
      </w:pPr>
      <w:r>
        <w:rPr>
          <w:rFonts w:ascii="Calibri" w:hAnsi="Calibri" w:eastAsia="Calibri" w:cs="Calibri"/>
          <w:color w:val="000000"/>
          <w:sz w:val="22"/>
          <w:szCs w:val="22"/>
        </w:rPr>
        <w:t xml:space="preserve">Durrin J, Nikolaeva O, Strausbaugh C &amp; Karasev A (2010) Immuno-detection of two curtoviruses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972–976.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No. 89, Beet curly top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399969f1bd43aa72c"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Eujayl I, Strausbaugh C &amp; Lu C (2018) Registration of sugarbeet doubled haploid line KDH13 with resistance to Beet curly top.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288. </w:t>
      </w:r>
    </w:p>
    <w:p>
      <w:pPr>
        <w:widowControl w:val="on"/>
        <w:pBdr/>
        <w:spacing w:before="220" w:after="220" w:line="240" w:lineRule="auto"/>
        <w:ind w:left="0" w:right="0"/>
        <w:jc w:val="left"/>
      </w:pPr>
      <w:r>
        <w:rPr>
          <w:rFonts w:ascii="Calibri" w:hAnsi="Calibri" w:eastAsia="Calibri" w:cs="Calibri"/>
          <w:color w:val="000000"/>
          <w:sz w:val="22"/>
          <w:szCs w:val="22"/>
        </w:rPr>
        <w:t xml:space="preserve">Giladi Y, Hadad L, Luria N, Cranshaw W, Lachman O &amp; Dombrovsky A (2020) First report of beet curly top virus infecting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in western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999.</w:t>
      </w:r>
    </w:p>
    <w:p>
      <w:pPr>
        <w:widowControl w:val="on"/>
        <w:pBdr/>
        <w:spacing w:before="220" w:after="220" w:line="240" w:lineRule="auto"/>
        <w:ind w:left="0" w:right="0"/>
        <w:jc w:val="left"/>
      </w:pPr>
      <w:r>
        <w:rPr>
          <w:rFonts w:ascii="Calibri" w:hAnsi="Calibri" w:eastAsia="Calibri" w:cs="Calibri"/>
          <w:color w:val="000000"/>
          <w:sz w:val="22"/>
          <w:szCs w:val="22"/>
        </w:rPr>
        <w:t xml:space="preserve">Heydarnejad J, Keyvani N, Razavinejad S, Massumi H &amp; Varsani A (2013) Fulfilling Koch’s postulates for beet curly top Iran virus and proposal for consideration of a new genus in the family Geminiviridae.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435-443.</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A, Richman DB, Escobar I &amp; Creamer R (2010) Comparison of the feeding behavior and genetics of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Baker) populations from California and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Kheyri M &amp; Alimoradi I (1969) </w:t>
      </w:r>
      <w:r>
        <w:rPr>
          <w:rFonts w:ascii="Calibri" w:hAnsi="Calibri" w:eastAsia="Calibri" w:cs="Calibri"/>
          <w:i/>
          <w:iCs/>
          <w:color w:val="000000"/>
          <w:sz w:val="22"/>
          <w:szCs w:val="22"/>
        </w:rPr>
        <w:t xml:space="preserve">The leafhoppers of sugarbeet in Iran and their role in curly-top virus disease</w:t>
      </w:r>
      <w:r>
        <w:rPr>
          <w:rFonts w:ascii="Calibri" w:hAnsi="Calibri" w:eastAsia="Calibri" w:cs="Calibri"/>
          <w:color w:val="000000"/>
          <w:sz w:val="22"/>
          <w:szCs w:val="22"/>
        </w:rPr>
        <w:t xml:space="preserve">. Sugarbeet Seed Institute Karaj, Entomological Research Division, Tehran, Iran.</w:t>
      </w:r>
    </w:p>
    <w:p>
      <w:pPr>
        <w:widowControl w:val="on"/>
        <w:pBdr/>
        <w:spacing w:before="220" w:after="220" w:line="240" w:lineRule="auto"/>
        <w:ind w:left="0" w:right="0"/>
        <w:jc w:val="left"/>
      </w:pPr>
      <w:r>
        <w:rPr>
          <w:rFonts w:ascii="Calibri" w:hAnsi="Calibri" w:eastAsia="Calibri" w:cs="Calibri"/>
          <w:color w:val="000000"/>
          <w:sz w:val="22"/>
          <w:szCs w:val="22"/>
        </w:rPr>
        <w:t xml:space="preserve">Lam N, Creamer R, Rascon J &amp; Belfon R (2009) Characterization of a new curtovirus, </w:t>
      </w:r>
      <w:r>
        <w:rPr>
          <w:rFonts w:ascii="Calibri" w:hAnsi="Calibri" w:eastAsia="Calibri" w:cs="Calibri"/>
          <w:i/>
          <w:iCs/>
          <w:color w:val="000000"/>
          <w:sz w:val="22"/>
          <w:szCs w:val="22"/>
        </w:rPr>
        <w:t xml:space="preserve">Pepper yellow dwarf virus</w:t>
      </w:r>
      <w:r>
        <w:rPr>
          <w:rFonts w:ascii="Calibri" w:hAnsi="Calibri" w:eastAsia="Calibri" w:cs="Calibri"/>
          <w:color w:val="000000"/>
          <w:sz w:val="22"/>
          <w:szCs w:val="22"/>
        </w:rPr>
        <w:t xml:space="preserve">, from chile pepper and distribution in weed hosts in New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RC, Kurowski CJ &amp; Miklas PN (2010) Two independent quantitative trait loci are responsible for novel resistance to beet curly top virus in common bean landrace G122.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972-978.</w:t>
      </w:r>
    </w:p>
    <w:p>
      <w:pPr>
        <w:widowControl w:val="on"/>
        <w:pBdr/>
        <w:spacing w:before="220" w:after="220" w:line="240" w:lineRule="auto"/>
        <w:ind w:left="0" w:right="0"/>
        <w:jc w:val="left"/>
      </w:pPr>
      <w:r>
        <w:rPr>
          <w:rFonts w:ascii="Calibri" w:hAnsi="Calibri" w:eastAsia="Calibri" w:cs="Calibri"/>
          <w:color w:val="000000"/>
          <w:sz w:val="22"/>
          <w:szCs w:val="22"/>
        </w:rPr>
        <w:t xml:space="preserve">Peinado SA, Achata Bottger J, Chen, L-F, Gilbertson RL &amp; Creamer R (2018) Evidence of curtovirus competition and synergy in co-infected plant hosts.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254-262.</w:t>
      </w:r>
    </w:p>
    <w:p>
      <w:pPr>
        <w:widowControl w:val="on"/>
        <w:pBdr/>
        <w:spacing w:before="220" w:after="220" w:line="240" w:lineRule="auto"/>
        <w:ind w:left="0" w:right="0"/>
        <w:jc w:val="left"/>
      </w:pPr>
      <w:r>
        <w:rPr>
          <w:rFonts w:ascii="Calibri" w:hAnsi="Calibri" w:eastAsia="Calibri" w:cs="Calibri"/>
          <w:color w:val="000000"/>
          <w:sz w:val="22"/>
          <w:szCs w:val="22"/>
        </w:rPr>
        <w:t xml:space="preserve">Soto MJ &amp; Gilbertson RL (2003) Distribution and rate of movement of the curtovirus </w:t>
      </w:r>
      <w:r>
        <w:rPr>
          <w:rFonts w:ascii="Calibri" w:hAnsi="Calibri" w:eastAsia="Calibri" w:cs="Calibri"/>
          <w:i/>
          <w:iCs/>
          <w:color w:val="000000"/>
          <w:sz w:val="22"/>
          <w:szCs w:val="22"/>
        </w:rPr>
        <w:t xml:space="preserve">Beet mild curly top virus </w:t>
      </w:r>
      <w:r>
        <w:rPr>
          <w:rFonts w:ascii="Calibri" w:hAnsi="Calibri" w:eastAsia="Calibri" w:cs="Calibri"/>
          <w:color w:val="000000"/>
          <w:sz w:val="22"/>
          <w:szCs w:val="22"/>
        </w:rPr>
        <w:t xml:space="preserve">(family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in the beet leafhopper.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478-484. </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Eujayl IA &amp; Wintermantel WM (2017)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strains associated with sugar beet in Idaho, Oregon, and a Western U.S. collection.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1373-1382.</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Wenninger EJ &amp; Eujayl IA (2012) Management of severe curly top in sugar beet with insecticide.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1159-1164.</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Wintermantel WM, Gillen AM &amp; Eujayl IA (2008) Curly top survey in the 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1212-1217.</w:t>
      </w:r>
    </w:p>
    <w:p>
      <w:pPr>
        <w:widowControl w:val="on"/>
        <w:pBdr/>
        <w:spacing w:before="220" w:after="220" w:line="240" w:lineRule="auto"/>
        <w:ind w:left="0" w:right="0"/>
        <w:jc w:val="left"/>
      </w:pPr>
      <w:r>
        <w:rPr>
          <w:rFonts w:ascii="Calibri" w:hAnsi="Calibri" w:eastAsia="Calibri" w:cs="Calibri"/>
          <w:color w:val="000000"/>
          <w:sz w:val="22"/>
          <w:szCs w:val="22"/>
        </w:rPr>
        <w:t xml:space="preserve">Taheri H, Izadpanah K &amp; Behjatnia SAA (2012) </w:t>
      </w:r>
      <w:r>
        <w:rPr>
          <w:rFonts w:ascii="Calibri" w:hAnsi="Calibri" w:eastAsia="Calibri" w:cs="Calibri"/>
          <w:i/>
          <w:iCs/>
          <w:color w:val="000000"/>
          <w:sz w:val="22"/>
          <w:szCs w:val="22"/>
        </w:rPr>
        <w:t xml:space="preserve">Circulifer haematoceps</w:t>
      </w:r>
      <w:r>
        <w:rPr>
          <w:rFonts w:ascii="Calibri" w:hAnsi="Calibri" w:eastAsia="Calibri" w:cs="Calibri"/>
          <w:color w:val="000000"/>
          <w:sz w:val="22"/>
          <w:szCs w:val="22"/>
        </w:rPr>
        <w:t xml:space="preserve">, the vector of beet curly top Iran virus.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45.</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 &amp; Mink GI (1979) Beet curly top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210.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Martin DP, Navas-Castillo J, Moriones E, Hernández-Zepeda C, Idris A, Murilo Zerbini F &amp; Brown JK (2014) Revisiting the classification of curtoviruses based on genome-wide pairwise identity. Archives of Virology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(7), 1873-1882. </w:t>
      </w:r>
    </w:p>
    <w:p>
      <w:pPr>
        <w:widowControl w:val="on"/>
        <w:pBdr/>
        <w:spacing w:before="220" w:after="220" w:line="240" w:lineRule="auto"/>
        <w:ind w:left="0" w:right="0"/>
        <w:jc w:val="left"/>
      </w:pPr>
      <w:r>
        <w:rPr>
          <w:rFonts w:ascii="Calibri" w:hAnsi="Calibri" w:eastAsia="Calibri" w:cs="Calibri"/>
          <w:color w:val="000000"/>
          <w:sz w:val="22"/>
          <w:szCs w:val="22"/>
        </w:rPr>
        <w:t xml:space="preserve">Yıldırım K, Kavas M, Küçük İS, Seçgin Z, Saraç ÇG (2023) Development of highly efficient resistance to Beet Curly Top Iran Virus (Becurtovirus) in sugar beet (</w:t>
      </w:r>
      <w:r>
        <w:rPr>
          <w:rFonts w:ascii="Calibri" w:hAnsi="Calibri" w:eastAsia="Calibri" w:cs="Calibri"/>
          <w:i/>
          <w:iCs/>
          <w:color w:val="000000"/>
          <w:sz w:val="22"/>
          <w:szCs w:val="22"/>
        </w:rPr>
        <w:t xml:space="preserve">B. vulgaris</w:t>
      </w:r>
      <w:r>
        <w:rPr>
          <w:rFonts w:ascii="Calibri" w:hAnsi="Calibri" w:eastAsia="Calibri" w:cs="Calibri"/>
          <w:color w:val="000000"/>
          <w:sz w:val="22"/>
          <w:szCs w:val="22"/>
        </w:rPr>
        <w:t xml:space="preserve">) via CRISPR/Cas9 System.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(7), 6515. </w:t>
      </w:r>
      <w:hyperlink r:id="rId908969f1bd43aadac" w:history="1">
        <w:r>
          <w:rPr>
            <w:rFonts w:ascii="Calibri" w:hAnsi="Calibri" w:eastAsia="Calibri" w:cs="Calibri"/>
            <w:color w:val="0000CC"/>
            <w:sz w:val="22"/>
            <w:szCs w:val="22"/>
            <w:u w:val="single"/>
          </w:rPr>
          <w:t xml:space="preserve">https://doi.org/10.3390/ijms24076515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Rebecca Creamer (New Mexico State University, NM,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Curtovirus betae</w:t>
      </w:r>
      <w:r>
        <w:rPr>
          <w:rFonts w:ascii="Calibri" w:hAnsi="Calibri" w:eastAsia="Calibri" w:cs="Calibri"/>
          <w:color w:val="000000"/>
          <w:sz w:val="22"/>
          <w:szCs w:val="22"/>
        </w:rPr>
        <w:t xml:space="preserve">. EPPO datasheets on pests recommended for regulation. Available online. </w:t>
      </w:r>
      <w:hyperlink r:id="rId536169f1bd43aae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Beet curly top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r>
        <w:drawing>
          <wp:inline distT="0" distB="0" distL="0" distR="0">
            <wp:extent cx="1800000" cy="604800"/>
            <wp:docPr id="86702204" name="name754469f1bd43abd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3569f1bd43abdf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237082">
    <w:multiLevelType w:val="hybridMultilevel"/>
    <w:lvl w:ilvl="0" w:tplc="27037808">
      <w:start w:val="1"/>
      <w:numFmt w:val="decimal"/>
      <w:lvlText w:val="%1."/>
      <w:lvlJc w:val="left"/>
      <w:pPr>
        <w:ind w:left="720" w:hanging="360"/>
      </w:pPr>
    </w:lvl>
    <w:lvl w:ilvl="1" w:tplc="27037808" w:tentative="1">
      <w:start w:val="1"/>
      <w:numFmt w:val="lowerLetter"/>
      <w:lvlText w:val="%2."/>
      <w:lvlJc w:val="left"/>
      <w:pPr>
        <w:ind w:left="1440" w:hanging="360"/>
      </w:pPr>
    </w:lvl>
    <w:lvl w:ilvl="2" w:tplc="27037808" w:tentative="1">
      <w:start w:val="1"/>
      <w:numFmt w:val="lowerRoman"/>
      <w:lvlText w:val="%3."/>
      <w:lvlJc w:val="right"/>
      <w:pPr>
        <w:ind w:left="2160" w:hanging="180"/>
      </w:pPr>
    </w:lvl>
    <w:lvl w:ilvl="3" w:tplc="27037808" w:tentative="1">
      <w:start w:val="1"/>
      <w:numFmt w:val="decimal"/>
      <w:lvlText w:val="%4."/>
      <w:lvlJc w:val="left"/>
      <w:pPr>
        <w:ind w:left="2880" w:hanging="360"/>
      </w:pPr>
    </w:lvl>
    <w:lvl w:ilvl="4" w:tplc="27037808" w:tentative="1">
      <w:start w:val="1"/>
      <w:numFmt w:val="lowerLetter"/>
      <w:lvlText w:val="%5."/>
      <w:lvlJc w:val="left"/>
      <w:pPr>
        <w:ind w:left="3600" w:hanging="360"/>
      </w:pPr>
    </w:lvl>
    <w:lvl w:ilvl="5" w:tplc="27037808" w:tentative="1">
      <w:start w:val="1"/>
      <w:numFmt w:val="lowerRoman"/>
      <w:lvlText w:val="%6."/>
      <w:lvlJc w:val="right"/>
      <w:pPr>
        <w:ind w:left="4320" w:hanging="180"/>
      </w:pPr>
    </w:lvl>
    <w:lvl w:ilvl="6" w:tplc="27037808" w:tentative="1">
      <w:start w:val="1"/>
      <w:numFmt w:val="decimal"/>
      <w:lvlText w:val="%7."/>
      <w:lvlJc w:val="left"/>
      <w:pPr>
        <w:ind w:left="5040" w:hanging="360"/>
      </w:pPr>
    </w:lvl>
    <w:lvl w:ilvl="7" w:tplc="27037808" w:tentative="1">
      <w:start w:val="1"/>
      <w:numFmt w:val="lowerLetter"/>
      <w:lvlText w:val="%8."/>
      <w:lvlJc w:val="left"/>
      <w:pPr>
        <w:ind w:left="5760" w:hanging="360"/>
      </w:pPr>
    </w:lvl>
    <w:lvl w:ilvl="8" w:tplc="27037808" w:tentative="1">
      <w:start w:val="1"/>
      <w:numFmt w:val="lowerRoman"/>
      <w:lvlText w:val="%9."/>
      <w:lvlJc w:val="right"/>
      <w:pPr>
        <w:ind w:left="6480" w:hanging="180"/>
      </w:pPr>
    </w:lvl>
  </w:abstractNum>
  <w:abstractNum w:abstractNumId="31237081">
    <w:multiLevelType w:val="hybridMultilevel"/>
    <w:lvl w:ilvl="0" w:tplc="169900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237081">
    <w:abstractNumId w:val="31237081"/>
  </w:num>
  <w:num w:numId="31237082">
    <w:abstractNumId w:val="312370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6009342" Type="http://schemas.microsoft.com/office/2011/relationships/commentsExtended" Target="commentsExtended.xml"/><Relationship Id="rId909100593" Type="http://schemas.microsoft.com/office/2011/relationships/people" Target="people.xml"/><Relationship Id="rId168369f1bd43a692d" Type="http://schemas.openxmlformats.org/officeDocument/2006/relationships/hyperlink" Target="https://gd.eppo.int/taxon/BCTV00/" TargetMode="External"/><Relationship Id="rId846369f1bd43a6996" Type="http://schemas.openxmlformats.org/officeDocument/2006/relationships/hyperlink" Target="https://gd.eppo.int/taxon/BCTV00/categorization" TargetMode="External"/><Relationship Id="rId566969f1bd43a6fc8" Type="http://schemas.openxmlformats.org/officeDocument/2006/relationships/hyperlink" Target="https://gd.eppo.int/taxon/BCTV00/photos" TargetMode="External"/><Relationship Id="rId163969f1bd43aa260" Type="http://schemas.openxmlformats.org/officeDocument/2006/relationships/hyperlink" Target="https://www.cdfa.ca.gov/plant/ipc/curlytopvirus/ctv_hp.htm" TargetMode="External"/><Relationship Id="rId399969f1bd43aa72c" Type="http://schemas.openxmlformats.org/officeDocument/2006/relationships/hyperlink" Target="https://eur-lex.europa.eu/legal-content/EN/TXT/?uri=CELEX%3A32019R2072" TargetMode="External"/><Relationship Id="rId908969f1bd43aadac" Type="http://schemas.openxmlformats.org/officeDocument/2006/relationships/hyperlink" Target="https://doi.org/10.3390/ijms24076515" TargetMode="External"/><Relationship Id="rId536169f1bd43aae79" Type="http://schemas.openxmlformats.org/officeDocument/2006/relationships/hyperlink" Target="https://gd.eppo.int" TargetMode="External"/><Relationship Id="rId955169f1bd43a6e8f" Type="http://schemas.openxmlformats.org/officeDocument/2006/relationships/image" Target="media/imgrId955169f1bd43a6e8f.jpg"/><Relationship Id="rId383769f1bd43a8c0b" Type="http://schemas.openxmlformats.org/officeDocument/2006/relationships/image" Target="media/imgrId383769f1bd43a8c0b.jpg"/><Relationship Id="rId573569f1bd43abdf1" Type="http://schemas.openxmlformats.org/officeDocument/2006/relationships/image" Target="media/imgrId573569f1bd43abdf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