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pyrifoliae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pyrifoliae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Drew &amp; Hancock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hyperlink r:id="rId20726abb42991cd3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94506abb42991cd8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BCTRPY</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Bactrocera pyrifoliae </w:t>
      </w:r>
      <w:r>
        <w:rPr>
          <w:rFonts w:ascii="Calibri" w:hAnsi="Calibri" w:eastAsia="Calibri" w:cs="Calibri"/>
          <w:color w:val="000000"/>
          <w:sz w:val="22"/>
          <w:szCs w:val="22"/>
        </w:rPr>
        <w:t xml:space="preserve">belongs to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(see Drew &amp; Hancock, 1994).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Known from a limited but varied list of hosts belonging to five different plant families.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Baccaurea ramiflora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Macropanax concinnus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Xanthophyllum flavescens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only reported from northern Vietnam and Thailand. According to Khahn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Vietnam it only occurs at higher elevations (between 1000 and 1500 m a.s.l.).</w:t>
      </w:r>
    </w:p>
    <w:p>
      <w:r>
        <w:drawing>
          <wp:inline distT="0" distB="0" distL="0" distR="0">
            <wp:extent cx="6120000" cy="3067200"/>
            <wp:docPr id="70001453" name="name38006abb42991d91d" descr="BCTRP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TRPY_distribution_map.jpg"/>
                    <pic:cNvPicPr/>
                  </pic:nvPicPr>
                  <pic:blipFill>
                    <a:blip r:embed="rId60376abb42991d91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Thailand,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is known about the biology of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The general life cycle is considered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Khanh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provides some biological information on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based upon field observations in Vietnam and laboratory experiments. Infested fruits were recovered from mid-June till mid-July. However, fruits collected from hosts located below 1000m in elevation were not infested. In laboratory rearing, the mean duration of the life cycle from egg deposition to adult sexual maturity was 46 days on average, with an average duration for egg, larval and pupal stage of 2.5, 9.7 and 11.5 days respectively.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A key for the 3rd-instar larvae is available in White &amp; Elson- Harris (1992) and is useful for an identification to the genus level. The larvae of </w:t>
      </w:r>
      <w:r>
        <w:rPr>
          <w:rFonts w:ascii="Calibri" w:hAnsi="Calibri" w:eastAsia="Calibri" w:cs="Calibri"/>
          <w:i/>
          <w:iCs/>
          <w:color w:val="000000"/>
          <w:sz w:val="22"/>
          <w:szCs w:val="22"/>
        </w:rPr>
        <w:t xml:space="preserve">B. pyrifoliae </w:t>
      </w:r>
      <w:r>
        <w:rPr>
          <w:rFonts w:ascii="Calibri" w:hAnsi="Calibri" w:eastAsia="Calibri" w:cs="Calibri"/>
          <w:color w:val="000000"/>
          <w:sz w:val="22"/>
          <w:szCs w:val="22"/>
        </w:rPr>
        <w:t xml:space="preserve">have not been described in detail.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given by Drew &amp; Romig, 2013. Additional character states of the female after Drew &amp; Hancock (1994)</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Face fulvous with a pair of medium-sized circular black spots; postpronotal lobes and notopleura yellow; scutum black except dark brown posterolateral to lateral postsutural vittae and dark red-brown anterior to notopleural suture and inside postpronotal lobes; narrow lateral postsutural yellow vittae tapering posteriorly to end before intra-alar seta; medial postsutural yellow vitta absent; mesopleural stripe equal in width to notopleuron dorsally; scutellum yellow; legs with femora fulvous except for a small subapical oval black spot on outer surfaces of fore femora and dark fuscous around apices of mid and hind femora; fore and mid tibiae dark fuscous, hind tibiae black; wing with cells bc and c colourless, microtrichia in outer corner of cell c only; a narrow fuscous costal band confluent with R2+3 and with a slight swelling around apex of R4+5; a narrow fuscous anal streak; supernumerary lobe of medium development; abdominal terga III-V orange-brown and generally with a ‘T’ pattern consisting of a narrow to medium width transverse fuscous to black band across anterior margin of tergum III which expands to cover outer one-third of lateral margins, a narrow to medium width medial longitudinal dark fuscous to black band, tergum V with a narrow to medium width medial longitudinal dark fuscous to black band and dark fuscous to black anterolateral corners which may also meet along anterior margin, a pair of oval dark fuscous shining spots on tergum V; abdominal sterna dark coloured.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in the general body colour patterns. Wing, supernumerary lobe weak; pecten absent from abdominal tergum III. Ovipositor basal segment fuscous, dorsoventrally compressed and tapering posteriorly in dorsal view; ratio of length of oviscape to length of tergum V, 1.2:1; aculeus apex needle shaped. </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differentiation between this species and closely related species within the </w:t>
      </w:r>
      <w:r>
        <w:rPr>
          <w:rFonts w:ascii="Calibri" w:hAnsi="Calibri" w:eastAsia="Calibri" w:cs="Calibri"/>
          <w:i/>
          <w:iCs/>
          <w:color w:val="000000"/>
          <w:sz w:val="22"/>
          <w:szCs w:val="22"/>
        </w:rPr>
        <w:t xml:space="preserve">B. dorsalis </w:t>
      </w:r>
      <w:r>
        <w:rPr>
          <w:rFonts w:ascii="Calibri" w:hAnsi="Calibri" w:eastAsia="Calibri" w:cs="Calibri"/>
          <w:color w:val="000000"/>
          <w:sz w:val="22"/>
          <w:szCs w:val="22"/>
        </w:rPr>
        <w:t xml:space="preserve">species complex is difficult and needs expert confirmation. See ISPM 27 DP 29  (IPPC, 2019) for details on how to differentiate between the main species of commercial importance belonging to the species complex.</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pyrifoliae </w:t>
      </w:r>
      <w:r>
        <w:rPr>
          <w:rFonts w:ascii="Calibri" w:hAnsi="Calibri" w:eastAsia="Calibri" w:cs="Calibri"/>
          <w:color w:val="000000"/>
          <w:sz w:val="22"/>
          <w:szCs w:val="22"/>
        </w:rPr>
        <w:t xml:space="preserve">through DNA barcoding is currently not possible as no reference sequences are available on the Barcode of Life Data Systems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(BOLD).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most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can be monitored by traps baited with male lures, </w:t>
      </w:r>
      <w:r>
        <w:rPr>
          <w:rFonts w:ascii="Calibri" w:hAnsi="Calibri" w:eastAsia="Calibri" w:cs="Calibri"/>
          <w:i/>
          <w:iCs/>
          <w:color w:val="000000"/>
          <w:sz w:val="22"/>
          <w:szCs w:val="22"/>
        </w:rPr>
        <w:t xml:space="preserve">B. pyrifoliae </w:t>
      </w:r>
      <w:r>
        <w:rPr>
          <w:rFonts w:ascii="Calibri" w:hAnsi="Calibri" w:eastAsia="Calibri" w:cs="Calibri"/>
          <w:color w:val="000000"/>
          <w:sz w:val="22"/>
          <w:szCs w:val="22"/>
        </w:rPr>
        <w:t xml:space="preserve">is not known to be attracted significantly to any male lure. There may be a weak attraction of males to cue lure according to Drew &amp; Romig (2013), although Nishida and Tan (2016) record a no-lure response.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Dispersal up to 2 km is considered more typical.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Peaches are heavily infested in Northern Vietnam from early June till harvest in mid July (reaching levels up to 100%) according to Khanh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Vijaysegaran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using a converted brewery yeast waste product, was used against combined infestation of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pyrifoliae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dorsalis</w:t>
      </w:r>
      <w:r>
        <w:rPr>
          <w:rFonts w:ascii="Calibri" w:hAnsi="Calibri" w:eastAsia="Calibri" w:cs="Calibri"/>
          <w:color w:val="000000"/>
          <w:sz w:val="22"/>
          <w:szCs w:val="22"/>
        </w:rPr>
        <w:t xml:space="preserve"> in peach orchards in Northern Vietnam and reduced the damage considerably (from 100% to less than 4%) according to Vijaysegaran (2016).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pyrifoliae </w:t>
      </w:r>
      <w:r>
        <w:rPr>
          <w:rFonts w:ascii="Calibri" w:hAnsi="Calibri" w:eastAsia="Calibri" w:cs="Calibri"/>
          <w:color w:val="000000"/>
          <w:sz w:val="22"/>
          <w:szCs w:val="22"/>
        </w:rPr>
        <w:t xml:space="preserve">is a known pest of peach in the area where it is present. It can be moved in trade with infested fruit. No detailed study was made on climatic suitability of the EPPO region for this species,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is known to occur at higher altitudes in its native range, which could indicate preference for cooler conditions, corresponding to temperate climate conditions within parts of the EPPO region. Transient populations could also impact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pyrifoliae </w:t>
      </w:r>
      <w:r>
        <w:rPr>
          <w:rFonts w:ascii="Calibri" w:hAnsi="Calibri" w:eastAsia="Calibri" w:cs="Calibri"/>
          <w:color w:val="000000"/>
          <w:sz w:val="22"/>
          <w:szCs w:val="22"/>
        </w:rPr>
        <w:t xml:space="preserve">does not occur, or from a place of production found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B. pyrifoliae</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18, 5931, 62pp. </w:t>
      </w:r>
      <w:hyperlink r:id="rId58936abb42991e2c1"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Hancock DL (1994) The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complex of fruit flies (Diptera: Tephritidae: Dacinae) in Asia. </w:t>
      </w:r>
      <w:r>
        <w:rPr>
          <w:rFonts w:ascii="Calibri" w:hAnsi="Calibri" w:eastAsia="Calibri" w:cs="Calibri"/>
          <w:i/>
          <w:iCs/>
          <w:color w:val="000000"/>
          <w:sz w:val="22"/>
          <w:szCs w:val="22"/>
        </w:rPr>
        <w:t xml:space="preserve">Bulletin of Entomological Research suppl. Series</w:t>
      </w:r>
      <w:r>
        <w:rPr>
          <w:rFonts w:ascii="Calibri" w:hAnsi="Calibri" w:eastAsia="Calibri" w:cs="Calibri"/>
          <w:color w:val="000000"/>
          <w:sz w:val="22"/>
          <w:szCs w:val="22"/>
        </w:rPr>
        <w:t xml:space="preserve"> 2, 1-68.</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&amp; Romig MC (2013) Tropical Fruit Flies of South-East Asia. CABI, Wallingford, vii+653pp. </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27 Diagnostic protocols for regulated pests DP 29: </w:t>
      </w:r>
      <w:r>
        <w:rPr>
          <w:rFonts w:ascii="Calibri" w:hAnsi="Calibri" w:eastAsia="Calibri" w:cs="Calibri"/>
          <w:i/>
          <w:iCs/>
          <w:color w:val="000000"/>
          <w:sz w:val="22"/>
          <w:szCs w:val="22"/>
        </w:rPr>
        <w:t xml:space="preserve">Bactrocera dorsalis</w:t>
      </w:r>
      <w:r>
        <w:rPr>
          <w:rFonts w:ascii="Calibri" w:hAnsi="Calibri" w:eastAsia="Calibri" w:cs="Calibri"/>
          <w:color w:val="000000"/>
          <w:sz w:val="22"/>
          <w:szCs w:val="22"/>
        </w:rPr>
        <w:t xml:space="preserve">. International Plant Protection Convention, FAO, Rome (Italy), 39pp.</w:t>
      </w:r>
    </w:p>
    <w:p>
      <w:pPr>
        <w:widowControl w:val="on"/>
        <w:pBdr/>
        <w:spacing w:before="220" w:after="220" w:line="240" w:lineRule="auto"/>
        <w:ind w:left="0" w:right="0"/>
        <w:jc w:val="left"/>
      </w:pPr>
      <w:r>
        <w:rPr>
          <w:rFonts w:ascii="Calibri" w:hAnsi="Calibri" w:eastAsia="Calibri" w:cs="Calibri"/>
          <w:color w:val="000000"/>
          <w:sz w:val="22"/>
          <w:szCs w:val="22"/>
        </w:rPr>
        <w:t xml:space="preserve">Khanh LD, Hien NTT, Trang VT, Toan TT &amp; Rull J (2014) Basic biology and artificial rearing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pyrifoliae</w:t>
      </w:r>
      <w:r>
        <w:rPr>
          <w:rFonts w:ascii="Calibri" w:hAnsi="Calibri" w:eastAsia="Calibri" w:cs="Calibri"/>
          <w:color w:val="000000"/>
          <w:sz w:val="22"/>
          <w:szCs w:val="22"/>
        </w:rPr>
        <w:t xml:space="preserve"> (Diptera: Tephritidae), a pest of peaches and plums in northern Vietnam.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148-153.</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R &amp; Tan K-H (2016) Search for new fruit fly attractants from plants: a review.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ISFFEI</w:t>
      </w:r>
      <w:r>
        <w:rPr>
          <w:rFonts w:ascii="Calibri" w:hAnsi="Calibri" w:eastAsia="Calibri" w:cs="Calibri"/>
          <w:color w:val="000000"/>
          <w:sz w:val="22"/>
          <w:szCs w:val="22"/>
        </w:rPr>
        <w:t xml:space="preserve">, 249-262.</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Vijaysegaran S (2016) Bait manufactured from beer yeast waste and its use for fruit fly management.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ISFFEI,</w:t>
      </w:r>
      <w:r>
        <w:rPr>
          <w:rFonts w:ascii="Calibri" w:hAnsi="Calibri" w:eastAsia="Calibri" w:cs="Calibri"/>
          <w:color w:val="000000"/>
          <w:sz w:val="22"/>
          <w:szCs w:val="22"/>
        </w:rPr>
        <w:t xml:space="preserve"> 227-248.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xii+601pp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pyrifoliae</w:t>
      </w:r>
      <w:r>
        <w:rPr>
          <w:rFonts w:ascii="Calibri" w:hAnsi="Calibri" w:eastAsia="Calibri" w:cs="Calibri"/>
          <w:color w:val="000000"/>
          <w:sz w:val="22"/>
          <w:szCs w:val="22"/>
        </w:rPr>
        <w:t xml:space="preserve">. EPPO datasheets on pests recommended for regulation. Available online. </w:t>
      </w:r>
      <w:hyperlink r:id="rId62766abb42991e6b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part of the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dorsalis </w:t>
      </w:r>
      <w:r>
        <w:rPr>
          <w:rFonts w:ascii="Calibri" w:hAnsi="Calibri" w:eastAsia="Calibri" w:cs="Calibri"/>
          <w:color w:val="000000"/>
          <w:sz w:val="22"/>
          <w:szCs w:val="22"/>
        </w:rPr>
        <w:t xml:space="preserve">species complex,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8542462" name="name80156abb42991e90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9576abb42991e90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3485">
    <w:multiLevelType w:val="hybridMultilevel"/>
    <w:lvl w:ilvl="0" w:tplc="40734246">
      <w:start w:val="1"/>
      <w:numFmt w:val="decimal"/>
      <w:lvlText w:val="%1."/>
      <w:lvlJc w:val="left"/>
      <w:pPr>
        <w:ind w:left="720" w:hanging="360"/>
      </w:pPr>
    </w:lvl>
    <w:lvl w:ilvl="1" w:tplc="40734246" w:tentative="1">
      <w:start w:val="1"/>
      <w:numFmt w:val="lowerLetter"/>
      <w:lvlText w:val="%2."/>
      <w:lvlJc w:val="left"/>
      <w:pPr>
        <w:ind w:left="1440" w:hanging="360"/>
      </w:pPr>
    </w:lvl>
    <w:lvl w:ilvl="2" w:tplc="40734246" w:tentative="1">
      <w:start w:val="1"/>
      <w:numFmt w:val="lowerRoman"/>
      <w:lvlText w:val="%3."/>
      <w:lvlJc w:val="right"/>
      <w:pPr>
        <w:ind w:left="2160" w:hanging="180"/>
      </w:pPr>
    </w:lvl>
    <w:lvl w:ilvl="3" w:tplc="40734246" w:tentative="1">
      <w:start w:val="1"/>
      <w:numFmt w:val="decimal"/>
      <w:lvlText w:val="%4."/>
      <w:lvlJc w:val="left"/>
      <w:pPr>
        <w:ind w:left="2880" w:hanging="360"/>
      </w:pPr>
    </w:lvl>
    <w:lvl w:ilvl="4" w:tplc="40734246" w:tentative="1">
      <w:start w:val="1"/>
      <w:numFmt w:val="lowerLetter"/>
      <w:lvlText w:val="%5."/>
      <w:lvlJc w:val="left"/>
      <w:pPr>
        <w:ind w:left="3600" w:hanging="360"/>
      </w:pPr>
    </w:lvl>
    <w:lvl w:ilvl="5" w:tplc="40734246" w:tentative="1">
      <w:start w:val="1"/>
      <w:numFmt w:val="lowerRoman"/>
      <w:lvlText w:val="%6."/>
      <w:lvlJc w:val="right"/>
      <w:pPr>
        <w:ind w:left="4320" w:hanging="180"/>
      </w:pPr>
    </w:lvl>
    <w:lvl w:ilvl="6" w:tplc="40734246" w:tentative="1">
      <w:start w:val="1"/>
      <w:numFmt w:val="decimal"/>
      <w:lvlText w:val="%7."/>
      <w:lvlJc w:val="left"/>
      <w:pPr>
        <w:ind w:left="5040" w:hanging="360"/>
      </w:pPr>
    </w:lvl>
    <w:lvl w:ilvl="7" w:tplc="40734246" w:tentative="1">
      <w:start w:val="1"/>
      <w:numFmt w:val="lowerLetter"/>
      <w:lvlText w:val="%8."/>
      <w:lvlJc w:val="left"/>
      <w:pPr>
        <w:ind w:left="5760" w:hanging="360"/>
      </w:pPr>
    </w:lvl>
    <w:lvl w:ilvl="8" w:tplc="40734246" w:tentative="1">
      <w:start w:val="1"/>
      <w:numFmt w:val="lowerRoman"/>
      <w:lvlText w:val="%9."/>
      <w:lvlJc w:val="right"/>
      <w:pPr>
        <w:ind w:left="6480" w:hanging="180"/>
      </w:pPr>
    </w:lvl>
  </w:abstractNum>
  <w:abstractNum w:abstractNumId="13603484">
    <w:multiLevelType w:val="hybridMultilevel"/>
    <w:lvl w:ilvl="0" w:tplc="56351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3484">
    <w:abstractNumId w:val="13603484"/>
  </w:num>
  <w:num w:numId="13603485">
    <w:abstractNumId w:val="136034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9741615" Type="http://schemas.microsoft.com/office/2011/relationships/commentsExtended" Target="commentsExtended.xml"/><Relationship Id="rId672366000" Type="http://schemas.microsoft.com/office/2011/relationships/people" Target="people.xml"/><Relationship Id="rId20726abb42991cd3b" Type="http://schemas.openxmlformats.org/officeDocument/2006/relationships/hyperlink" Target="https://gd.eppo.int/taxon/BCTRPY/" TargetMode="External"/><Relationship Id="rId94506abb42991cd80" Type="http://schemas.openxmlformats.org/officeDocument/2006/relationships/hyperlink" Target="https://gd.eppo.int/taxon/BCTRPY/categorization" TargetMode="External"/><Relationship Id="rId58936abb42991e2c1" Type="http://schemas.openxmlformats.org/officeDocument/2006/relationships/hyperlink" Target="https://doi.org/10.2903/j.efsa.2020.5931" TargetMode="External"/><Relationship Id="rId62766abb42991e6bd" Type="http://schemas.openxmlformats.org/officeDocument/2006/relationships/hyperlink" Target="https://gd.eppo.int" TargetMode="External"/><Relationship Id="rId60376abb42991d91b" Type="http://schemas.openxmlformats.org/officeDocument/2006/relationships/image" Target="media/imgrId60376abb42991d91b.jpg"/><Relationship Id="rId59576abb42991e901" Type="http://schemas.openxmlformats.org/officeDocument/2006/relationships/image" Target="media/imgrId59576abb42991e90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