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occipitalis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occipitalis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(Bezzi)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borneoensis</w:t>
            </w:r>
            <w:r>
              <w:rPr>
                <w:rFonts w:ascii="Calibri" w:hAnsi="Calibri" w:eastAsia="Calibri" w:cs="Calibri"/>
                <w:color w:val="000000"/>
                <w:position w:val="-3"/>
                <w:sz w:val="22"/>
                <w:szCs w:val="22"/>
              </w:rPr>
              <w:t xml:space="preserve"> Doorenweerd &amp; San Jose, </w:t>
            </w:r>
            <w:r>
              <w:rPr>
                <w:rFonts w:ascii="Calibri" w:hAnsi="Calibri" w:eastAsia="Calibri" w:cs="Calibri"/>
                <w:i/>
                <w:iCs/>
                <w:color w:val="000000"/>
                <w:position w:val="-3"/>
                <w:sz w:val="22"/>
                <w:szCs w:val="22"/>
              </w:rPr>
              <w:t xml:space="preserve">Bactrocera incognita</w:t>
            </w:r>
            <w:r>
              <w:rPr>
                <w:rFonts w:ascii="Calibri" w:hAnsi="Calibri" w:eastAsia="Calibri" w:cs="Calibri"/>
                <w:color w:val="000000"/>
                <w:position w:val="-3"/>
                <w:sz w:val="22"/>
                <w:szCs w:val="22"/>
              </w:rPr>
              <w:t xml:space="preserve"> Doorenweerd &amp; San Jose, </w:t>
            </w:r>
            <w:r>
              <w:rPr>
                <w:rFonts w:ascii="Calibri" w:hAnsi="Calibri" w:eastAsia="Calibri" w:cs="Calibri"/>
                <w:i/>
                <w:iCs/>
                <w:color w:val="000000"/>
                <w:position w:val="-3"/>
                <w:sz w:val="22"/>
                <w:szCs w:val="22"/>
              </w:rPr>
              <w:t xml:space="preserve">Chaetodacus ferrugineus occipitalis</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Dacus occipitalis</w:t>
            </w:r>
            <w:r>
              <w:rPr>
                <w:rFonts w:ascii="Calibri" w:hAnsi="Calibri" w:eastAsia="Calibri" w:cs="Calibri"/>
                <w:color w:val="000000"/>
                <w:position w:val="-3"/>
                <w:sz w:val="22"/>
                <w:szCs w:val="22"/>
              </w:rPr>
              <w:t xml:space="preserve"> (Bezzi)</w:t>
            </w:r>
            <w:hyperlink r:id="rId39066aaf93a04eef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0916aaf93a04ef4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BCTROC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Known from a limited but varied list of hosts belonging to six different plant families.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Cananga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fruit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has a restricted distribution and is only recorded from islands in Maritime Southeast Asia, i.e. Borneo Island and the Philippine archipelago. Earlier records of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being introduced in Palau, appear to also comprise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(see </w:t>
      </w:r>
      <w:hyperlink r:id="rId91796aaf93a04f291" w:history="1">
        <w:r>
          <w:rPr>
            <w:rFonts w:ascii="Calibri" w:hAnsi="Calibri" w:eastAsia="Calibri" w:cs="Calibri"/>
            <w:b/>
            <w:bCs/>
            <w:color w:val="0000CC"/>
            <w:sz w:val="22"/>
            <w:szCs w:val="22"/>
            <w:u w:val="single"/>
          </w:rPr>
          <w:t xml:space="preserve">Pacific Fruit Fly Project</w:t>
        </w:r>
      </w:hyperlink>
      <w:r>
        <w:rPr>
          <w:rFonts w:ascii="Calibri" w:hAnsi="Calibri" w:eastAsia="Calibri" w:cs="Calibri"/>
          <w:color w:val="000000"/>
          <w:sz w:val="22"/>
          <w:szCs w:val="22"/>
        </w:rPr>
        <w:t xml:space="preserve">).</w:t>
      </w:r>
      <w:hyperlink r:id="rId28766aaf93a04f2b5" w:history="1"/>
    </w:p>
    <w:p>
      <w:r>
        <w:drawing>
          <wp:inline distT="0" distB="0" distL="0" distR="0">
            <wp:extent cx="6120000" cy="3067200"/>
            <wp:docPr id="27015473" name="name41456aaf93a04ffde" descr="BCTRO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OC_distribution_map.jpg"/>
                    <pic:cNvPicPr/>
                  </pic:nvPicPr>
                  <pic:blipFill>
                    <a:blip r:embed="rId47156aaf93a04ffd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br/>
        <w:t xml:space="preserve">Asia:</w:t>
      </w:r>
      <w:r>
        <w:rPr>
          <w:rFonts w:ascii="Calibri" w:hAnsi="Calibri" w:eastAsia="Calibri" w:cs="Calibri"/>
          <w:color w:val="000000"/>
          <w:sz w:val="22"/>
          <w:szCs w:val="22"/>
        </w:rPr>
        <w:t xml:space="preserve"> Brunei Darussalam, Indonesia (Kalimantan), Malaysia (Sabah), Philippines,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deposited inside fruits by the female puncturing the fruit skin. Three larval stages develop inside the fruit, feeding on the plant tissue. Once mature the third instar larva will leave the fruit, dig down into the soil and turn into a pupa enclosed in a puparium. The adult fly will emerge from the puparium. No information is available regarding the duration of the life cycle or the environmental requirements.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larvae of </w:t>
      </w:r>
      <w:r>
        <w:rPr>
          <w:rFonts w:ascii="Calibri" w:hAnsi="Calibri" w:eastAsia="Calibri" w:cs="Calibri"/>
          <w:i/>
          <w:iCs/>
          <w:color w:val="000000"/>
          <w:sz w:val="22"/>
          <w:szCs w:val="22"/>
        </w:rPr>
        <w:t xml:space="preserve">B. occipitalis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(after diagnostic description given by Drew &amp; Romig, 2013. Additional character states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large oval black spots; postpronotal lobes and notopleura yellow; scutum black except dark red-brown along posterior margin and enclosing prescutellar. setae, below and behind lateral postsutural vittae, around notopleural suture, around anterior margin of notopleura and inside postpronotal lobes; broad parallel-sided or subparallel lateral postsutural yellow vittae ending at intra-alar seta (in some specimens the vittae end behind the intra-alar seta); medial postsutural yellow vitta absent; mesopleural stripe reaching midway between anterior margin of notopleuron and anterior notopleural seta dorsally; scutellum yellow; legs with femora entirely fulvous; fore tibiae pale fuscous to fuscous, mid tibiae pale fuscous to fuscous basally tending paler apically, hind tibiae fuscous; wing with cells bc and c colourless, microtrichia in outer corner of cell c only; a narrow fuscous costal band distinctly overlapping R2+3 and widening markedly across apex of wing; a narrow fuscous anal streak; supernumerary lobe of medium development; abdominal terga III-V with a narrow transverse black band across anterior margin of tergum III and expanding to cover lateral margins, dark fuscous to black rectangular markings anterolaterally of tergum IV which sometimes continue to cover posterolateral margin of this tergum, dark fuscous to black anterolateral corners on tergum V, a very broad medial longitudinal black band over all three terga,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Wing, supernumerary lobe weak; pecten absent from abdominal tergum III. Ovipositor basal segment orange-brown, dorsoventrally compressed and tapering posteriorly in dorsal view; ratio of length of oviscape to length of tergum V, 0.68:1;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 (IPPC,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the Barcoding Index Number Systems (BINs) in which this species is represented, might also bias its molecular ID.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96946aaf93a0505f4"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full impact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is not fully understood because of co-occurrence with other similar species such as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Although it is reported from a limited number of commercial fruits, no figures are available on the magnitude of infestation.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is a known pest of peach in the area where it is present. It can be moved in trade with infested fruit. No detailed study has been made on climatic suitability of the EPPO region for this species, and it is unclear whether it could become established in the EPPO region. However, even transient populations could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occipitalis </w:t>
      </w:r>
      <w:r>
        <w:rPr>
          <w:rFonts w:ascii="Calibri" w:hAnsi="Calibri" w:eastAsia="Calibri" w:cs="Calibri"/>
          <w:color w:val="000000"/>
          <w:sz w:val="22"/>
          <w:szCs w:val="22"/>
        </w:rPr>
        <w:t xml:space="preserve">does not occur, or from a place of production found free from the pest by regular inspection for 3 months before harvest. Plants transported with roots from countries or regions where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18: 5931, 62pp. </w:t>
      </w:r>
      <w:hyperlink r:id="rId92096aaf93a050992"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K.L.K. Lee &amp; J. Santamaria. 2019. Host plant records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occipitalis</w:t>
      </w:r>
      <w:r>
        <w:rPr>
          <w:rFonts w:ascii="Calibri" w:hAnsi="Calibri" w:eastAsia="Calibri" w:cs="Calibri"/>
          <w:color w:val="000000"/>
          <w:sz w:val="22"/>
          <w:szCs w:val="22"/>
        </w:rPr>
        <w:t xml:space="preserve"> (Bezzi) (</w:t>
      </w:r>
      <w:r>
        <w:rPr>
          <w:rFonts w:ascii="Calibri" w:hAnsi="Calibri" w:eastAsia="Calibri" w:cs="Calibri"/>
          <w:i/>
          <w:iCs/>
          <w:color w:val="000000"/>
          <w:sz w:val="22"/>
          <w:szCs w:val="22"/>
        </w:rPr>
        <w:t xml:space="preserve">Diptera : Tephritidae</w:t>
      </w:r>
      <w:r>
        <w:rPr>
          <w:rFonts w:ascii="Calibri" w:hAnsi="Calibri" w:eastAsia="Calibri" w:cs="Calibri"/>
          <w:color w:val="000000"/>
          <w:sz w:val="22"/>
          <w:szCs w:val="22"/>
        </w:rPr>
        <w:t xml:space="preserve">), Version 1.0. Available online at USDA Compendium of Fruit Fly Host Information (CoFFHI). </w:t>
      </w:r>
      <w:hyperlink r:id="rId87006aaf93a050b56"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16/05/2020)</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34756aaf93a050c7b" w:history="1">
        <w:r>
          <w:rPr>
            <w:rFonts w:ascii="Calibri" w:hAnsi="Calibri" w:eastAsia="Calibri" w:cs="Calibri"/>
            <w:color w:val="0000CC"/>
            <w:sz w:val="22"/>
            <w:szCs w:val="22"/>
            <w:u w:val="single"/>
          </w:rPr>
          <w:t xml:space="preserve">https://www.cabi.org/isc/datasheet/8729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occipitalis</w:t>
      </w:r>
      <w:r>
        <w:rPr>
          <w:rFonts w:ascii="Calibri" w:hAnsi="Calibri" w:eastAsia="Calibri" w:cs="Calibri"/>
          <w:color w:val="000000"/>
          <w:sz w:val="22"/>
          <w:szCs w:val="22"/>
        </w:rPr>
        <w:t xml:space="preserve">. EPPO datasheets on pests recommended for regulation. Available online. </w:t>
      </w:r>
      <w:hyperlink r:id="rId25236aaf93a050d3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9933504" name="name28576aaf93a050e8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596aaf93a050e8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88494">
    <w:multiLevelType w:val="hybridMultilevel"/>
    <w:lvl w:ilvl="0" w:tplc="82909613">
      <w:start w:val="1"/>
      <w:numFmt w:val="decimal"/>
      <w:lvlText w:val="%1."/>
      <w:lvlJc w:val="left"/>
      <w:pPr>
        <w:ind w:left="720" w:hanging="360"/>
      </w:pPr>
    </w:lvl>
    <w:lvl w:ilvl="1" w:tplc="82909613" w:tentative="1">
      <w:start w:val="1"/>
      <w:numFmt w:val="lowerLetter"/>
      <w:lvlText w:val="%2."/>
      <w:lvlJc w:val="left"/>
      <w:pPr>
        <w:ind w:left="1440" w:hanging="360"/>
      </w:pPr>
    </w:lvl>
    <w:lvl w:ilvl="2" w:tplc="82909613" w:tentative="1">
      <w:start w:val="1"/>
      <w:numFmt w:val="lowerRoman"/>
      <w:lvlText w:val="%3."/>
      <w:lvlJc w:val="right"/>
      <w:pPr>
        <w:ind w:left="2160" w:hanging="180"/>
      </w:pPr>
    </w:lvl>
    <w:lvl w:ilvl="3" w:tplc="82909613" w:tentative="1">
      <w:start w:val="1"/>
      <w:numFmt w:val="decimal"/>
      <w:lvlText w:val="%4."/>
      <w:lvlJc w:val="left"/>
      <w:pPr>
        <w:ind w:left="2880" w:hanging="360"/>
      </w:pPr>
    </w:lvl>
    <w:lvl w:ilvl="4" w:tplc="82909613" w:tentative="1">
      <w:start w:val="1"/>
      <w:numFmt w:val="lowerLetter"/>
      <w:lvlText w:val="%5."/>
      <w:lvlJc w:val="left"/>
      <w:pPr>
        <w:ind w:left="3600" w:hanging="360"/>
      </w:pPr>
    </w:lvl>
    <w:lvl w:ilvl="5" w:tplc="82909613" w:tentative="1">
      <w:start w:val="1"/>
      <w:numFmt w:val="lowerRoman"/>
      <w:lvlText w:val="%6."/>
      <w:lvlJc w:val="right"/>
      <w:pPr>
        <w:ind w:left="4320" w:hanging="180"/>
      </w:pPr>
    </w:lvl>
    <w:lvl w:ilvl="6" w:tplc="82909613" w:tentative="1">
      <w:start w:val="1"/>
      <w:numFmt w:val="decimal"/>
      <w:lvlText w:val="%7."/>
      <w:lvlJc w:val="left"/>
      <w:pPr>
        <w:ind w:left="5040" w:hanging="360"/>
      </w:pPr>
    </w:lvl>
    <w:lvl w:ilvl="7" w:tplc="82909613" w:tentative="1">
      <w:start w:val="1"/>
      <w:numFmt w:val="lowerLetter"/>
      <w:lvlText w:val="%8."/>
      <w:lvlJc w:val="left"/>
      <w:pPr>
        <w:ind w:left="5760" w:hanging="360"/>
      </w:pPr>
    </w:lvl>
    <w:lvl w:ilvl="8" w:tplc="82909613" w:tentative="1">
      <w:start w:val="1"/>
      <w:numFmt w:val="lowerRoman"/>
      <w:lvlText w:val="%9."/>
      <w:lvlJc w:val="right"/>
      <w:pPr>
        <w:ind w:left="6480" w:hanging="180"/>
      </w:pPr>
    </w:lvl>
  </w:abstractNum>
  <w:abstractNum w:abstractNumId="86988493">
    <w:multiLevelType w:val="hybridMultilevel"/>
    <w:lvl w:ilvl="0" w:tplc="36347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88493">
    <w:abstractNumId w:val="86988493"/>
  </w:num>
  <w:num w:numId="86988494">
    <w:abstractNumId w:val="869884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1404068" Type="http://schemas.microsoft.com/office/2011/relationships/commentsExtended" Target="commentsExtended.xml"/><Relationship Id="rId327139446" Type="http://schemas.microsoft.com/office/2011/relationships/people" Target="people.xml"/><Relationship Id="rId39066aaf93a04eefc" Type="http://schemas.openxmlformats.org/officeDocument/2006/relationships/hyperlink" Target="https://gd.eppo.int/taxon/BCTROC/" TargetMode="External"/><Relationship Id="rId20916aaf93a04ef4b" Type="http://schemas.openxmlformats.org/officeDocument/2006/relationships/hyperlink" Target="https://gd.eppo.int/taxon/BCTROC/categorization" TargetMode="External"/><Relationship Id="rId91796aaf93a04f291" Type="http://schemas.openxmlformats.org/officeDocument/2006/relationships/hyperlink" Target="https://lrd.spc.int/species/bactrocera-occipitalis-bezzi" TargetMode="External"/><Relationship Id="rId28766aaf93a04f2b5" Type="http://schemas.openxmlformats.org/officeDocument/2006/relationships/hyperlink" Target="https://lrd.spc.int/species/bactrocera-occipitalis-bezzi" TargetMode="External"/><Relationship Id="rId96946aaf93a0505f4" Type="http://schemas.openxmlformats.org/officeDocument/2006/relationships/hyperlink" Target="https://www.boldsystems.org/index.php/TaxBrowser_TaxonPage?taxid=79331" TargetMode="External"/><Relationship Id="rId92096aaf93a050992" Type="http://schemas.openxmlformats.org/officeDocument/2006/relationships/hyperlink" Target="https://doi.org/10.2903/j.efsa.2020.5931" TargetMode="External"/><Relationship Id="rId87006aaf93a050b56" Type="http://schemas.openxmlformats.org/officeDocument/2006/relationships/hyperlink" Target="https://coffhi.cphst.org/" TargetMode="External"/><Relationship Id="rId34756aaf93a050c7b" Type="http://schemas.openxmlformats.org/officeDocument/2006/relationships/hyperlink" Target="https://www.cabi.org/isc/datasheet/8729" TargetMode="External"/><Relationship Id="rId25236aaf93a050d33" Type="http://schemas.openxmlformats.org/officeDocument/2006/relationships/hyperlink" Target="https://gd.eppo.int" TargetMode="External"/><Relationship Id="rId47156aaf93a04ffdc" Type="http://schemas.openxmlformats.org/officeDocument/2006/relationships/image" Target="media/imgrId47156aaf93a04ffdc.jpg"/><Relationship Id="rId55596aaf93a050e80" Type="http://schemas.openxmlformats.org/officeDocument/2006/relationships/image" Target="media/imgrId55596aaf93a050e8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