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caryeae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caryeae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(Kapoor)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Dacus caryeae</w:t>
            </w:r>
            <w:r>
              <w:rPr>
                <w:rFonts w:ascii="Calibri" w:hAnsi="Calibri" w:eastAsia="Calibri" w:cs="Calibri"/>
                <w:color w:val="000000"/>
                <w:position w:val="-3"/>
                <w:sz w:val="22"/>
                <w:szCs w:val="22"/>
              </w:rPr>
              <w:t xml:space="preserve"> Kapoor</w:t>
            </w:r>
            <w:hyperlink r:id="rId12246a43d1be154c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74316a43d1be1550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BCTRCR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caryeae </w:t>
      </w:r>
      <w:r>
        <w:rPr>
          <w:rFonts w:ascii="Calibri" w:hAnsi="Calibri" w:eastAsia="Calibri" w:cs="Calibri"/>
          <w:color w:val="000000"/>
          <w:sz w:val="22"/>
          <w:szCs w:val="22"/>
        </w:rPr>
        <w:t xml:space="preserve">belongs to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pest species is known from a limited but varied range of hosts, including several commercial crops. However, because of possible confusion with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several older records need confirmation.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integer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Careya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tangerina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restricted to southern part of the Indian Subcontinent. Although some sources indicate that the species is present in Sri Lanka, Drew &amp; Romig (2013) state explicitly that the earlier recorded presence in Sri Lanka is erroneous.</w:t>
      </w:r>
    </w:p>
    <w:p>
      <w:r>
        <w:drawing>
          <wp:inline distT="0" distB="0" distL="0" distR="0">
            <wp:extent cx="6120000" cy="3067200"/>
            <wp:docPr id="1777309" name="name82486a43d1be16757" descr="BCTRC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RCR_distribution_map.jpg"/>
                    <pic:cNvPicPr/>
                  </pic:nvPicPr>
                  <pic:blipFill>
                    <a:blip r:embed="rId96906a43d1be1675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(Goa, Karnataka, Kerala, Tamil Nadu)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is known about the biology of </w:t>
      </w:r>
      <w:r>
        <w:rPr>
          <w:rFonts w:ascii="Calibri" w:hAnsi="Calibri" w:eastAsia="Calibri" w:cs="Calibri"/>
          <w:i/>
          <w:iCs/>
          <w:color w:val="000000"/>
          <w:sz w:val="22"/>
          <w:szCs w:val="22"/>
        </w:rPr>
        <w:t xml:space="preserve">B. caryeae</w:t>
      </w:r>
      <w:r>
        <w:rPr>
          <w:rFonts w:ascii="Calibri" w:hAnsi="Calibri" w:eastAsia="Calibri" w:cs="Calibri"/>
          <w:color w:val="000000"/>
          <w:sz w:val="22"/>
          <w:szCs w:val="22"/>
        </w:rPr>
        <w:t xml:space="preserve">. The general life cycle is considered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No information is available regarding the duration of the life cycle or the environmental requirements.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length varies from 5 to 15 mm. Identification to species level is not possible based on larvae. A key for the 3rd-instar larvae is available in White &amp; Elson- Harris (1992) and is useful for identification to the genus level. The larvae of </w:t>
      </w:r>
      <w:r>
        <w:rPr>
          <w:rFonts w:ascii="Calibri" w:hAnsi="Calibri" w:eastAsia="Calibri" w:cs="Calibri"/>
          <w:i/>
          <w:iCs/>
          <w:color w:val="000000"/>
          <w:sz w:val="22"/>
          <w:szCs w:val="22"/>
        </w:rPr>
        <w:t xml:space="preserve">B. caryeae </w:t>
      </w:r>
      <w:r>
        <w:rPr>
          <w:rFonts w:ascii="Calibri" w:hAnsi="Calibri" w:eastAsia="Calibri" w:cs="Calibri"/>
          <w:color w:val="000000"/>
          <w:sz w:val="22"/>
          <w:szCs w:val="22"/>
        </w:rPr>
        <w:t xml:space="preserve">have not been described in detail.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given by Drew &amp; Romig, 2013. Additional character states of the female after Drew &amp; Hancock, 1994)</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Face fulvous with a pair of large elongate oval black spots; postpronotal lobes yellow (except anterodorsal corners fuscous); notopleura yellow; scutum black with a small area of dark brown posterolateral to lateral postsutural vittae; narrow lateral postsutural yellow vittae which are either parallel sided or narrowing slightly posteriorly to end at or just before intra-alar seta; medial postsutural yellow vitta absent; mesopleural stripe reaching midway between anterior margin of notopleuron and anterior notopleural seta dorsally; scutellum yellow with a broad black basal band; legs with femora fulvous with a large dark fuscous to black preapical spot on outer surfaces of fore femora and inner surfaces of mid and hind femora; fore tibiae fuscous, mid tibiae fulvous, hind tibiae dark fuscous; wing with cells bc and c colourless, sparse microtrichia in outer corner of cell c only; a very narrow fuscous costal band confluent with R2+3 and remaining very narrow around apex of wing; a narrow fuscous anal streak contained within cell cup; supernumerary lobe of medium development; abdominal terga III-V orange-brown with dark fuscous to black across anterior one-third to one-half of tergum III, two broad lateral longitudinal dark fuscous to black bands and a narrow medial longitudinal black band over all three terga, a pair of oval orange-brown shining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in the general body colour patterns. Wing, supernumerary lobe weak; pecten absent from abdominal tergum III. Ovipositor basal segment fuscous, dorsoventrally compressed and tapering posteriorly in dorsal view; ratio of length of oviscape to length of tergum V, 0.78:1;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is difficult and needs expert confirmation. See ISPM 27 DP 29(IPPC, 2019) for details on how to differentiate between the main species of commercial importance belonging to the species complex.</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caryeae</w:t>
      </w:r>
      <w:r>
        <w:rPr>
          <w:rFonts w:ascii="Calibri" w:hAnsi="Calibri" w:eastAsia="Calibri" w:cs="Calibri"/>
          <w:color w:val="000000"/>
          <w:sz w:val="22"/>
          <w:szCs w:val="22"/>
        </w:rPr>
        <w:t xml:space="preserve"> through DNA barcoding (COI) proves to be problematic as this species cannot be properly resolved from a number of closely related species, including species from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ISPM 27 DP 29 - IPPC, 2019). Additionally, the presence of unidentified / possibly misidentified reference sequence in BINs in which this species is represented, might also bias its molecular ID.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42006a43d1be16dea"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methyl eugenol. Both sexes can also be monitored by traps baited with protein 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Ramani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mention mango and guava as the main commercial hosts.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 recent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caryeae </w:t>
      </w:r>
      <w:r>
        <w:rPr>
          <w:rFonts w:ascii="Calibri" w:hAnsi="Calibri" w:eastAsia="Calibri" w:cs="Calibri"/>
          <w:color w:val="000000"/>
          <w:sz w:val="22"/>
          <w:szCs w:val="22"/>
        </w:rPr>
        <w:t xml:space="preserve">is a known pest of commercial fruit crops in the area where it is present. It can be moved in trade with infested fruit. No detailed study has been made on climatic suitability of the EPPO region for this species, and it is unclear whether it could become established in the EPPO region. Transient populations could also impact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caryeae</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caryeae</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caryeae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caryeae</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18: 5931, 62pp. </w:t>
      </w:r>
      <w:hyperlink r:id="rId23516a43d1be1719e"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39pp.</w:t>
      </w:r>
    </w:p>
    <w:p>
      <w:pPr>
        <w:widowControl w:val="on"/>
        <w:pBdr/>
        <w:spacing w:before="220" w:after="220" w:line="240" w:lineRule="auto"/>
        <w:ind w:left="0" w:right="0"/>
        <w:jc w:val="left"/>
      </w:pPr>
      <w:r>
        <w:rPr>
          <w:rFonts w:ascii="Calibri" w:hAnsi="Calibri" w:eastAsia="Calibri" w:cs="Calibri"/>
          <w:color w:val="000000"/>
          <w:sz w:val="22"/>
          <w:szCs w:val="22"/>
        </w:rPr>
        <w:t xml:space="preserve">Ramani S, David KJ, Viraktamath CA &amp; Kumar ARV (2008) Identity and distribution of </w:t>
      </w:r>
      <w:r>
        <w:rPr>
          <w:rFonts w:ascii="Calibri" w:hAnsi="Calibri" w:eastAsia="Calibri" w:cs="Calibri"/>
          <w:i/>
          <w:iCs/>
          <w:color w:val="000000"/>
          <w:sz w:val="22"/>
          <w:szCs w:val="22"/>
        </w:rPr>
        <w:t xml:space="preserve">Bactrocera caryeae</w:t>
      </w:r>
      <w:r>
        <w:rPr>
          <w:rFonts w:ascii="Calibri" w:hAnsi="Calibri" w:eastAsia="Calibri" w:cs="Calibri"/>
          <w:color w:val="000000"/>
          <w:sz w:val="22"/>
          <w:szCs w:val="22"/>
        </w:rPr>
        <w:t xml:space="preserve"> (Kapoor) (Insecta: Diptera: Tephritidae) A species under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w:t>
      </w:r>
      <w:r>
        <w:rPr>
          <w:rFonts w:ascii="Calibri" w:hAnsi="Calibri" w:eastAsia="Calibri" w:cs="Calibri"/>
          <w:color w:val="000000"/>
          <w:sz w:val="22"/>
          <w:szCs w:val="22"/>
        </w:rPr>
        <w:t xml:space="preserve"> complex in India. </w:t>
      </w:r>
      <w:r>
        <w:rPr>
          <w:rFonts w:ascii="Calibri" w:hAnsi="Calibri" w:eastAsia="Calibri" w:cs="Calibri"/>
          <w:i/>
          <w:iCs/>
          <w:color w:val="000000"/>
          <w:sz w:val="22"/>
          <w:szCs w:val="22"/>
        </w:rPr>
        <w:t xml:space="preserve">Biosystematica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49-57. </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61366a43d1be1749e" w:history="1">
        <w:r>
          <w:rPr>
            <w:rFonts w:ascii="Calibri" w:hAnsi="Calibri" w:eastAsia="Calibri" w:cs="Calibri"/>
            <w:color w:val="0000CC"/>
            <w:sz w:val="22"/>
            <w:szCs w:val="22"/>
            <w:u w:val="single"/>
          </w:rPr>
          <w:t xml:space="preserve">https://www.cabi.org/isc/datasheet/8699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caryeae</w:t>
      </w:r>
      <w:r>
        <w:rPr>
          <w:rFonts w:ascii="Calibri" w:hAnsi="Calibri" w:eastAsia="Calibri" w:cs="Calibri"/>
          <w:color w:val="000000"/>
          <w:sz w:val="22"/>
          <w:szCs w:val="22"/>
        </w:rPr>
        <w:t xml:space="preserve">. EPPO datasheets on pests recommended for regulation. Available online. </w:t>
      </w:r>
      <w:hyperlink r:id="rId76596a43d1be1755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part of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species complex,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3781587" name="name36926a43d1be176e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2196a43d1be176e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620102">
    <w:multiLevelType w:val="hybridMultilevel"/>
    <w:lvl w:ilvl="0" w:tplc="10164632">
      <w:start w:val="1"/>
      <w:numFmt w:val="decimal"/>
      <w:lvlText w:val="%1."/>
      <w:lvlJc w:val="left"/>
      <w:pPr>
        <w:ind w:left="720" w:hanging="360"/>
      </w:pPr>
    </w:lvl>
    <w:lvl w:ilvl="1" w:tplc="10164632" w:tentative="1">
      <w:start w:val="1"/>
      <w:numFmt w:val="lowerLetter"/>
      <w:lvlText w:val="%2."/>
      <w:lvlJc w:val="left"/>
      <w:pPr>
        <w:ind w:left="1440" w:hanging="360"/>
      </w:pPr>
    </w:lvl>
    <w:lvl w:ilvl="2" w:tplc="10164632" w:tentative="1">
      <w:start w:val="1"/>
      <w:numFmt w:val="lowerRoman"/>
      <w:lvlText w:val="%3."/>
      <w:lvlJc w:val="right"/>
      <w:pPr>
        <w:ind w:left="2160" w:hanging="180"/>
      </w:pPr>
    </w:lvl>
    <w:lvl w:ilvl="3" w:tplc="10164632" w:tentative="1">
      <w:start w:val="1"/>
      <w:numFmt w:val="decimal"/>
      <w:lvlText w:val="%4."/>
      <w:lvlJc w:val="left"/>
      <w:pPr>
        <w:ind w:left="2880" w:hanging="360"/>
      </w:pPr>
    </w:lvl>
    <w:lvl w:ilvl="4" w:tplc="10164632" w:tentative="1">
      <w:start w:val="1"/>
      <w:numFmt w:val="lowerLetter"/>
      <w:lvlText w:val="%5."/>
      <w:lvlJc w:val="left"/>
      <w:pPr>
        <w:ind w:left="3600" w:hanging="360"/>
      </w:pPr>
    </w:lvl>
    <w:lvl w:ilvl="5" w:tplc="10164632" w:tentative="1">
      <w:start w:val="1"/>
      <w:numFmt w:val="lowerRoman"/>
      <w:lvlText w:val="%6."/>
      <w:lvlJc w:val="right"/>
      <w:pPr>
        <w:ind w:left="4320" w:hanging="180"/>
      </w:pPr>
    </w:lvl>
    <w:lvl w:ilvl="6" w:tplc="10164632" w:tentative="1">
      <w:start w:val="1"/>
      <w:numFmt w:val="decimal"/>
      <w:lvlText w:val="%7."/>
      <w:lvlJc w:val="left"/>
      <w:pPr>
        <w:ind w:left="5040" w:hanging="360"/>
      </w:pPr>
    </w:lvl>
    <w:lvl w:ilvl="7" w:tplc="10164632" w:tentative="1">
      <w:start w:val="1"/>
      <w:numFmt w:val="lowerLetter"/>
      <w:lvlText w:val="%8."/>
      <w:lvlJc w:val="left"/>
      <w:pPr>
        <w:ind w:left="5760" w:hanging="360"/>
      </w:pPr>
    </w:lvl>
    <w:lvl w:ilvl="8" w:tplc="10164632" w:tentative="1">
      <w:start w:val="1"/>
      <w:numFmt w:val="lowerRoman"/>
      <w:lvlText w:val="%9."/>
      <w:lvlJc w:val="right"/>
      <w:pPr>
        <w:ind w:left="6480" w:hanging="180"/>
      </w:pPr>
    </w:lvl>
  </w:abstractNum>
  <w:abstractNum w:abstractNumId="52620101">
    <w:multiLevelType w:val="hybridMultilevel"/>
    <w:lvl w:ilvl="0" w:tplc="514223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620101">
    <w:abstractNumId w:val="52620101"/>
  </w:num>
  <w:num w:numId="52620102">
    <w:abstractNumId w:val="5262010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0977445" Type="http://schemas.microsoft.com/office/2011/relationships/commentsExtended" Target="commentsExtended.xml"/><Relationship Id="rId621856415" Type="http://schemas.microsoft.com/office/2011/relationships/people" Target="people.xml"/><Relationship Id="rId12246a43d1be154c2" Type="http://schemas.openxmlformats.org/officeDocument/2006/relationships/hyperlink" Target="https://gd.eppo.int/taxon/BCTRCR/" TargetMode="External"/><Relationship Id="rId74316a43d1be15506" Type="http://schemas.openxmlformats.org/officeDocument/2006/relationships/hyperlink" Target="https://gd.eppo.int/taxon/BCTRCR/categorization" TargetMode="External"/><Relationship Id="rId42006a43d1be16dea" Type="http://schemas.openxmlformats.org/officeDocument/2006/relationships/hyperlink" Target="http://Symptoms%20Attacked%20fruit%20have%20tiny%20oviposition%20punctures,%20but%20these%20and%20other%20symptoms%20of%20damage%20are%20often%20difficult%20to%20detect%20in%20the%20early%20stages%20of%20infestation.%20Considerable%20damage%20may%20occur%20inside%20the%20fruit%20before%20symptoms%20are%20visible%20externally,%20often%20as%20networks%20of%20tunnels%20accompanied%20by%20rotting.%20Morphology%20Larva%20Fruit%20fly%20larvae%20in%20general%20have%20a%20typical%20shape,%20i.e.,%20cylindrical%20maggot-shape,%20elongate,%20anterior%20end%20narrowed%20and%20somewhat%20recurved%20ventrally,%20with%20anterior%20mouth%20hooks,%20and%20flattened%20caudal%20end.%20Their%20length%20varies%20from%205%20to%2015%20mm.%20Identification%20to%20species%20level%20is%20not%20possible%20based%20on%20larvae.%20A%20key%20for%20the%203rd-instar%20larvae%20is%20available%20in%20White%20&amp;%20Elson-%20Harris%20(1992)%20and%20is%20useful%20for%20identification%20to%20the%20genus%20level.%20The%20larvae%20of%20B.%20caryeae%20have%20not%20been%20described%20in%20detail.%20%20Adult%20(after%20diagnostic%20description%20given%20by%20Drew%20&amp;%20Romig,%202013.%20Additional%20character%20states%20of%20the%20female%20after%20Drew%20&amp;%20Hancock,%201994)%20Male%20Face%20fulvous%20with%20a%20pair%20of%20large%20elongate%20oval%20black%20spots;%20postpronotal%20lobes%20yellow%20(except%20anterodorsal%20corners%20fuscous);%20notopleura%20yellow;%20scutum%20black%20with%20a%20small%20area%20of%20dark%20brown%20posterolateral%20to%20lateral%20postsutural%20vittae;%20narrow%20lateral%20postsutural%20yellow%20vittae%20which%20are%20either%20parallel%20sided%20or%20narrowing%20slightly%20posteriorly%20to%20end%20at%20or%20just%20before%20intra-alar%20seta;%20medial%20postsutural%20yellow%20vitta%20absent;%20mesopleural%20stripe%20reaching%20midway%20between%20anterior%20margin%20of%20notopleuron%20and%20anterior%20notopleural%20seta%20dorsally;%20scutellum%20yellow%20with%20a%20broad%20black%20basal%20band;%20legs%20with%20femora%20fulvous%20with%20a%20large%20dark%20fuscous%20to%20black%20preapical%20spot%20on%20outer%20surfaces%20of%20fore%20femora%20and%20inner%20surfaces%20of%20mid%20and%20hind%20femora;%20fore%20tibiae%20fuscous,%20mid%20tibiae%20fulvous,%20hind%20tibiae%20dark%20fuscous;%20wing%20with%20cells%20bc%20and%20c%20colourless,%20sparse%20microtrichia%20in%20outer%20corner%20of%20cell%20c%20only;%20a%20very%20narrow%20fuscous%20costal%20band%20confluent%20with%20R2+3%20and%20remaining%20very%20narrow%20around%20apex%20of%20wing;%20a%20narrow%20fuscous%20anal%20streak%20contained%20within%20cell%20cup;%20supernumerary%20lobe%20of%20medium%20development;%20abdominal%20terga%20III-V%20orange-brown%20with%20dark%20fuscous%20to%20black%20across%20anterior%20one-third%20to%20one-half%20of%20tergum%20III,%20two%20broad%20lateral%20longitudinal%20dark%20fuscous%20to%20black%20bands%20and%20a%20narrow%20medial%20longitudinal%20black%20band%20over%20all%20three%20terga,%20a%20pair%20of%20oval%20orange-brown%20shining%20spots%20on%20tergum%20V;%20abdominal%20sterna%20dark%20coloured.%20%20Female%20As%20for%20male%20in%20the%20general%20body%20colour%20patterns.%20Wing,%20supernumerary%20lobe%20weak;%20pecten%20absent%20from%20abdominal%20tergum%20III.%20Ovipositor%20basal%20segment%20fuscous,%20dorsoventrally%20compressed%20and%20tapering%20posteriorly%20in%20dorsal%20view;%20ratio%20of%20length%20of%20oviscape%20to%20length%20of%20tergum%20V,%200.78:1;%20aculeus%20apex%20needle%20shaped.%20%20Remark%3A%20differentiation%20between%20this%20species%20and%20closely%20related%20species%20within%20the%20B.%20dorsalis%20species%20complex%20is%20difficult%20and%20needs%20expert%20confirmation.%20See%20ISPM%2027%20DP%2029(IPPC,%202019)%20for%20details%20on%20how%20to%20differentiate%20between%20the%20main%20species%20of%20commercial%20importance%20belonging%20to%20the%20species%20complex.%20DNA%20barcoding%20The%20molecular%20identification%20of%20B.%20caryeae%20through%20DNA%20barcoding%20(COI)%20proves%20to%20be%20problematic%20as%20this%20species%20cannot%20be%20properly%20resolved%20from%20a%20number%20of%20closely%20related%20species,%20including%20species%20from%20the%20B.%20dorsalis%20species%20complex%20(see%20ISPM%2027%20DP%2029%20(IPPC,2019).%20Additionally,%20the%20presence%20of%20unidentified%20/%20possibly%20misidentified%20reference%20sequence%20in%20BINs%20in%20which%20this%20species%20is%20represented,%20might%20also%20bias%20its%20molecular%20ID.%20Sequences%20are%20available%20in%20the%20Barcode%20of%20Life%20Data%20Systems%20(BOLD%20https%3A//www.boldsystems.org/index.php/Taxbrowser_Taxonpage?searchMenu=taxonomy&amp;query=caryeae&amp;taxon=caryeae).%20%20Detection%20and%20inspection%20methods%20Males%20are%20attracted%20to%20methyl%20eugenol.%20Both%20sexes%20can%20also%20be%20monitored%20by%20traps%20baited%20with%20protein%20based%20attractants." TargetMode="External"/><Relationship Id="rId23516a43d1be1719e" Type="http://schemas.openxmlformats.org/officeDocument/2006/relationships/hyperlink" Target="https://doi.org/10.2903/j.efsa.2020.5931" TargetMode="External"/><Relationship Id="rId61366a43d1be1749e" Type="http://schemas.openxmlformats.org/officeDocument/2006/relationships/hyperlink" Target="https://www.cabi.org/isc/datasheet/8699" TargetMode="External"/><Relationship Id="rId76596a43d1be17557" Type="http://schemas.openxmlformats.org/officeDocument/2006/relationships/hyperlink" Target="https://gd.eppo.int" TargetMode="External"/><Relationship Id="rId96906a43d1be16755" Type="http://schemas.openxmlformats.org/officeDocument/2006/relationships/image" Target="media/imgrId96906a43d1be16755.jpg"/><Relationship Id="rId42196a43d1be176e7" Type="http://schemas.openxmlformats.org/officeDocument/2006/relationships/image" Target="media/imgrId42196a43d1be176e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