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caryeae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caryeae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(Kapoor)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caryeae</w:t>
            </w:r>
            <w:r>
              <w:rPr>
                <w:rFonts w:ascii="Calibri" w:hAnsi="Calibri" w:eastAsia="Calibri" w:cs="Calibri"/>
                <w:color w:val="000000"/>
                <w:position w:val="-3"/>
                <w:sz w:val="22"/>
                <w:szCs w:val="22"/>
              </w:rPr>
              <w:t xml:space="preserve"> Kapoor</w:t>
            </w:r>
            <w:hyperlink r:id="rId943366204c40bd4e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478766204c40bd53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BCTRCR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caryeae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is known from a limited but varied range of hosts, including several commercial crops. However, because of possible confusion with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several older records need confirmation.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restricted to southern part of the Indian Subcontinent. Although some sources indicate that the species is present in Sri Lanka, Drew &amp; Romig (2013) state explicitly that the earlier recorded presence in Sri Lanka is erroneous.</w:t>
      </w:r>
    </w:p>
    <w:p>
      <w:r>
        <w:drawing>
          <wp:inline distT="0" distB="0" distL="0" distR="0">
            <wp:extent cx="6120000" cy="3067200"/>
            <wp:docPr id="67599958" name="name835166204c40bdeb7" descr="BCTRC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CR_distribution_map.jpg"/>
                    <pic:cNvPicPr/>
                  </pic:nvPicPr>
                  <pic:blipFill>
                    <a:blip r:embed="rId205366204c40bdeb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(Goa, Karnataka, Kerala, Tamil Nadu)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length varies from 5 to 15 mm. Identification to species level is not possible based on larvae. A key for the 3rd-instar larvae is available in White &amp; Elson- Harris (1992) and is useful for identification to the genus level. The larvae of </w:t>
      </w:r>
      <w:r>
        <w:rPr>
          <w:rFonts w:ascii="Calibri" w:hAnsi="Calibri" w:eastAsia="Calibri" w:cs="Calibri"/>
          <w:i/>
          <w:iCs/>
          <w:color w:val="000000"/>
          <w:sz w:val="22"/>
          <w:szCs w:val="22"/>
        </w:rPr>
        <w:t xml:space="preserve">B. caryeae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elongate oval black spots; postpronotal lobes yellow (except anterodorsal corners fuscous); notopleura yellow; scutum black with a small area of dark brown posterolateral to lateral postsutural vittae; narrow lateral postsutural yellow vittae which are either parallel sided or narrowing slightly posteriorly to end at or just before intra-alar seta; medial postsutural yellow vitta absent; mesopleural stripe reaching midway between anterior margin of notopleuron and anterior notopleural seta dorsally; scutellum yellow with a broad black basal band; legs with femora fulvous with a large dark fuscous to black preapical spot on outer surfaces of fore femora and inner surfaces of mid and hind femora; fore tibiae fuscous, mid tibiae fulvous, hind tibiae dark fuscous; wing with cells bc and c colourless, sparse microtrichia in outer corner of cell c only; a very narrow fuscous costal band confluent with R2+3 and remaining very narrow around apex of wing; a narrow fuscous anal streak contained within cell cup; supernumerary lobe of medium development; abdominal terga III-V orange-brown with dark fuscous to black across anterior one-third to one-half of tergum III, two broad lateral longitudinal dark fuscous to black bands and a narrow medial longitudinal black band over all three terga,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fuscous, dorsoventrally compressed and tapering posteriorly in dorsal view; ratio of length of oviscape to length of tergum V, 0.78:1;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through DNA barcoding (COI)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226966204c40be43a"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also be monitored by traps baited with protein 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mention mango and guava as the main commercial hosts.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 recent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caryeae </w:t>
      </w:r>
      <w:r>
        <w:rPr>
          <w:rFonts w:ascii="Calibri" w:hAnsi="Calibri" w:eastAsia="Calibri" w:cs="Calibri"/>
          <w:color w:val="000000"/>
          <w:sz w:val="22"/>
          <w:szCs w:val="22"/>
        </w:rPr>
        <w:t xml:space="preserve">is a known pest of commercial fruit crops in the area where it is present. It can be moved in trade with infested fruit. No detailed study has been made on climatic suitability of the EPPO region for this species, and it is unclear whether it could become established in the EPPO region. Transient populations could also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caryeae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caryeae</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18: 5931, 62pp. </w:t>
      </w:r>
      <w:hyperlink r:id="rId604466204c40be913"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Ramani S, David KJ, Viraktamath CA &amp; Kumar ARV (2008) Identity and distribution of </w:t>
      </w:r>
      <w:r>
        <w:rPr>
          <w:rFonts w:ascii="Calibri" w:hAnsi="Calibri" w:eastAsia="Calibri" w:cs="Calibri"/>
          <w:i/>
          <w:iCs/>
          <w:color w:val="000000"/>
          <w:sz w:val="22"/>
          <w:szCs w:val="22"/>
        </w:rPr>
        <w:t xml:space="preserve">Bactrocera caryeae</w:t>
      </w:r>
      <w:r>
        <w:rPr>
          <w:rFonts w:ascii="Calibri" w:hAnsi="Calibri" w:eastAsia="Calibri" w:cs="Calibri"/>
          <w:color w:val="000000"/>
          <w:sz w:val="22"/>
          <w:szCs w:val="22"/>
        </w:rPr>
        <w:t xml:space="preserve"> (Kapoor) (Insecta: Diptera: Tephritidae) A species under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complex in India. </w:t>
      </w:r>
      <w:r>
        <w:rPr>
          <w:rFonts w:ascii="Calibri" w:hAnsi="Calibri" w:eastAsia="Calibri" w:cs="Calibri"/>
          <w:i/>
          <w:iCs/>
          <w:color w:val="000000"/>
          <w:sz w:val="22"/>
          <w:szCs w:val="22"/>
        </w:rPr>
        <w:t xml:space="preserve">Biosystematica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49-57. </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997066204c40bec65" w:history="1">
        <w:r>
          <w:rPr>
            <w:rFonts w:ascii="Calibri" w:hAnsi="Calibri" w:eastAsia="Calibri" w:cs="Calibri"/>
            <w:color w:val="0000CC"/>
            <w:sz w:val="22"/>
            <w:szCs w:val="22"/>
            <w:u w:val="single"/>
          </w:rPr>
          <w:t xml:space="preserve">https://www.cabi.org/isc/datasheet/8699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caryeae</w:t>
      </w:r>
      <w:r>
        <w:rPr>
          <w:rFonts w:ascii="Calibri" w:hAnsi="Calibri" w:eastAsia="Calibri" w:cs="Calibri"/>
          <w:color w:val="000000"/>
          <w:sz w:val="22"/>
          <w:szCs w:val="22"/>
        </w:rPr>
        <w:t xml:space="preserve">. EPPO datasheets on pests recommended for regulation. Available online. </w:t>
      </w:r>
      <w:hyperlink r:id="rId819066204c40bed2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3574126" name="name948666204c40bf00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6766204c40bf00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679603">
    <w:multiLevelType w:val="hybridMultilevel"/>
    <w:lvl w:ilvl="0" w:tplc="82814373">
      <w:start w:val="1"/>
      <w:numFmt w:val="decimal"/>
      <w:lvlText w:val="%1."/>
      <w:lvlJc w:val="left"/>
      <w:pPr>
        <w:ind w:left="720" w:hanging="360"/>
      </w:pPr>
    </w:lvl>
    <w:lvl w:ilvl="1" w:tplc="82814373" w:tentative="1">
      <w:start w:val="1"/>
      <w:numFmt w:val="lowerLetter"/>
      <w:lvlText w:val="%2."/>
      <w:lvlJc w:val="left"/>
      <w:pPr>
        <w:ind w:left="1440" w:hanging="360"/>
      </w:pPr>
    </w:lvl>
    <w:lvl w:ilvl="2" w:tplc="82814373" w:tentative="1">
      <w:start w:val="1"/>
      <w:numFmt w:val="lowerRoman"/>
      <w:lvlText w:val="%3."/>
      <w:lvlJc w:val="right"/>
      <w:pPr>
        <w:ind w:left="2160" w:hanging="180"/>
      </w:pPr>
    </w:lvl>
    <w:lvl w:ilvl="3" w:tplc="82814373" w:tentative="1">
      <w:start w:val="1"/>
      <w:numFmt w:val="decimal"/>
      <w:lvlText w:val="%4."/>
      <w:lvlJc w:val="left"/>
      <w:pPr>
        <w:ind w:left="2880" w:hanging="360"/>
      </w:pPr>
    </w:lvl>
    <w:lvl w:ilvl="4" w:tplc="82814373" w:tentative="1">
      <w:start w:val="1"/>
      <w:numFmt w:val="lowerLetter"/>
      <w:lvlText w:val="%5."/>
      <w:lvlJc w:val="left"/>
      <w:pPr>
        <w:ind w:left="3600" w:hanging="360"/>
      </w:pPr>
    </w:lvl>
    <w:lvl w:ilvl="5" w:tplc="82814373" w:tentative="1">
      <w:start w:val="1"/>
      <w:numFmt w:val="lowerRoman"/>
      <w:lvlText w:val="%6."/>
      <w:lvlJc w:val="right"/>
      <w:pPr>
        <w:ind w:left="4320" w:hanging="180"/>
      </w:pPr>
    </w:lvl>
    <w:lvl w:ilvl="6" w:tplc="82814373" w:tentative="1">
      <w:start w:val="1"/>
      <w:numFmt w:val="decimal"/>
      <w:lvlText w:val="%7."/>
      <w:lvlJc w:val="left"/>
      <w:pPr>
        <w:ind w:left="5040" w:hanging="360"/>
      </w:pPr>
    </w:lvl>
    <w:lvl w:ilvl="7" w:tplc="82814373" w:tentative="1">
      <w:start w:val="1"/>
      <w:numFmt w:val="lowerLetter"/>
      <w:lvlText w:val="%8."/>
      <w:lvlJc w:val="left"/>
      <w:pPr>
        <w:ind w:left="5760" w:hanging="360"/>
      </w:pPr>
    </w:lvl>
    <w:lvl w:ilvl="8" w:tplc="82814373" w:tentative="1">
      <w:start w:val="1"/>
      <w:numFmt w:val="lowerRoman"/>
      <w:lvlText w:val="%9."/>
      <w:lvlJc w:val="right"/>
      <w:pPr>
        <w:ind w:left="6480" w:hanging="180"/>
      </w:pPr>
    </w:lvl>
  </w:abstractNum>
  <w:abstractNum w:abstractNumId="43679602">
    <w:multiLevelType w:val="hybridMultilevel"/>
    <w:lvl w:ilvl="0" w:tplc="26702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679602">
    <w:abstractNumId w:val="43679602"/>
  </w:num>
  <w:num w:numId="43679603">
    <w:abstractNumId w:val="436796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5138294" Type="http://schemas.microsoft.com/office/2011/relationships/commentsExtended" Target="commentsExtended.xml"/><Relationship Id="rId321173118" Type="http://schemas.microsoft.com/office/2011/relationships/people" Target="people.xml"/><Relationship Id="rId943366204c40bd4ed" Type="http://schemas.openxmlformats.org/officeDocument/2006/relationships/hyperlink" Target="https://gd.eppo.int/taxon/BCTRCR/" TargetMode="External"/><Relationship Id="rId478766204c40bd53b" Type="http://schemas.openxmlformats.org/officeDocument/2006/relationships/hyperlink" Target="https://gd.eppo.int/taxon/BCTRCR/categorization" TargetMode="External"/><Relationship Id="rId226966204c40be43a" Type="http://schemas.openxmlformats.org/officeDocument/2006/relationships/hyperlink" Target="http://Symptoms%20Attacked%20fruit%20have%20tiny%20oviposition%20punctures,%20but%20these%20and%20other%20symptoms%20of%20damage%20are%20often%20difficult%20to%20detect%20in%20the%20early%20stages%20of%20infestation.%20Considerable%20damage%20may%20occur%20inside%20the%20fruit%20before%20symptoms%20are%20visible%20externally,%20often%20as%20networks%20of%20tunnels%20accompanied%20by%20rotting.%20Morphology%20Larva%20Fruit%20fly%20larvae%20in%20general%20have%20a%20typical%20shape,%20i.e.,%20cylindrical%20maggot-shape,%20elongate,%20anterior%20end%20narrowed%20and%20somewhat%20recurved%20ventrally,%20with%20anterior%20mouth%20hooks,%20and%20flattened%20caudal%20end.%20Their%20length%20varies%20from%205%20to%2015%20mm.%20Identification%20to%20species%20level%20is%20not%20possible%20based%20on%20larvae.%20A%20key%20for%20the%203rd-instar%20larvae%20is%20available%20in%20White%20&amp;%20Elson-%20Harris%20(1992)%20and%20is%20useful%20for%20identification%20to%20the%20genus%20level.%20The%20larvae%20of%20B.%20caryeae%20have%20not%20been%20described%20in%20detail.%20%20Adult%20(after%20diagnostic%20description%20given%20by%20Drew%20&amp;%20Romig,%202013.%20Additional%20character%20states%20of%20the%20female%20after%20Drew%20&amp;%20Hancock,%201994)%20Male%20Face%20fulvous%20with%20a%20pair%20of%20large%20elongate%20oval%20black%20spots;%20postpronotal%20lobes%20yellow%20(except%20anterodorsal%20corners%20fuscous);%20notopleura%20yellow;%20scutum%20black%20with%20a%20small%20area%20of%20dark%20brown%20posterolateral%20to%20lateral%20postsutural%20vittae;%20narrow%20lateral%20postsutural%20yellow%20vittae%20which%20are%20either%20parallel%20sided%20or%20narrowing%20slightly%20posteriorly%20to%20end%20at%20or%20just%20before%20intra-alar%20seta;%20medial%20postsutural%20yellow%20vitta%20absent;%20mesopleural%20stripe%20reaching%20midway%20between%20anterior%20margin%20of%20notopleuron%20and%20anterior%20notopleural%20seta%20dorsally;%20scutellum%20yellow%20with%20a%20broad%20black%20basal%20band;%20legs%20with%20femora%20fulvous%20with%20a%20large%20dark%20fuscous%20to%20black%20preapical%20spot%20on%20outer%20surfaces%20of%20fore%20femora%20and%20inner%20surfaces%20of%20mid%20and%20hind%20femora;%20fore%20tibiae%20fuscous,%20mid%20tibiae%20fulvous,%20hind%20tibiae%20dark%20fuscous;%20wing%20with%20cells%20bc%20and%20c%20colourless,%20sparse%20microtrichia%20in%20outer%20corner%20of%20cell%20c%20only;%20a%20very%20narrow%20fuscous%20costal%20band%20confluent%20with%20R2+3%20and%20remaining%20very%20narrow%20around%20apex%20of%20wing;%20a%20narrow%20fuscous%20anal%20streak%20contained%20within%20cell%20cup;%20supernumerary%20lobe%20of%20medium%20development;%20abdominal%20terga%20III-V%20orange-brown%20with%20dark%20fuscous%20to%20black%20across%20anterior%20one-third%20to%20one-half%20of%20tergum%20III,%20two%20broad%20lateral%20longitudinal%20dark%20fuscous%20to%20black%20bands%20and%20a%20narrow%20medial%20longitudinal%20black%20band%20over%20all%20three%20terga,%20a%20pair%20of%20oval%20orange-brown%20shining%20spots%20on%20tergum%20V;%20abdominal%20sterna%20dark%20coloured.%20%20Female%20As%20for%20male%20in%20the%20general%20body%20colour%20patterns.%20Wing,%20supernumerary%20lobe%20weak;%20pecten%20absent%20from%20abdominal%20tergum%20III.%20Ovipositor%20basal%20segment%20fuscous,%20dorsoventrally%20compressed%20and%20tapering%20posteriorly%20in%20dorsal%20view;%20ratio%20of%20length%20of%20oviscape%20to%20length%20of%20tergum%20V,%200.78:1;%20aculeus%20apex%20needle%20shaped.%20%20Remark%3A%20differentiation%20between%20this%20species%20and%20closely%20related%20species%20within%20the%20B.%20dorsalis%20species%20complex%20is%20difficult%20and%20needs%20expert%20confirmation.%20See%20ISPM%2027%20DP%2029(IPPC,%202019)%20for%20details%20on%20how%20to%20differentiate%20between%20the%20main%20species%20of%20commercial%20importance%20belonging%20to%20the%20species%20complex.%20DNA%20barcoding%20The%20molecular%20identification%20of%20B.%20caryeae%20through%20DNA%20barcoding%20(COI)%20proves%20to%20be%20problematic%20as%20this%20species%20cannot%20be%20properly%20resolved%20from%20a%20number%20of%20closely%20related%20species,%20including%20species%20from%20the%20B.%20dorsalis%20species%20complex%20(see%20ISPM%2027%20DP%2029%20(IPPC,2019).%20Additionally,%20the%20presence%20of%20unidentified%20/%20possibly%20misidentified%20reference%20sequence%20in%20BINs%20in%20which%20this%20species%20is%20represented,%20might%20also%20bias%20its%20molecular%20ID.%20Sequences%20are%20available%20in%20the%20Barcode%20of%20Life%20Data%20Systems%20(BOLD%20https%3A//www.boldsystems.org/index.php/Taxbrowser_Taxonpage?searchMenu=taxonomy&amp;query=caryeae&amp;taxon=caryeae).%20%20Detection%20and%20inspection%20methods%20Males%20are%20attracted%20to%20methyl%20eugenol.%20Both%20sexes%20can%20also%20be%20monitored%20by%20traps%20baited%20with%20protein%20based%20attractants." TargetMode="External"/><Relationship Id="rId604466204c40be913" Type="http://schemas.openxmlformats.org/officeDocument/2006/relationships/hyperlink" Target="https://doi.org/10.2903/j.efsa.2020.5931" TargetMode="External"/><Relationship Id="rId997066204c40bec65" Type="http://schemas.openxmlformats.org/officeDocument/2006/relationships/hyperlink" Target="https://www.cabi.org/isc/datasheet/8699" TargetMode="External"/><Relationship Id="rId819066204c40bed2e" Type="http://schemas.openxmlformats.org/officeDocument/2006/relationships/hyperlink" Target="https://gd.eppo.int" TargetMode="External"/><Relationship Id="rId205366204c40bdeb5" Type="http://schemas.openxmlformats.org/officeDocument/2006/relationships/image" Target="media/imgrId205366204c40bdeb5.jpg"/><Relationship Id="rId276766204c40bf008" Type="http://schemas.openxmlformats.org/officeDocument/2006/relationships/image" Target="media/imgrId276766204c40bf00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