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carambolae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carambolae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Drew &amp; Hancock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species 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carambola fruit fly</w:t>
            </w:r>
            <w:hyperlink r:id="rId10326a80df802eec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44016a80df802ef1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BCTRCB</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0197197" name="name18876a80df802f7d5" descr="2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29.jpg"/>
                          <pic:cNvPicPr/>
                        </pic:nvPicPr>
                        <pic:blipFill>
                          <a:blip r:embed="rId20466a80df802f7d3" cstate="print"/>
                          <a:stretch>
                            <a:fillRect/>
                          </a:stretch>
                        </pic:blipFill>
                        <pic:spPr>
                          <a:xfrm>
                            <a:off x="0" y="0"/>
                            <a:ext cx="2160000" cy="1281600"/>
                          </a:xfrm>
                          <a:prstGeom prst="rect">
                            <a:avLst/>
                          </a:prstGeom>
                          <a:ln w="0">
                            <a:noFill/>
                          </a:ln>
                        </pic:spPr>
                      </pic:pic>
                    </a:graphicData>
                  </a:graphic>
                </wp:inline>
              </w:drawing>
            </w:r>
            <w:hyperlink r:id="rId45796a80df802f90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carambolae </w:t>
      </w:r>
      <w:r>
        <w:rPr>
          <w:rFonts w:ascii="Calibri" w:hAnsi="Calibri" w:eastAsia="Calibri" w:cs="Calibri"/>
          <w:color w:val="000000"/>
          <w:sz w:val="22"/>
          <w:szCs w:val="22"/>
        </w:rPr>
        <w:t xml:space="preserve">belongs to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Drew &amp; Hancock, 1994). Schutze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showed that despite the high morphological and genetic similarity between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they are considered two valid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pest species utilizes a wide range of hosts. It has been reported from over 100 different host plants belonging to more than 30 different families of which the adventive populations in South America are recorded from 11 different plant families and close to 30 hosts (Sauers-Muller, 2005; Malavasi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Adaime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The USDA Compendium of Fruit Fly Host Information (CoFFHI) (Liquido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provides an extensive host list with detailed references. While </w:t>
      </w:r>
      <w:r>
        <w:rPr>
          <w:rFonts w:ascii="Calibri" w:hAnsi="Calibri" w:eastAsia="Calibri" w:cs="Calibri"/>
          <w:i/>
          <w:iCs/>
          <w:color w:val="000000"/>
          <w:sz w:val="22"/>
          <w:szCs w:val="22"/>
        </w:rPr>
        <w:t xml:space="preserve">Garcinia mangostana</w:t>
      </w:r>
      <w:r>
        <w:rPr>
          <w:rFonts w:ascii="Calibri" w:hAnsi="Calibri" w:eastAsia="Calibri" w:cs="Calibri"/>
          <w:color w:val="000000"/>
          <w:sz w:val="22"/>
          <w:szCs w:val="22"/>
        </w:rPr>
        <w:t xml:space="preserve"> is listed as a host by Allwood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it was shown by Unahawutti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that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females cannot oviposit in undamaged fruits of this species.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Alangium uniloculare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montana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Arenga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altilis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elasticus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gomezianus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integer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lacucha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odoratissimus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rigidus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bilimbi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Baccaurea motleyana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Bouea oppositifolia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Byrsonima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Canarium odontophyllum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micracantha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Cascabela thevetia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Chrysobalanus icaco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cainito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swinglei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wallichii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Dysoxylum parasiticum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ligustrina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patrisii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stipitata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Fagraea ceilanica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grossularioides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atroviridis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cowa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griffithii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mangostana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Genipa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Gnetum macrostachyum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Gnetum montanum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Irvingia malayana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Knema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Lansium domesticum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Lepisanthes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Licania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Mammea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Melientha suavis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elengi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Ochanostachys amentacea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Paramignya andamanica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quadrangularis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Pellacalyx saccardianus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Phaleria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Planchonella longipetiolata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caimito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campechiana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guineense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Rhizophora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Rhodomyrtus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Rollinia mucosa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Salacca zalacca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Sandoricum koetjape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Shirakiopsis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lasiocarpum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Symplocos cochinchinensis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aqueum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cumini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grande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malaccense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citrina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Tetractomia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Triphasia 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Uvaria grandiflora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Xanthophyllum amoenum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found throughout large parts of Southeast Asia, from Bangladesh, eastwards to parts of Indonesia. Also present on the Andaman Islands (India) (David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It was introduced into South America, and is present in French Guyana, Guyana, Brazil (Amapa, Para and Roraima), and Surinam. </w:t>
      </w:r>
    </w:p>
    <w:p>
      <w:r>
        <w:drawing>
          <wp:inline distT="0" distB="0" distL="0" distR="0">
            <wp:extent cx="6120000" cy="3067200"/>
            <wp:docPr id="57156275" name="name35026a80df8031b6b" descr="BCTRCB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TRCB_distribution_map.jpg"/>
                    <pic:cNvPicPr/>
                  </pic:nvPicPr>
                  <pic:blipFill>
                    <a:blip r:embed="rId76126a80df8031b6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Brunei Darussalam, Cambodia, East Timor, India (Andaman and Nicobar Islands), Indonesia (Java, Kalimantan, Maluku, Nusa Tenggara, Sulawesi, Sumatra), Malaysia (Sabah, Sarawak, West), Myanmar, Singapore, Thailand, Vietnam</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(Amapa, Para, Roraima), French Guiana, Guyana, Suriname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is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laid below the skin of the host fruit. Three larval stages develop inside the fruit, feeding on the plant tissue. Once mature the third instar larva will leave the fruit, dig down into the soil and turn into a pupa enclosed in a puparium. The adult fly will emerge from the puparium. Based on information from Latin America, completion of the life cycle (from egg to reproductive adult) takes 30-40 days. Adults flies can remain alive as long as 100-200 days, but this will depend on a number of variables including the host plant, and temperature (Malavasi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Danjuma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Castilho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Further details on the biology of this species can be found in Danjuma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Castilho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based on studies in, respectively, Thailand and Brazil.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have tiny oviposition punctures, but these and other symptoms of damage are often difficult to detect in the early stages of infestation. Considerable damage may occur inside the fruit before symptoms are visible externally, often as networks of tunnels accompanied by rotting.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The 3rd-instar larvae have been described by White &amp; Elson- Harris (1992) under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w:t>
      </w:r>
      <w:r>
        <w:rPr>
          <w:rFonts w:ascii="Calibri" w:hAnsi="Calibri" w:eastAsia="Calibri" w:cs="Calibri"/>
          <w:color w:val="000000"/>
          <w:sz w:val="22"/>
          <w:szCs w:val="22"/>
        </w:rPr>
        <w:t xml:space="preserve"> complex: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sp. near </w:t>
      </w:r>
      <w:r>
        <w:rPr>
          <w:rFonts w:ascii="Calibri" w:hAnsi="Calibri" w:eastAsia="Calibri" w:cs="Calibri"/>
          <w:i/>
          <w:iCs/>
          <w:color w:val="000000"/>
          <w:sz w:val="22"/>
          <w:szCs w:val="22"/>
        </w:rPr>
        <w:t xml:space="preserve">dorsalis</w:t>
      </w:r>
      <w:r>
        <w:rPr>
          <w:rFonts w:ascii="Calibri" w:hAnsi="Calibri" w:eastAsia="Calibri" w:cs="Calibri"/>
          <w:color w:val="000000"/>
          <w:sz w:val="22"/>
          <w:szCs w:val="22"/>
        </w:rPr>
        <w:t xml:space="preserve"> (A)” in detail. The same work provides a key to 3rd-instar larvae which is useful for an identification to genus level.</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(after diagnostic description given by Drew &amp; Romig, 2013. Additional character states of the female after Drew &amp; Hancock, 1994)</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r>
        <w:rPr>
          <w:rFonts w:ascii="Calibri" w:hAnsi="Calibri" w:eastAsia="Calibri" w:cs="Calibri"/>
          <w:color w:val="000000"/>
          <w:sz w:val="22"/>
          <w:szCs w:val="22"/>
        </w:rPr>
        <w:br/>
        <w:t xml:space="preserve">Face fulvous with a pair of medium-sized oval black spots; postpronotal lobes and notopleura yellow; scutum dull black with brown behind lateral postsutural vittae, around notopleural suture and inside postpronotal lobes; broad parallel-sided lateral postsutural yellow vittae ending at or behind intra-alar seta; medial postsutural yellow vitta absent; mesopleural stripe reaching midway between anterior margin of notopleuron and anterior notopleural seta dorsally; scutellum yellow; legs with femora fulvous with a large elongate oval dark fuscous to black preapical spot on outer surfaces of fore femora in some specimens; tibiae dark fuscous (except mid tibiae paler apically); wing with cells bc and c colourless, microtrichia in outer corner of cell c only; a narrow fuscous costal band slightly overlapping R2+3 and expanding slightly beyond apex of R2+3 across apex of R4+5; a narrow fuscous anal streak; supernumerary lobe of medium development; abdominal terga III-V orange-brown with a ‘T’ pattern consisting of a narrow transverse black band across anterior margin of tergum III and widening to cover lateral margins, a medium-width medial longitudinal black band over all three terga, anterolateral corners of terga IV dark fuscous to black and rectangular in shape and anterolateral corners of tergum V dark fuscous, a pair of oval orange-brown shining spots on tergum V; abdominal sterna dark coloured.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r>
        <w:rPr>
          <w:rFonts w:ascii="Calibri" w:hAnsi="Calibri" w:eastAsia="Calibri" w:cs="Calibri"/>
          <w:color w:val="000000"/>
          <w:sz w:val="22"/>
          <w:szCs w:val="22"/>
        </w:rPr>
        <w:br/>
        <w:t xml:space="preserve">As for male in the general body colour patterns. Pecten absent from abdominal tergum III. Ovipositor basal segment orange-brown, dorsoventrally compressed and tapering posteriorly in dorsal view; ratio of length of oviscape to length of tergum V, 1:1; aculeus apex needle shaped. </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differentiation between this species and closely related species within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Drew &amp; Hancock, 1994) is difficult and needs expert confirmation. See ISPM 27 DP 29IPPC (2019) for details on how to differentiate between the main species of commercial importance belonging to the species complex.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of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through DNA barcoding (COI) proves to be problematic as this species cannot be properly resolved from a number of closely related species, including species from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(see ISPM 27 DP 29 - IPPC, 2019). Additionally, the presence of unidentified / possibly misidentified reference sequence in the Barcoding Index Number Systems (BINs) in which this species is represented, might also bias its molecular ID. Molecular identification by DNA sequencing, using internal transcribed spacer (ITS) nuclear DNA regions, has been proposed to distinguish </w:t>
      </w:r>
      <w:r>
        <w:rPr>
          <w:rFonts w:ascii="Calibri" w:hAnsi="Calibri" w:eastAsia="Calibri" w:cs="Calibri"/>
          <w:i/>
          <w:iCs/>
          <w:color w:val="000000"/>
          <w:sz w:val="22"/>
          <w:szCs w:val="22"/>
        </w:rPr>
        <w:t xml:space="preserve">B. carambolae </w:t>
      </w:r>
      <w:r>
        <w:rPr>
          <w:rFonts w:ascii="Calibri" w:hAnsi="Calibri" w:eastAsia="Calibri" w:cs="Calibri"/>
          <w:color w:val="000000"/>
          <w:sz w:val="22"/>
          <w:szCs w:val="22"/>
        </w:rPr>
        <w:t xml:space="preserve">from some other members of the </w:t>
      </w:r>
      <w:r>
        <w:rPr>
          <w:rFonts w:ascii="Calibri" w:hAnsi="Calibri" w:eastAsia="Calibri" w:cs="Calibri"/>
          <w:i/>
          <w:iCs/>
          <w:color w:val="000000"/>
          <w:sz w:val="22"/>
          <w:szCs w:val="22"/>
        </w:rPr>
        <w:t xml:space="preserve">B. dorsalis </w:t>
      </w:r>
      <w:r>
        <w:rPr>
          <w:rFonts w:ascii="Calibri" w:hAnsi="Calibri" w:eastAsia="Calibri" w:cs="Calibri"/>
          <w:color w:val="000000"/>
          <w:sz w:val="22"/>
          <w:szCs w:val="22"/>
        </w:rPr>
        <w:t xml:space="preserve">species complex (IPPC, 2019). Sequences are available in the Barcode of Life Data Systems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w:t>
      </w:r>
      <w:hyperlink r:id="rId70166a80df803246e" w:history="1">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 and </w:t>
      </w:r>
      <w:hyperlink r:id="rId78256a80df803249b" w:history="1">
        <w:r>
          <w:rPr>
            <w:rFonts w:ascii="Calibri" w:hAnsi="Calibri" w:eastAsia="Calibri" w:cs="Calibri"/>
            <w:b/>
            <w:bCs/>
            <w:color w:val="0000CC"/>
            <w:sz w:val="22"/>
            <w:szCs w:val="22"/>
            <w:u w:val="single"/>
          </w:rPr>
          <w:t xml:space="preserve">EPPO-Q-bank</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attracted to methyl eugenol but require a much higher dose to elicit a response, compared to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(Wee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Both sexes can be monitored by traps baited with protein-based attractants.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means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Dispersal up to 2 km is considered more typical.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the species is considered a major pest of a number of commercial fruits. Adventive populations in South America are considered to have a serious economic impact, especially if the fly could expand its range throughout large parts of the continent (Malavasi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Specific control methodologies conducted in Brazil comprises male annihilation technique (MAT) and foliage baiting (Malavasi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but MAT using methyl eugenol is deemed to be less effective for this species compared to </w:t>
      </w:r>
      <w:r>
        <w:rPr>
          <w:rFonts w:ascii="Calibri" w:hAnsi="Calibri" w:eastAsia="Calibri" w:cs="Calibri"/>
          <w:i/>
          <w:iCs/>
          <w:color w:val="000000"/>
          <w:sz w:val="22"/>
          <w:szCs w:val="22"/>
        </w:rPr>
        <w:t xml:space="preserve">B. dorsalis</w:t>
      </w:r>
      <w:r>
        <w:rPr>
          <w:rFonts w:ascii="Calibri" w:hAnsi="Calibri" w:eastAsia="Calibri" w:cs="Calibri"/>
          <w:color w:val="000000"/>
          <w:sz w:val="22"/>
          <w:szCs w:val="22"/>
        </w:rPr>
        <w:t xml:space="preserv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probably because of weaker sensitivity to the attractant (Wee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carambolae </w:t>
      </w:r>
      <w:r>
        <w:rPr>
          <w:rFonts w:ascii="Calibri" w:hAnsi="Calibri" w:eastAsia="Calibri" w:cs="Calibri"/>
          <w:color w:val="000000"/>
          <w:sz w:val="22"/>
          <w:szCs w:val="22"/>
        </w:rPr>
        <w:t xml:space="preserve">is a known pest of several commercial fruit crops in the area where it is present. It can be moved in trade with infested fruit. No detailed study has been made on climatic suitability of the EPPO region for this species, but a global potential distribution was proposed by Marchioro (2016). This publication points out that both the native and invaded ranges predominantly occur in tropical zones with extremely hot and moist regions. The prediction models show that the EPPO region is largely unsuitable for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However, even transient populations could impact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carambolae </w:t>
      </w:r>
      <w:r>
        <w:rPr>
          <w:rFonts w:ascii="Calibri" w:hAnsi="Calibri" w:eastAsia="Calibri" w:cs="Calibri"/>
          <w:color w:val="000000"/>
          <w:sz w:val="22"/>
          <w:szCs w:val="22"/>
        </w:rPr>
        <w:t xml:space="preserve">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carambolae </w:t>
      </w:r>
      <w:r>
        <w:rPr>
          <w:rFonts w:ascii="Calibri" w:hAnsi="Calibri" w:eastAsia="Calibri" w:cs="Calibri"/>
          <w:color w:val="000000"/>
          <w:sz w:val="22"/>
          <w:szCs w:val="22"/>
        </w:rPr>
        <w:t xml:space="preserve">does not occur, or from a place of production found free from the pest by regular inspection in the 3 months before harvest. Plants transported with roots from countries or regions where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occurs should be free from soil, or the soil should be treated against puparia. The plants should not carry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Adaime R, Jesus-Barros CR de, Bariani A, Lopes Lima A, Cruz KR&amp; Carvalho JP (2016) Novos registros de hospedeiros da Mosca-da-Carambola (</w:t>
      </w:r>
      <w:r>
        <w:rPr>
          <w:rFonts w:ascii="Calibri" w:hAnsi="Calibri" w:eastAsia="Calibri" w:cs="Calibri"/>
          <w:i/>
          <w:iCs/>
          <w:color w:val="000000"/>
          <w:sz w:val="22"/>
          <w:szCs w:val="22"/>
        </w:rPr>
        <w:t xml:space="preserve">Bactocera carambolae</w:t>
      </w:r>
      <w:r>
        <w:rPr>
          <w:rFonts w:ascii="Calibri" w:hAnsi="Calibri" w:eastAsia="Calibri" w:cs="Calibri"/>
          <w:color w:val="000000"/>
          <w:sz w:val="22"/>
          <w:szCs w:val="22"/>
        </w:rPr>
        <w:t xml:space="preserve">) no estado do Amapà, Brasil. </w:t>
      </w:r>
      <w:r>
        <w:rPr>
          <w:rFonts w:ascii="Calibri" w:hAnsi="Calibri" w:eastAsia="Calibri" w:cs="Calibri"/>
          <w:i/>
          <w:iCs/>
          <w:color w:val="000000"/>
          <w:sz w:val="22"/>
          <w:szCs w:val="22"/>
        </w:rPr>
        <w:t xml:space="preserve">Comunicado Técnico Embrapa Amapà</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1-5.</w:t>
      </w:r>
    </w:p>
    <w:p>
      <w:pPr>
        <w:widowControl w:val="on"/>
        <w:pBdr/>
        <w:spacing w:before="220" w:after="220" w:line="240" w:lineRule="auto"/>
        <w:ind w:left="0" w:right="0"/>
        <w:jc w:val="left"/>
      </w:pPr>
      <w:r>
        <w:rPr>
          <w:rFonts w:ascii="Calibri" w:hAnsi="Calibri" w:eastAsia="Calibri" w:cs="Calibri"/>
          <w:color w:val="000000"/>
          <w:sz w:val="22"/>
          <w:szCs w:val="22"/>
        </w:rPr>
        <w:t xml:space="preserve">Allwood AJ, Chinajariyawong A, Drew RAI, Hamacek EL, Hancock DL, Hengsawad C, Jipanin CJ, Jirasurat M, Kong Krong C, Kritsaneepaiboon S, Leong CTS &amp; Vijaysegaran S (1999) Host plant records for fruit flies (Diptera: Tephritidae) in South East Asia. </w:t>
      </w:r>
      <w:r>
        <w:rPr>
          <w:rFonts w:ascii="Calibri" w:hAnsi="Calibri" w:eastAsia="Calibri" w:cs="Calibri"/>
          <w:i/>
          <w:iCs/>
          <w:color w:val="000000"/>
          <w:sz w:val="22"/>
          <w:szCs w:val="22"/>
        </w:rPr>
        <w:t xml:space="preserve">The Raffles Bulletin of Zoology suppl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1-92.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5931, 62pp. </w:t>
      </w:r>
      <w:hyperlink r:id="rId91496a80df8032a0c"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Castilho AP, Pasinato J, Veloso dos Santos JE, de Silva da Costa A, Nava DE, de Jesus CR &amp; Adaime R (2019) Biology of Bactrocera carambolae (Diptera : Tephritidae) on four hosts. </w:t>
      </w:r>
      <w:r>
        <w:rPr>
          <w:rFonts w:ascii="Calibri" w:hAnsi="Calibri" w:eastAsia="Calibri" w:cs="Calibri"/>
          <w:i/>
          <w:iCs/>
          <w:color w:val="000000"/>
          <w:sz w:val="22"/>
          <w:szCs w:val="22"/>
        </w:rPr>
        <w:t xml:space="preserve">Revista Brasileira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302-307.</w:t>
      </w:r>
    </w:p>
    <w:p>
      <w:pPr>
        <w:widowControl w:val="on"/>
        <w:pBdr/>
        <w:spacing w:before="220" w:after="220" w:line="240" w:lineRule="auto"/>
        <w:ind w:left="0" w:right="0"/>
        <w:jc w:val="left"/>
      </w:pPr>
      <w:r>
        <w:rPr>
          <w:rFonts w:ascii="Calibri" w:hAnsi="Calibri" w:eastAsia="Calibri" w:cs="Calibri"/>
          <w:color w:val="000000"/>
          <w:sz w:val="22"/>
          <w:szCs w:val="22"/>
        </w:rPr>
        <w:t xml:space="preserve">Danjuma S, Boonrotpont S, Thaochan N, Surakrai P, Chutamas S &amp; Niranjan K (2018) Life history strategy of the carambola fruit fly,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Drew and Hancock (Diptera : Tephritidae) on guava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Agriculturists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39-53.</w:t>
      </w:r>
    </w:p>
    <w:p>
      <w:pPr>
        <w:widowControl w:val="on"/>
        <w:pBdr/>
        <w:spacing w:before="220" w:after="220" w:line="240" w:lineRule="auto"/>
        <w:ind w:left="0" w:right="0"/>
        <w:jc w:val="left"/>
      </w:pPr>
      <w:r>
        <w:rPr>
          <w:rFonts w:ascii="Calibri" w:hAnsi="Calibri" w:eastAsia="Calibri" w:cs="Calibri"/>
          <w:color w:val="000000"/>
          <w:sz w:val="22"/>
          <w:szCs w:val="22"/>
        </w:rPr>
        <w:t xml:space="preserve">David KJ, Hancock DL, Singh SK, Ramani S, Behere GT &amp; Salini S (2017) New species, new records and updated subgeneric key of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Macquart (Diptera: Tephritidae: Dacinae: Dacini) from India.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4272</w:t>
      </w:r>
      <w:r>
        <w:rPr>
          <w:rFonts w:ascii="Calibri" w:hAnsi="Calibri" w:eastAsia="Calibri" w:cs="Calibri"/>
          <w:color w:val="000000"/>
          <w:sz w:val="22"/>
          <w:szCs w:val="22"/>
        </w:rPr>
        <w:t xml:space="preserve">, 386-400.</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Hancock DL (1994) The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complex of fruit flies (Diptera: Tephritidae: Dacinae) in Asia. </w:t>
      </w:r>
      <w:r>
        <w:rPr>
          <w:rFonts w:ascii="Calibri" w:hAnsi="Calibri" w:eastAsia="Calibri" w:cs="Calibri"/>
          <w:i/>
          <w:iCs/>
          <w:color w:val="000000"/>
          <w:sz w:val="22"/>
          <w:szCs w:val="22"/>
        </w:rPr>
        <w:t xml:space="preserve">Bulletin of Entomological Research suppl. Series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1-68.</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&amp; Romig MC (2013) Tropical Fruit Flies of South-East Asia. CABI, Wallingford (UK), vii+653pp. </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27 Diagnostic protocols for regulated pests DP 29: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International Plant Protection Convention, FAO, Rome (Italy), 39pp.</w:t>
      </w:r>
    </w:p>
    <w:p>
      <w:pPr>
        <w:widowControl w:val="on"/>
        <w:pBdr/>
        <w:spacing w:before="220" w:after="220" w:line="240" w:lineRule="auto"/>
        <w:ind w:left="0" w:right="0"/>
        <w:jc w:val="left"/>
      </w:pPr>
      <w:r>
        <w:rPr>
          <w:rFonts w:ascii="Calibri" w:hAnsi="Calibri" w:eastAsia="Calibri" w:cs="Calibri"/>
          <w:color w:val="000000"/>
          <w:sz w:val="22"/>
          <w:szCs w:val="22"/>
        </w:rPr>
        <w:t xml:space="preserve">Liquido NJ, McQuate GT, Nakamichi KA, Kurashima RS, Birnbaum AL &amp; Hanlin MA (2016) Provisional list of suitable host plants of carambola fruit fly, </w:t>
      </w:r>
      <w:r>
        <w:rPr>
          <w:rFonts w:ascii="Calibri" w:hAnsi="Calibri" w:eastAsia="Calibri" w:cs="Calibri"/>
          <w:i/>
          <w:iCs/>
          <w:color w:val="000000"/>
          <w:sz w:val="22"/>
          <w:szCs w:val="22"/>
        </w:rPr>
        <w:t xml:space="preserve">Bactrocera (Bactrocera) carambolae</w:t>
      </w:r>
      <w:r>
        <w:rPr>
          <w:rFonts w:ascii="Calibri" w:hAnsi="Calibri" w:eastAsia="Calibri" w:cs="Calibri"/>
          <w:color w:val="000000"/>
          <w:sz w:val="22"/>
          <w:szCs w:val="22"/>
        </w:rPr>
        <w:t xml:space="preserve"> Drew &amp; Hancock (</w:t>
      </w:r>
      <w:r>
        <w:rPr>
          <w:rFonts w:ascii="Calibri" w:hAnsi="Calibri" w:eastAsia="Calibri" w:cs="Calibri"/>
          <w:i/>
          <w:iCs/>
          <w:color w:val="000000"/>
          <w:sz w:val="22"/>
          <w:szCs w:val="22"/>
        </w:rPr>
        <w:t xml:space="preserve">Diptera: Tephritidae</w:t>
      </w:r>
      <w:r>
        <w:rPr>
          <w:rFonts w:ascii="Calibri" w:hAnsi="Calibri" w:eastAsia="Calibri" w:cs="Calibri"/>
          <w:color w:val="000000"/>
          <w:sz w:val="22"/>
          <w:szCs w:val="22"/>
        </w:rPr>
        <w:t xml:space="preserve">), Version 1.1. Available online at USDA Compendium of Fruit Fly Host Information (CoFFHI). </w:t>
      </w:r>
      <w:hyperlink r:id="rId33616a80df8032d61" w:history="1">
        <w:r>
          <w:rPr>
            <w:rFonts w:ascii="Calibri" w:hAnsi="Calibri" w:eastAsia="Calibri" w:cs="Calibri"/>
            <w:color w:val="0000CC"/>
            <w:sz w:val="22"/>
            <w:szCs w:val="22"/>
            <w:u w:val="single"/>
          </w:rPr>
          <w:t xml:space="preserve">https://coffhi.cphst.org/</w:t>
        </w:r>
      </w:hyperlink>
      <w:r>
        <w:rPr>
          <w:rFonts w:ascii="Calibri" w:hAnsi="Calibri" w:eastAsia="Calibri" w:cs="Calibri"/>
          <w:color w:val="000000"/>
          <w:sz w:val="22"/>
          <w:szCs w:val="22"/>
        </w:rPr>
        <w:t xml:space="preserve"> (accessed 10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March 2020).</w:t>
      </w:r>
    </w:p>
    <w:p>
      <w:pPr>
        <w:widowControl w:val="on"/>
        <w:pBdr/>
        <w:spacing w:before="220" w:after="220" w:line="240" w:lineRule="auto"/>
        <w:ind w:left="0" w:right="0"/>
        <w:jc w:val="left"/>
      </w:pPr>
      <w:r>
        <w:rPr>
          <w:rFonts w:ascii="Calibri" w:hAnsi="Calibri" w:eastAsia="Calibri" w:cs="Calibri"/>
          <w:color w:val="000000"/>
          <w:sz w:val="22"/>
          <w:szCs w:val="22"/>
        </w:rPr>
        <w:t xml:space="preserve">Malavasi A, Midgarden D &amp; De Meyer M (2013) 12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that pose a threat to Florida: </w:t>
      </w:r>
      <w:r>
        <w:rPr>
          <w:rFonts w:ascii="Calibri" w:hAnsi="Calibri" w:eastAsia="Calibri" w:cs="Calibri"/>
          <w:i/>
          <w:iCs/>
          <w:color w:val="000000"/>
          <w:sz w:val="22"/>
          <w:szCs w:val="22"/>
        </w:rPr>
        <w:t xml:space="preserve">B. carambolae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invadens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Potential Invasive Pests of Agricultural Crops</w:t>
      </w:r>
      <w:r>
        <w:rPr>
          <w:rFonts w:ascii="Calibri" w:hAnsi="Calibri" w:eastAsia="Calibri" w:cs="Calibri"/>
          <w:color w:val="000000"/>
          <w:sz w:val="22"/>
          <w:szCs w:val="22"/>
        </w:rPr>
        <w:t xml:space="preserve"> (ed Pena J), pp 214-227.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Marchioro CA (2016) Global potential distribution of </w:t>
      </w:r>
      <w:r>
        <w:rPr>
          <w:rFonts w:ascii="Calibri" w:hAnsi="Calibri" w:eastAsia="Calibri" w:cs="Calibri"/>
          <w:i/>
          <w:iCs/>
          <w:color w:val="000000"/>
          <w:sz w:val="22"/>
          <w:szCs w:val="22"/>
        </w:rPr>
        <w:t xml:space="preserve">Bactrocera carambolae </w:t>
      </w:r>
      <w:r>
        <w:rPr>
          <w:rFonts w:ascii="Calibri" w:hAnsi="Calibri" w:eastAsia="Calibri" w:cs="Calibri"/>
          <w:color w:val="000000"/>
          <w:sz w:val="22"/>
          <w:szCs w:val="22"/>
        </w:rPr>
        <w:t xml:space="preserve">and the risks for fruit production in Brazil. PlosONE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(11) e0166142, 1-16.</w:t>
      </w:r>
    </w:p>
    <w:p>
      <w:pPr>
        <w:widowControl w:val="on"/>
        <w:pBdr/>
        <w:spacing w:before="220" w:after="220" w:line="240" w:lineRule="auto"/>
        <w:ind w:left="0" w:right="0"/>
        <w:jc w:val="left"/>
      </w:pPr>
      <w:r>
        <w:rPr>
          <w:rFonts w:ascii="Calibri" w:hAnsi="Calibri" w:eastAsia="Calibri" w:cs="Calibri"/>
          <w:color w:val="000000"/>
          <w:sz w:val="22"/>
          <w:szCs w:val="22"/>
        </w:rPr>
        <w:t xml:space="preserve">Sauers-Muller A van (2005) Host plants of the carambola fruit fly,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Drew &amp; Hancock (Diptera: Tephritidae) in Suriname, South America.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203-214.</w:t>
      </w:r>
    </w:p>
    <w:p>
      <w:pPr>
        <w:widowControl w:val="on"/>
        <w:pBdr/>
        <w:spacing w:before="220" w:after="220" w:line="240" w:lineRule="auto"/>
        <w:ind w:left="0" w:right="0"/>
        <w:jc w:val="left"/>
      </w:pPr>
      <w:r>
        <w:rPr>
          <w:rFonts w:ascii="Calibri" w:hAnsi="Calibri" w:eastAsia="Calibri" w:cs="Calibri"/>
          <w:color w:val="000000"/>
          <w:sz w:val="22"/>
          <w:szCs w:val="22"/>
        </w:rPr>
        <w:t xml:space="preserve">Schutze MK, Aketarawong N, Amornsak W, Armstrong KF, Augustinos A, Barr N, Bo W, Bourtzis K, Boykin LM, Caceres C, Cameron SL, Chapman TA, Chinvinijkul S, Chomic A, De Meyer M, Drosopoulou ED, Englezou A, Ekesi S, Gariou-Papalexiou A, Hailstones D, Haymer D, Hee AKW, Hendrichs J, Hasanuzzaman M, Jessup A, Khamis FM, Krosch MN, Leblanc L, Mahmood K, Malacrida AR, Mavragani-Tsipidou P, McInnis DO, Mwatawala M, Nishida R, Ono H, Reyes J, Rubinoff DR, San Jose M, Shelly TE, Srikachar S, Tan KH, Thanaphum S, Ul Haq I, Vijaysegaran S, Wee SL, Yesmin F, Zacharopoulou A &amp; Clarke AR (2014) Synonymization of key pest species within the </w:t>
      </w:r>
      <w:r>
        <w:rPr>
          <w:rFonts w:ascii="Calibri" w:hAnsi="Calibri" w:eastAsia="Calibri" w:cs="Calibri"/>
          <w:i/>
          <w:iCs/>
          <w:color w:val="000000"/>
          <w:sz w:val="22"/>
          <w:szCs w:val="22"/>
        </w:rPr>
        <w:t xml:space="preserve">Bactrocera dorsalis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Diptera : Tephritidae</w:t>
      </w:r>
      <w:r>
        <w:rPr>
          <w:rFonts w:ascii="Calibri" w:hAnsi="Calibri" w:eastAsia="Calibri" w:cs="Calibri"/>
          <w:color w:val="000000"/>
          <w:sz w:val="22"/>
          <w:szCs w:val="22"/>
        </w:rPr>
        <w:t xml:space="preserve">): taxonomic changes based on a review of 20 years of integrative morphological, molecular, cytogenetic, behavioural, and chemoecological data. </w:t>
      </w:r>
      <w:r>
        <w:rPr>
          <w:rFonts w:ascii="Calibri" w:hAnsi="Calibri" w:eastAsia="Calibri" w:cs="Calibri"/>
          <w:i/>
          <w:iCs/>
          <w:color w:val="000000"/>
          <w:sz w:val="22"/>
          <w:szCs w:val="22"/>
        </w:rPr>
        <w:t xml:space="preserve">Systematic Entomology</w:t>
      </w:r>
      <w:r>
        <w:rPr>
          <w:rFonts w:ascii="Calibri" w:hAnsi="Calibri" w:eastAsia="Calibri" w:cs="Calibri"/>
          <w:color w:val="000000"/>
          <w:sz w:val="22"/>
          <w:szCs w:val="22"/>
        </w:rPr>
        <w:t xml:space="preserve"> </w:t>
      </w:r>
      <w:hyperlink r:id="rId71376a80df8032fa0" w:history="1">
        <w:r>
          <w:rPr>
            <w:rFonts w:ascii="Calibri" w:hAnsi="Calibri" w:eastAsia="Calibri" w:cs="Calibri"/>
            <w:color w:val="0000CC"/>
            <w:sz w:val="22"/>
            <w:szCs w:val="22"/>
            <w:u w:val="single"/>
          </w:rPr>
          <w:t xml:space="preserve">https://doi.org/10.1111/syen.12113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Unahawutti U, Intarakumheng R, Oonthonglang P, Phankum S &amp; Follett PA (2014) Nonhost status of mangosteen to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Diptera: Tephritidae</w:t>
      </w:r>
      <w:r>
        <w:rPr>
          <w:rFonts w:ascii="Calibri" w:hAnsi="Calibri" w:eastAsia="Calibri" w:cs="Calibri"/>
          <w:color w:val="000000"/>
          <w:sz w:val="22"/>
          <w:szCs w:val="22"/>
        </w:rPr>
        <w:t xml:space="preserve">) in Thailand.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1355-1361.</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Leblanc L, Pinero JC &amp; Hoffman KM (2014) Male annihilation, past, present, and future. In </w:t>
      </w:r>
      <w:r>
        <w:rPr>
          <w:rFonts w:ascii="Calibri" w:hAnsi="Calibri" w:eastAsia="Calibri" w:cs="Calibri"/>
          <w:i/>
          <w:iCs/>
          <w:color w:val="000000"/>
          <w:sz w:val="22"/>
          <w:szCs w:val="22"/>
        </w:rPr>
        <w:t xml:space="preserve">Trapping and the detection, control, and regulation of tephritid fruit flies</w:t>
      </w:r>
      <w:r>
        <w:rPr>
          <w:rFonts w:ascii="Calibri" w:hAnsi="Calibri" w:eastAsia="Calibri" w:cs="Calibri"/>
          <w:color w:val="000000"/>
          <w:sz w:val="22"/>
          <w:szCs w:val="22"/>
        </w:rPr>
        <w:t xml:space="preserve">. (Eds Shelly T, N Epsky, EB Jang, J Reyes-Flores &amp; R Vargas), pp 493-511.Springer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Wee SL, Hee AKW &amp; Tan KH (2002) Comparative sensitivity to and consumption of methyl eugenol in three </w:t>
      </w:r>
      <w:r>
        <w:rPr>
          <w:rFonts w:ascii="Calibri" w:hAnsi="Calibri" w:eastAsia="Calibri" w:cs="Calibri"/>
          <w:i/>
          <w:iCs/>
          <w:color w:val="000000"/>
          <w:sz w:val="22"/>
          <w:szCs w:val="22"/>
        </w:rPr>
        <w:t xml:space="preserve">Bactrocera dorsalis (Diptera: Tephritidae</w:t>
      </w:r>
      <w:r>
        <w:rPr>
          <w:rFonts w:ascii="Calibri" w:hAnsi="Calibri" w:eastAsia="Calibri" w:cs="Calibri"/>
          <w:color w:val="000000"/>
          <w:sz w:val="22"/>
          <w:szCs w:val="22"/>
        </w:rPr>
        <w:t xml:space="preserve">) complex sibling species. </w:t>
      </w:r>
      <w:r>
        <w:rPr>
          <w:rFonts w:ascii="Calibri" w:hAnsi="Calibri" w:eastAsia="Calibri" w:cs="Calibri"/>
          <w:i/>
          <w:iCs/>
          <w:color w:val="000000"/>
          <w:sz w:val="22"/>
          <w:szCs w:val="22"/>
        </w:rPr>
        <w:t xml:space="preserve">Chemoecology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193-197.</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xii+601pp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75996a80df80331c4" w:history="1">
        <w:r>
          <w:rPr>
            <w:rFonts w:ascii="Calibri" w:hAnsi="Calibri" w:eastAsia="Calibri" w:cs="Calibri"/>
            <w:color w:val="0000CC"/>
            <w:sz w:val="22"/>
            <w:szCs w:val="22"/>
            <w:u w:val="single"/>
          </w:rPr>
          <w:t xml:space="preserve">https://www.cabi.org/isc/datasheet/8700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carambolae</w:t>
      </w:r>
      <w:r>
        <w:rPr>
          <w:rFonts w:ascii="Calibri" w:hAnsi="Calibri" w:eastAsia="Calibri" w:cs="Calibri"/>
          <w:color w:val="000000"/>
          <w:sz w:val="22"/>
          <w:szCs w:val="22"/>
        </w:rPr>
        <w:t xml:space="preserve">. EPPO datasheets on pests recommended for regulation. Available online. </w:t>
      </w:r>
      <w:hyperlink r:id="rId40856a80df803327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as part of the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dorsalis </w:t>
      </w:r>
      <w:r>
        <w:rPr>
          <w:rFonts w:ascii="Calibri" w:hAnsi="Calibri" w:eastAsia="Calibri" w:cs="Calibri"/>
          <w:color w:val="000000"/>
          <w:sz w:val="22"/>
          <w:szCs w:val="22"/>
        </w:rPr>
        <w:t xml:space="preserve">species complex,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17723505" name="name23616a80df80333db"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1686a80df80333d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720983">
    <w:multiLevelType w:val="hybridMultilevel"/>
    <w:lvl w:ilvl="0" w:tplc="52786319">
      <w:start w:val="1"/>
      <w:numFmt w:val="decimal"/>
      <w:lvlText w:val="%1."/>
      <w:lvlJc w:val="left"/>
      <w:pPr>
        <w:ind w:left="720" w:hanging="360"/>
      </w:pPr>
    </w:lvl>
    <w:lvl w:ilvl="1" w:tplc="52786319" w:tentative="1">
      <w:start w:val="1"/>
      <w:numFmt w:val="lowerLetter"/>
      <w:lvlText w:val="%2."/>
      <w:lvlJc w:val="left"/>
      <w:pPr>
        <w:ind w:left="1440" w:hanging="360"/>
      </w:pPr>
    </w:lvl>
    <w:lvl w:ilvl="2" w:tplc="52786319" w:tentative="1">
      <w:start w:val="1"/>
      <w:numFmt w:val="lowerRoman"/>
      <w:lvlText w:val="%3."/>
      <w:lvlJc w:val="right"/>
      <w:pPr>
        <w:ind w:left="2160" w:hanging="180"/>
      </w:pPr>
    </w:lvl>
    <w:lvl w:ilvl="3" w:tplc="52786319" w:tentative="1">
      <w:start w:val="1"/>
      <w:numFmt w:val="decimal"/>
      <w:lvlText w:val="%4."/>
      <w:lvlJc w:val="left"/>
      <w:pPr>
        <w:ind w:left="2880" w:hanging="360"/>
      </w:pPr>
    </w:lvl>
    <w:lvl w:ilvl="4" w:tplc="52786319" w:tentative="1">
      <w:start w:val="1"/>
      <w:numFmt w:val="lowerLetter"/>
      <w:lvlText w:val="%5."/>
      <w:lvlJc w:val="left"/>
      <w:pPr>
        <w:ind w:left="3600" w:hanging="360"/>
      </w:pPr>
    </w:lvl>
    <w:lvl w:ilvl="5" w:tplc="52786319" w:tentative="1">
      <w:start w:val="1"/>
      <w:numFmt w:val="lowerRoman"/>
      <w:lvlText w:val="%6."/>
      <w:lvlJc w:val="right"/>
      <w:pPr>
        <w:ind w:left="4320" w:hanging="180"/>
      </w:pPr>
    </w:lvl>
    <w:lvl w:ilvl="6" w:tplc="52786319" w:tentative="1">
      <w:start w:val="1"/>
      <w:numFmt w:val="decimal"/>
      <w:lvlText w:val="%7."/>
      <w:lvlJc w:val="left"/>
      <w:pPr>
        <w:ind w:left="5040" w:hanging="360"/>
      </w:pPr>
    </w:lvl>
    <w:lvl w:ilvl="7" w:tplc="52786319" w:tentative="1">
      <w:start w:val="1"/>
      <w:numFmt w:val="lowerLetter"/>
      <w:lvlText w:val="%8."/>
      <w:lvlJc w:val="left"/>
      <w:pPr>
        <w:ind w:left="5760" w:hanging="360"/>
      </w:pPr>
    </w:lvl>
    <w:lvl w:ilvl="8" w:tplc="52786319" w:tentative="1">
      <w:start w:val="1"/>
      <w:numFmt w:val="lowerRoman"/>
      <w:lvlText w:val="%9."/>
      <w:lvlJc w:val="right"/>
      <w:pPr>
        <w:ind w:left="6480" w:hanging="180"/>
      </w:pPr>
    </w:lvl>
  </w:abstractNum>
  <w:abstractNum w:abstractNumId="40720982">
    <w:multiLevelType w:val="hybridMultilevel"/>
    <w:lvl w:ilvl="0" w:tplc="784210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720982">
    <w:abstractNumId w:val="40720982"/>
  </w:num>
  <w:num w:numId="40720983">
    <w:abstractNumId w:val="4072098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3017673" Type="http://schemas.microsoft.com/office/2011/relationships/commentsExtended" Target="commentsExtended.xml"/><Relationship Id="rId101897432" Type="http://schemas.microsoft.com/office/2011/relationships/people" Target="people.xml"/><Relationship Id="rId10326a80df802eecd" Type="http://schemas.openxmlformats.org/officeDocument/2006/relationships/hyperlink" Target="https://gd.eppo.int/taxon/BCTRCB/" TargetMode="External"/><Relationship Id="rId44016a80df802ef13" Type="http://schemas.openxmlformats.org/officeDocument/2006/relationships/hyperlink" Target="https://gd.eppo.int/taxon/BCTRCB/categorization" TargetMode="External"/><Relationship Id="rId45796a80df802f904" Type="http://schemas.openxmlformats.org/officeDocument/2006/relationships/hyperlink" Target="https://gd.eppo.int/taxon/BCTRCB/photos" TargetMode="External"/><Relationship Id="rId70166a80df803246e" Type="http://schemas.openxmlformats.org/officeDocument/2006/relationships/hyperlink" Target="https://www.boldsystems.org/index.php/Taxbrowser_Taxonpage?searchMenu=taxonomy&amp;query=carambolae&amp;taxon=carambolae" TargetMode="External"/><Relationship Id="rId78256a80df803249b" Type="http://schemas.openxmlformats.org/officeDocument/2006/relationships/hyperlink" Target="https://qbank.eppo.int/arthropods/" TargetMode="External"/><Relationship Id="rId91496a80df8032a0c" Type="http://schemas.openxmlformats.org/officeDocument/2006/relationships/hyperlink" Target="https://doi.org/10.2903/j.efsa.2020.5931" TargetMode="External"/><Relationship Id="rId33616a80df8032d61" Type="http://schemas.openxmlformats.org/officeDocument/2006/relationships/hyperlink" Target="https://coffhi.cphst.org/" TargetMode="External"/><Relationship Id="rId71376a80df8032fa0" Type="http://schemas.openxmlformats.org/officeDocument/2006/relationships/hyperlink" Target="https://doi.org/10.1111/syen.12113" TargetMode="External"/><Relationship Id="rId75996a80df80331c4" Type="http://schemas.openxmlformats.org/officeDocument/2006/relationships/hyperlink" Target="https://www.cabi.org/isc/datasheet/8700" TargetMode="External"/><Relationship Id="rId40856a80df803327c" Type="http://schemas.openxmlformats.org/officeDocument/2006/relationships/hyperlink" Target="https://gd.eppo.int" TargetMode="External"/><Relationship Id="rId20466a80df802f7d3" Type="http://schemas.openxmlformats.org/officeDocument/2006/relationships/image" Target="media/imgrId20466a80df802f7d3.jpg"/><Relationship Id="rId76126a80df8031b67" Type="http://schemas.openxmlformats.org/officeDocument/2006/relationships/image" Target="media/imgrId76126a80df8031b67.jpg"/><Relationship Id="rId11686a80df80333da" Type="http://schemas.openxmlformats.org/officeDocument/2006/relationships/image" Target="media/imgrId11686a80df80333d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