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carambolae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carambolae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Drew &amp; Hancock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species 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carambola fruit fly</w:t>
            </w:r>
            <w:hyperlink r:id="rId55126ab653d6889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7936ab653d6889e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BCTRCB</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9433986" name="name29516ab653d689307" descr="2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29.jpg"/>
                          <pic:cNvPicPr/>
                        </pic:nvPicPr>
                        <pic:blipFill>
                          <a:blip r:embed="rId24826ab653d689305" cstate="print"/>
                          <a:stretch>
                            <a:fillRect/>
                          </a:stretch>
                        </pic:blipFill>
                        <pic:spPr>
                          <a:xfrm>
                            <a:off x="0" y="0"/>
                            <a:ext cx="2160000" cy="1281600"/>
                          </a:xfrm>
                          <a:prstGeom prst="rect">
                            <a:avLst/>
                          </a:prstGeom>
                          <a:ln w="0">
                            <a:noFill/>
                          </a:ln>
                        </pic:spPr>
                      </pic:pic>
                    </a:graphicData>
                  </a:graphic>
                </wp:inline>
              </w:drawing>
            </w:r>
            <w:hyperlink r:id="rId10156ab653d68942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carambolae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 Schutze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showed that despite the high morphological and genetic similarity between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they are considered two valid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pest species utilizes a wide range of hosts. It has been reported from over 100 different host plants belonging to more than 30 different families of which the adventive populations in South America are recorded from 11 different plant families and close to 30 hosts (Sauers-Muller, 2005;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provides an extensive host list with detailed references. While </w:t>
      </w:r>
      <w:r>
        <w:rPr>
          <w:rFonts w:ascii="Calibri" w:hAnsi="Calibri" w:eastAsia="Calibri" w:cs="Calibri"/>
          <w:i/>
          <w:iCs/>
          <w:color w:val="000000"/>
          <w:sz w:val="22"/>
          <w:szCs w:val="22"/>
        </w:rPr>
        <w:t xml:space="preserve">Garcinia mangostana</w:t>
      </w:r>
      <w:r>
        <w:rPr>
          <w:rFonts w:ascii="Calibri" w:hAnsi="Calibri" w:eastAsia="Calibri" w:cs="Calibri"/>
          <w:color w:val="000000"/>
          <w:sz w:val="22"/>
          <w:szCs w:val="22"/>
        </w:rPr>
        <w:t xml:space="preserve"> is listed as a host by Allwood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it was shown by Unahawutti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that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females cannot oviposit in undamaged fruits of this species.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uniloculare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montana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altilis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elasticus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gomezianus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integer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lacucha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odoratissimus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rigidus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bilimbi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motleyana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Bouea oppositifolia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Byrsonima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Canarium odontophyllum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micracantha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Cascabela thevetia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Chrysobalanus icaco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swinglei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wallichii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Dysoxylum parasiticum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ligustrina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patrisii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stipitata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Fagraea ceilanica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grossularioides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atroviridis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cowa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mangostana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Genipa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Gnetum macrostachyum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Gnetum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Irvingia malayana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Knema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Lansium domesticum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Lepisanthes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Licania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Melientha suavis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elengi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Ochanostachys amentacea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Paramignya andamanica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quadrangularis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Pellacalyx saccardianus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Phaleria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longipetiolata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caimito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Rhodomyrtus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Salacca zalacca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Sandoricum koetjape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Shirakiopsis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Symplocos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aqueum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grande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Tetractomia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Uvaria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Xanthophyllum amoenum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found throughout large parts of Southeast Asia, from Bangladesh, eastwards to parts of Indonesia. Also present on the Andaman Islands (India) (David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It was introduced into South America, and is present in French Guyana, Guyana, Brazil (Amapa, Para and Roraima), and Surinam. </w:t>
      </w:r>
    </w:p>
    <w:p>
      <w:r>
        <w:drawing>
          <wp:inline distT="0" distB="0" distL="0" distR="0">
            <wp:extent cx="6120000" cy="3067200"/>
            <wp:docPr id="30026125" name="name59696ab653d68b45b" descr="BCTRC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CB_distribution_map.jpg"/>
                    <pic:cNvPicPr/>
                  </pic:nvPicPr>
                  <pic:blipFill>
                    <a:blip r:embed="rId15526ab653d68b45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Cambodia, East Timor, India (Andaman and Nicobar Islands), Indonesia (Java, Kalimantan, Maluku, Nusa Tenggara, Sulawesi, Sumatra), Malaysia (Sabah, Sarawak, West), Myanmar, Singapore, Thailand, Vietnam</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(Amapa, Para, Roraima), French Guiana, Guyana, Suriname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Based on information from Latin America, completion of the life cycle (from egg to reproductive adult) takes 30-40 days. Adults flies can remain alive as long as 100-200 days, but this will depend on a number of variables including the host plant, and temperature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Danjuma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Castilho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 details on the biology of this species can be found in Danjuma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Castilho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based on studies in, respectively, Thailand and Brazil.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The 3rd-instar larvae have been described by White &amp; Elson- Harris (1992) under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complex: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sp. near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(A)” in detail. The same work provides a key to 3rd-instar larvae which is useful for an identification to genus level.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Additional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Face fulvous with a pair of medium-sized oval black spots; postpronotal lobes and notopleura yellow; scutum dull black with brown behind lateral postsutural vittae, around notopleural suture and inside postpronotal lobes; broad parallel-sided lateral postsutural yellow vittae ending at or behind intra-alar seta; medial postsutural yellow vitta absent; mesopleural stripe reaching midway between anterior margin of notopleuron and anterior notopleural seta dorsally; scutellum yellow; legs with femora fulvous with a large elongate oval dark fuscous to black preapical spot on outer surfaces of fore femora in some specimens; tibiae dark fuscous (except mid tibiae paler apically); wing with cells bc and c colourless, microtrichia in outer corner of cell c only; a narrow fuscous costal band slightly overlapping R2+3 and expanding slightly beyond apex of R2+3 across apex of R4+5; a narrow fuscous anal streak; supernumerary lobe of medium development; abdominal terga III-V orange-brown with a ‘T’ pattern consisting of a narrow transverse black band across anterior margin of tergum III and widening to cover lateral margins, a medium-width medial longitudinal black band over all three terga, anterolateral corners of terga IV dark fuscous to black and rectangular in shape and anterolateral corners of tergum V dark fuscous, a pair of oval orange-brown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in the general body colour patterns. Pecten absent from abdominal tergum III. Ovipositor basal segment orange-brown, dorsoventrally compressed and tapering posteriorly in dorsal view; ratio of length of oviscape to length of tergum V, 1:1;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 is difficult and needs expert confirmation. See ISPM 27 DP 29IPPC (2019) for details on how to differentiate between the main species of commercial importance belonging to the species complex.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through DNA barcoding (COI) proves to be problematic as this species cannot be properly resolved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ISPM 27 DP 29 - IPPC, 2019). Additionally, the presence of unidentified / possibly misidentified reference sequence in the Barcoding Index Number Systems (BINs) in which this species is represented, might also bias its molecular ID. Molecular identification by DNA sequencing, using internal transcribed spacer (ITS) nuclear DNA regions, has been proposed to distinguish </w:t>
      </w:r>
      <w:r>
        <w:rPr>
          <w:rFonts w:ascii="Calibri" w:hAnsi="Calibri" w:eastAsia="Calibri" w:cs="Calibri"/>
          <w:i/>
          <w:iCs/>
          <w:color w:val="000000"/>
          <w:sz w:val="22"/>
          <w:szCs w:val="22"/>
        </w:rPr>
        <w:t xml:space="preserve">B. carambolae </w:t>
      </w:r>
      <w:r>
        <w:rPr>
          <w:rFonts w:ascii="Calibri" w:hAnsi="Calibri" w:eastAsia="Calibri" w:cs="Calibri"/>
          <w:color w:val="000000"/>
          <w:sz w:val="22"/>
          <w:szCs w:val="22"/>
        </w:rPr>
        <w:t xml:space="preserve">from some other members of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(IPPC, 2019).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20416ab653d68c136"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and </w:t>
      </w:r>
      <w:hyperlink r:id="rId93886ab653d68c164"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but require a much higher dose to elicit a response, compared to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(Wee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species is considered a major pest of a number of commercial fruits. Adventive populations in South America are considered to have a serious economic impact, especially if the fly could expand its range throughout large parts of the continent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Specific control methodologies conducted in Brazil comprises male annihilation technique (MAT) and foliage baiting (Malavasi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MAT using methyl eugenol is deemed to be less effective for this species compared to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probably because of weaker sensitivity to the attractant (Wee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carambolae </w:t>
      </w:r>
      <w:r>
        <w:rPr>
          <w:rFonts w:ascii="Calibri" w:hAnsi="Calibri" w:eastAsia="Calibri" w:cs="Calibri"/>
          <w:color w:val="000000"/>
          <w:sz w:val="22"/>
          <w:szCs w:val="22"/>
        </w:rPr>
        <w:t xml:space="preserve">is a known pest of several commercial fruit crops in the area where it is present. It can be moved in trade with infested fruit. No detailed study has been made on climatic suitability of the EPPO region for this species, but a global potential distribution was proposed by Marchioro (2016). This publication points out that both the native and invaded ranges predominantly occur in tropical zones with extremely hot and moist regions. The prediction models show that the EPPO region is largely unsuitable for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However, even transient populations could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carambolae </w:t>
      </w:r>
      <w:r>
        <w:rPr>
          <w:rFonts w:ascii="Calibri" w:hAnsi="Calibri" w:eastAsia="Calibri" w:cs="Calibri"/>
          <w:color w:val="000000"/>
          <w:sz w:val="22"/>
          <w:szCs w:val="22"/>
        </w:rPr>
        <w:t xml:space="preserve">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carambolae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Adaime R, Jesus-Barros CR de, Bariani A, Lopes Lima A, Cruz KR&amp; Carvalho JP (2016) Novos registros de hospedeiros da Mosca-da-Carambola (</w:t>
      </w:r>
      <w:r>
        <w:rPr>
          <w:rFonts w:ascii="Calibri" w:hAnsi="Calibri" w:eastAsia="Calibri" w:cs="Calibri"/>
          <w:i/>
          <w:iCs/>
          <w:color w:val="000000"/>
          <w:sz w:val="22"/>
          <w:szCs w:val="22"/>
        </w:rPr>
        <w:t xml:space="preserve">Bactocera carambolae</w:t>
      </w:r>
      <w:r>
        <w:rPr>
          <w:rFonts w:ascii="Calibri" w:hAnsi="Calibri" w:eastAsia="Calibri" w:cs="Calibri"/>
          <w:color w:val="000000"/>
          <w:sz w:val="22"/>
          <w:szCs w:val="22"/>
        </w:rPr>
        <w:t xml:space="preserve">) no estado do Amapà, Brasil. </w:t>
      </w:r>
      <w:r>
        <w:rPr>
          <w:rFonts w:ascii="Calibri" w:hAnsi="Calibri" w:eastAsia="Calibri" w:cs="Calibri"/>
          <w:i/>
          <w:iCs/>
          <w:color w:val="000000"/>
          <w:sz w:val="22"/>
          <w:szCs w:val="22"/>
        </w:rPr>
        <w:t xml:space="preserve">Comunicado Técnico Embrapa Amapà</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Allwood AJ, Chinajariyawong A, Drew RAI, Hamacek EL, Hancock DL, Hengsawad C, Jipanin CJ, Jirasurat M, Kong Krong C, Kritsaneepaiboon S, Leong CTS &amp; Vijaysegaran S (1999) Host plant records for fruit flies (Diptera: Tephritidae) in South East Asia. </w:t>
      </w:r>
      <w:r>
        <w:rPr>
          <w:rFonts w:ascii="Calibri" w:hAnsi="Calibri" w:eastAsia="Calibri" w:cs="Calibri"/>
          <w:i/>
          <w:iCs/>
          <w:color w:val="000000"/>
          <w:sz w:val="22"/>
          <w:szCs w:val="22"/>
        </w:rPr>
        <w:t xml:space="preserve">The Raffles Bulletin of Zoology suppl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1-92.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72056ab653d68c74c"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Castilho AP, Pasinato J, Veloso dos Santos JE, de Silva da Costa A, Nava DE, de Jesus CR &amp; Adaime R (2019) Biology of Bactrocera carambolae (Diptera : Tephritidae) on four hosts.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302-307.</w:t>
      </w:r>
    </w:p>
    <w:p>
      <w:pPr>
        <w:widowControl w:val="on"/>
        <w:pBdr/>
        <w:spacing w:before="220" w:after="220" w:line="240" w:lineRule="auto"/>
        <w:ind w:left="0" w:right="0"/>
        <w:jc w:val="left"/>
      </w:pPr>
      <w:r>
        <w:rPr>
          <w:rFonts w:ascii="Calibri" w:hAnsi="Calibri" w:eastAsia="Calibri" w:cs="Calibri"/>
          <w:color w:val="000000"/>
          <w:sz w:val="22"/>
          <w:szCs w:val="22"/>
        </w:rPr>
        <w:t xml:space="preserve">Danjuma S, Boonrotpont S, Thaochan N, Surakrai P, Chutamas S &amp; Niranjan K (2018) Life history strategy of the carambola fruit fly,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Drew and Hancock (Diptera : Tephritidae) on guava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Agriculturists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39-53.</w:t>
      </w:r>
    </w:p>
    <w:p>
      <w:pPr>
        <w:widowControl w:val="on"/>
        <w:pBdr/>
        <w:spacing w:before="220" w:after="220" w:line="240" w:lineRule="auto"/>
        <w:ind w:left="0" w:right="0"/>
        <w:jc w:val="left"/>
      </w:pPr>
      <w:r>
        <w:rPr>
          <w:rFonts w:ascii="Calibri" w:hAnsi="Calibri" w:eastAsia="Calibri" w:cs="Calibri"/>
          <w:color w:val="000000"/>
          <w:sz w:val="22"/>
          <w:szCs w:val="22"/>
        </w:rPr>
        <w:t xml:space="preserve">David KJ, Hancock DL, Singh SK, Ramani S, Behere GT &amp; Salini S (2017) New species, new records and updated subgeneric key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Macquart (Diptera: Tephritidae: Dacinae: Dacini) from India.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4272</w:t>
      </w:r>
      <w:r>
        <w:rPr>
          <w:rFonts w:ascii="Calibri" w:hAnsi="Calibri" w:eastAsia="Calibri" w:cs="Calibri"/>
          <w:color w:val="000000"/>
          <w:sz w:val="22"/>
          <w:szCs w:val="22"/>
        </w:rPr>
        <w:t xml:space="preserve">, 386-400.</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(UK),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McQuate GT, Nakamichi KA, Kurashima RS, Birnbaum AL &amp; Hanlin MA (2016) Provisional list of suitable host plants of carambola fruit fly, </w:t>
      </w:r>
      <w:r>
        <w:rPr>
          <w:rFonts w:ascii="Calibri" w:hAnsi="Calibri" w:eastAsia="Calibri" w:cs="Calibri"/>
          <w:i/>
          <w:iCs/>
          <w:color w:val="000000"/>
          <w:sz w:val="22"/>
          <w:szCs w:val="22"/>
        </w:rPr>
        <w:t xml:space="preserve">Bactrocera (Bactrocera) carambolae</w:t>
      </w:r>
      <w:r>
        <w:rPr>
          <w:rFonts w:ascii="Calibri" w:hAnsi="Calibri" w:eastAsia="Calibri" w:cs="Calibri"/>
          <w:color w:val="000000"/>
          <w:sz w:val="22"/>
          <w:szCs w:val="22"/>
        </w:rPr>
        <w:t xml:space="preserve"> Drew &amp; Hancock (</w:t>
      </w:r>
      <w:r>
        <w:rPr>
          <w:rFonts w:ascii="Calibri" w:hAnsi="Calibri" w:eastAsia="Calibri" w:cs="Calibri"/>
          <w:i/>
          <w:iCs/>
          <w:color w:val="000000"/>
          <w:sz w:val="22"/>
          <w:szCs w:val="22"/>
        </w:rPr>
        <w:t xml:space="preserve">Diptera: Tephritidae</w:t>
      </w:r>
      <w:r>
        <w:rPr>
          <w:rFonts w:ascii="Calibri" w:hAnsi="Calibri" w:eastAsia="Calibri" w:cs="Calibri"/>
          <w:color w:val="000000"/>
          <w:sz w:val="22"/>
          <w:szCs w:val="22"/>
        </w:rPr>
        <w:t xml:space="preserve">), Version 1.1. Available online at USDA Compendium of Fruit Fly Host Information (CoFFHI). </w:t>
      </w:r>
      <w:hyperlink r:id="rId53836ab653d68cab6"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March 2020).</w:t>
      </w:r>
    </w:p>
    <w:p>
      <w:pPr>
        <w:widowControl w:val="on"/>
        <w:pBdr/>
        <w:spacing w:before="220" w:after="220" w:line="240" w:lineRule="auto"/>
        <w:ind w:left="0" w:right="0"/>
        <w:jc w:val="left"/>
      </w:pPr>
      <w:r>
        <w:rPr>
          <w:rFonts w:ascii="Calibri" w:hAnsi="Calibri" w:eastAsia="Calibri" w:cs="Calibri"/>
          <w:color w:val="000000"/>
          <w:sz w:val="22"/>
          <w:szCs w:val="22"/>
        </w:rPr>
        <w:t xml:space="preserve">Malavasi A, Midgarden D &amp; De Meyer M (2013) 12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that pose a threat to Florida: </w:t>
      </w:r>
      <w:r>
        <w:rPr>
          <w:rFonts w:ascii="Calibri" w:hAnsi="Calibri" w:eastAsia="Calibri" w:cs="Calibri"/>
          <w:i/>
          <w:iCs/>
          <w:color w:val="000000"/>
          <w:sz w:val="22"/>
          <w:szCs w:val="22"/>
        </w:rPr>
        <w:t xml:space="preserve">B. carambolae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invadens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Potential Invasive Pests of Agricultural Crops</w:t>
      </w:r>
      <w:r>
        <w:rPr>
          <w:rFonts w:ascii="Calibri" w:hAnsi="Calibri" w:eastAsia="Calibri" w:cs="Calibri"/>
          <w:color w:val="000000"/>
          <w:sz w:val="22"/>
          <w:szCs w:val="22"/>
        </w:rPr>
        <w:t xml:space="preserve"> (ed Pena J), pp 214-227.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Marchioro CA (2016) Global potential distribution of </w:t>
      </w:r>
      <w:r>
        <w:rPr>
          <w:rFonts w:ascii="Calibri" w:hAnsi="Calibri" w:eastAsia="Calibri" w:cs="Calibri"/>
          <w:i/>
          <w:iCs/>
          <w:color w:val="000000"/>
          <w:sz w:val="22"/>
          <w:szCs w:val="22"/>
        </w:rPr>
        <w:t xml:space="preserve">Bactrocera carambolae </w:t>
      </w:r>
      <w:r>
        <w:rPr>
          <w:rFonts w:ascii="Calibri" w:hAnsi="Calibri" w:eastAsia="Calibri" w:cs="Calibri"/>
          <w:color w:val="000000"/>
          <w:sz w:val="22"/>
          <w:szCs w:val="22"/>
        </w:rPr>
        <w:t xml:space="preserve">and the risks for fruit production in Brazil. PlosONE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(11) e0166142, 1-16.</w:t>
      </w:r>
    </w:p>
    <w:p>
      <w:pPr>
        <w:widowControl w:val="on"/>
        <w:pBdr/>
        <w:spacing w:before="220" w:after="220" w:line="240" w:lineRule="auto"/>
        <w:ind w:left="0" w:right="0"/>
        <w:jc w:val="left"/>
      </w:pPr>
      <w:r>
        <w:rPr>
          <w:rFonts w:ascii="Calibri" w:hAnsi="Calibri" w:eastAsia="Calibri" w:cs="Calibri"/>
          <w:color w:val="000000"/>
          <w:sz w:val="22"/>
          <w:szCs w:val="22"/>
        </w:rPr>
        <w:t xml:space="preserve">Sauers-Muller A van (2005) Host plants of the carambola fruit fly,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Drew &amp; Hancock (Diptera: Tephritidae) in Suriname, South America.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203-214.</w:t>
      </w:r>
    </w:p>
    <w:p>
      <w:pPr>
        <w:widowControl w:val="on"/>
        <w:pBdr/>
        <w:spacing w:before="220" w:after="220" w:line="240" w:lineRule="auto"/>
        <w:ind w:left="0" w:right="0"/>
        <w:jc w:val="left"/>
      </w:pPr>
      <w:r>
        <w:rPr>
          <w:rFonts w:ascii="Calibri" w:hAnsi="Calibri" w:eastAsia="Calibri" w:cs="Calibri"/>
          <w:color w:val="000000"/>
          <w:sz w:val="22"/>
          <w:szCs w:val="22"/>
        </w:rPr>
        <w:t xml:space="preserve">Schutze MK, Aketarawong N, Amornsak W, Armstrong KF, Augustinos A, Barr N, Bo W, Bourtzis K, Boykin LM, Caceres C, Cameron SL, Chapman TA, Chinvinijkul S, Chomic A, De Meyer M, Drosopoulou ED, Englezou A, Ekesi S, Gariou-Papalexiou A, Hailstones D, Haymer D, Hee AKW, Hendrichs J, Hasanuzzaman M, Jessup A, Khamis FM, Krosch MN, Leblanc L, Mahmood K, Malacrida AR, Mavragani-Tsipidou P, McInnis DO, Mwatawala M, Nishida R, Ono H, Reyes J, Rubinoff DR, San Jose M, Shelly TE, Srikachar S, Tan KH, Thanaphum S, Ul Haq I, Vijaysegaran S, Wee SL, Yesmin F, Zacharopoulou A &amp; Clarke AR (2014) Synonymization of key pest species within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Diptera : Tephritidae</w:t>
      </w:r>
      <w:r>
        <w:rPr>
          <w:rFonts w:ascii="Calibri" w:hAnsi="Calibri" w:eastAsia="Calibri" w:cs="Calibri"/>
          <w:color w:val="000000"/>
          <w:sz w:val="22"/>
          <w:szCs w:val="22"/>
        </w:rPr>
        <w:t xml:space="preserve">): taxonomic changes based on a review of 20 years of integrative morphological, molecular, cytogenetic, behavioural, and chemoecological data.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hyperlink r:id="rId90956ab653d68cd20" w:history="1">
        <w:r>
          <w:rPr>
            <w:rFonts w:ascii="Calibri" w:hAnsi="Calibri" w:eastAsia="Calibri" w:cs="Calibri"/>
            <w:color w:val="0000CC"/>
            <w:sz w:val="22"/>
            <w:szCs w:val="22"/>
            <w:u w:val="single"/>
          </w:rPr>
          <w:t xml:space="preserve">https://doi.org/10.1111/syen.12113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Unahawutti U, Intarakumheng R, Oonthonglang P, Phankum S &amp; Follett PA (2014) Nonhost status of mangosteen to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Diptera: Tephritidae</w:t>
      </w:r>
      <w:r>
        <w:rPr>
          <w:rFonts w:ascii="Calibri" w:hAnsi="Calibri" w:eastAsia="Calibri" w:cs="Calibri"/>
          <w:color w:val="000000"/>
          <w:sz w:val="22"/>
          <w:szCs w:val="22"/>
        </w:rPr>
        <w:t xml:space="preserve">) in Thailand.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1355-1361.</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Leblanc L, Pinero JC &amp; Hoffman KM (2014) Male annihilation, past, present, and future. In </w:t>
      </w:r>
      <w:r>
        <w:rPr>
          <w:rFonts w:ascii="Calibri" w:hAnsi="Calibri" w:eastAsia="Calibri" w:cs="Calibri"/>
          <w:i/>
          <w:iCs/>
          <w:color w:val="000000"/>
          <w:sz w:val="22"/>
          <w:szCs w:val="22"/>
        </w:rPr>
        <w:t xml:space="preserve">Trapping and the detection, control, and regulation of tephritid fruit flies</w:t>
      </w:r>
      <w:r>
        <w:rPr>
          <w:rFonts w:ascii="Calibri" w:hAnsi="Calibri" w:eastAsia="Calibri" w:cs="Calibri"/>
          <w:color w:val="000000"/>
          <w:sz w:val="22"/>
          <w:szCs w:val="22"/>
        </w:rPr>
        <w:t xml:space="preserve">. (Eds Shelly T, N Epsky, EB Jang, J Reyes-Flores &amp; R Vargas), pp 493-511.Springer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Wee SL, Hee AKW &amp; Tan KH (2002) Comparative sensitivity to and consumption of methyl eugenol in three </w:t>
      </w:r>
      <w:r>
        <w:rPr>
          <w:rFonts w:ascii="Calibri" w:hAnsi="Calibri" w:eastAsia="Calibri" w:cs="Calibri"/>
          <w:i/>
          <w:iCs/>
          <w:color w:val="000000"/>
          <w:sz w:val="22"/>
          <w:szCs w:val="22"/>
        </w:rPr>
        <w:t xml:space="preserve">Bactrocera dorsalis (Diptera: Tephritidae</w:t>
      </w:r>
      <w:r>
        <w:rPr>
          <w:rFonts w:ascii="Calibri" w:hAnsi="Calibri" w:eastAsia="Calibri" w:cs="Calibri"/>
          <w:color w:val="000000"/>
          <w:sz w:val="22"/>
          <w:szCs w:val="22"/>
        </w:rPr>
        <w:t xml:space="preserve">) complex sibling species. </w:t>
      </w:r>
      <w:r>
        <w:rPr>
          <w:rFonts w:ascii="Calibri" w:hAnsi="Calibri" w:eastAsia="Calibri" w:cs="Calibri"/>
          <w:i/>
          <w:iCs/>
          <w:color w:val="000000"/>
          <w:sz w:val="22"/>
          <w:szCs w:val="22"/>
        </w:rPr>
        <w:t xml:space="preserve">Chemoecology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193-197.</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12056ab653d68cfa0" w:history="1">
        <w:r>
          <w:rPr>
            <w:rFonts w:ascii="Calibri" w:hAnsi="Calibri" w:eastAsia="Calibri" w:cs="Calibri"/>
            <w:color w:val="0000CC"/>
            <w:sz w:val="22"/>
            <w:szCs w:val="22"/>
            <w:u w:val="single"/>
          </w:rPr>
          <w:t xml:space="preserve">https://www.cabi.org/isc/datasheet/8700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EPPO datasheets on pests recommended for regulation. Available online. </w:t>
      </w:r>
      <w:hyperlink r:id="rId66166ab653d68d05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8516458" name="name33866ab653d68d1c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3956ab653d68d1c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10672">
    <w:multiLevelType w:val="hybridMultilevel"/>
    <w:lvl w:ilvl="0" w:tplc="95710188">
      <w:start w:val="1"/>
      <w:numFmt w:val="decimal"/>
      <w:lvlText w:val="%1."/>
      <w:lvlJc w:val="left"/>
      <w:pPr>
        <w:ind w:left="720" w:hanging="360"/>
      </w:pPr>
    </w:lvl>
    <w:lvl w:ilvl="1" w:tplc="95710188" w:tentative="1">
      <w:start w:val="1"/>
      <w:numFmt w:val="lowerLetter"/>
      <w:lvlText w:val="%2."/>
      <w:lvlJc w:val="left"/>
      <w:pPr>
        <w:ind w:left="1440" w:hanging="360"/>
      </w:pPr>
    </w:lvl>
    <w:lvl w:ilvl="2" w:tplc="95710188" w:tentative="1">
      <w:start w:val="1"/>
      <w:numFmt w:val="lowerRoman"/>
      <w:lvlText w:val="%3."/>
      <w:lvlJc w:val="right"/>
      <w:pPr>
        <w:ind w:left="2160" w:hanging="180"/>
      </w:pPr>
    </w:lvl>
    <w:lvl w:ilvl="3" w:tplc="95710188" w:tentative="1">
      <w:start w:val="1"/>
      <w:numFmt w:val="decimal"/>
      <w:lvlText w:val="%4."/>
      <w:lvlJc w:val="left"/>
      <w:pPr>
        <w:ind w:left="2880" w:hanging="360"/>
      </w:pPr>
    </w:lvl>
    <w:lvl w:ilvl="4" w:tplc="95710188" w:tentative="1">
      <w:start w:val="1"/>
      <w:numFmt w:val="lowerLetter"/>
      <w:lvlText w:val="%5."/>
      <w:lvlJc w:val="left"/>
      <w:pPr>
        <w:ind w:left="3600" w:hanging="360"/>
      </w:pPr>
    </w:lvl>
    <w:lvl w:ilvl="5" w:tplc="95710188" w:tentative="1">
      <w:start w:val="1"/>
      <w:numFmt w:val="lowerRoman"/>
      <w:lvlText w:val="%6."/>
      <w:lvlJc w:val="right"/>
      <w:pPr>
        <w:ind w:left="4320" w:hanging="180"/>
      </w:pPr>
    </w:lvl>
    <w:lvl w:ilvl="6" w:tplc="95710188" w:tentative="1">
      <w:start w:val="1"/>
      <w:numFmt w:val="decimal"/>
      <w:lvlText w:val="%7."/>
      <w:lvlJc w:val="left"/>
      <w:pPr>
        <w:ind w:left="5040" w:hanging="360"/>
      </w:pPr>
    </w:lvl>
    <w:lvl w:ilvl="7" w:tplc="95710188" w:tentative="1">
      <w:start w:val="1"/>
      <w:numFmt w:val="lowerLetter"/>
      <w:lvlText w:val="%8."/>
      <w:lvlJc w:val="left"/>
      <w:pPr>
        <w:ind w:left="5760" w:hanging="360"/>
      </w:pPr>
    </w:lvl>
    <w:lvl w:ilvl="8" w:tplc="95710188" w:tentative="1">
      <w:start w:val="1"/>
      <w:numFmt w:val="lowerRoman"/>
      <w:lvlText w:val="%9."/>
      <w:lvlJc w:val="right"/>
      <w:pPr>
        <w:ind w:left="6480" w:hanging="180"/>
      </w:pPr>
    </w:lvl>
  </w:abstractNum>
  <w:abstractNum w:abstractNumId="24310671">
    <w:multiLevelType w:val="hybridMultilevel"/>
    <w:lvl w:ilvl="0" w:tplc="34976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10671">
    <w:abstractNumId w:val="24310671"/>
  </w:num>
  <w:num w:numId="24310672">
    <w:abstractNumId w:val="243106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6522672" Type="http://schemas.microsoft.com/office/2011/relationships/commentsExtended" Target="commentsExtended.xml"/><Relationship Id="rId621400109" Type="http://schemas.microsoft.com/office/2011/relationships/people" Target="people.xml"/><Relationship Id="rId55126ab653d6889a9" Type="http://schemas.openxmlformats.org/officeDocument/2006/relationships/hyperlink" Target="https://gd.eppo.int/taxon/BCTRCB/" TargetMode="External"/><Relationship Id="rId77936ab653d6889ed" Type="http://schemas.openxmlformats.org/officeDocument/2006/relationships/hyperlink" Target="https://gd.eppo.int/taxon/BCTRCB/categorization" TargetMode="External"/><Relationship Id="rId10156ab653d689425" Type="http://schemas.openxmlformats.org/officeDocument/2006/relationships/hyperlink" Target="https://gd.eppo.int/taxon/BCTRCB/photos" TargetMode="External"/><Relationship Id="rId20416ab653d68c136" Type="http://schemas.openxmlformats.org/officeDocument/2006/relationships/hyperlink" Target="https://www.boldsystems.org/index.php/Taxbrowser_Taxonpage?searchMenu=taxonomy&amp;query=carambolae&amp;taxon=carambolae" TargetMode="External"/><Relationship Id="rId93886ab653d68c164" Type="http://schemas.openxmlformats.org/officeDocument/2006/relationships/hyperlink" Target="https://qbank.eppo.int/arthropods/" TargetMode="External"/><Relationship Id="rId72056ab653d68c74c" Type="http://schemas.openxmlformats.org/officeDocument/2006/relationships/hyperlink" Target="https://doi.org/10.2903/j.efsa.2020.5931" TargetMode="External"/><Relationship Id="rId53836ab653d68cab6" Type="http://schemas.openxmlformats.org/officeDocument/2006/relationships/hyperlink" Target="https://coffhi.cphst.org/" TargetMode="External"/><Relationship Id="rId90956ab653d68cd20" Type="http://schemas.openxmlformats.org/officeDocument/2006/relationships/hyperlink" Target="https://doi.org/10.1111/syen.12113" TargetMode="External"/><Relationship Id="rId12056ab653d68cfa0" Type="http://schemas.openxmlformats.org/officeDocument/2006/relationships/hyperlink" Target="https://www.cabi.org/isc/datasheet/8700" TargetMode="External"/><Relationship Id="rId66166ab653d68d05c" Type="http://schemas.openxmlformats.org/officeDocument/2006/relationships/hyperlink" Target="https://gd.eppo.int" TargetMode="External"/><Relationship Id="rId24826ab653d689305" Type="http://schemas.openxmlformats.org/officeDocument/2006/relationships/image" Target="media/imgrId24826ab653d689305.jpg"/><Relationship Id="rId15526ab653d68b458" Type="http://schemas.openxmlformats.org/officeDocument/2006/relationships/image" Target="media/imgrId15526ab653d68b458.jpg"/><Relationship Id="rId73956ab653d68d1cb" Type="http://schemas.openxmlformats.org/officeDocument/2006/relationships/image" Target="media/imgrId73956ab653d68d1c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