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(Weir) Lohmann &amp; Cash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arizonica</w:t>
            </w:r>
            <w:r>
              <w:rPr>
                <w:rFonts w:ascii="Calibri" w:hAnsi="Calibri" w:eastAsia="Calibri" w:cs="Calibri"/>
                <w:color w:val="000000"/>
                <w:position w:val="-3"/>
                <w:sz w:val="22"/>
                <w:szCs w:val="22"/>
              </w:rPr>
              <w:t xml:space="preserve"> Lohman &amp; Cash, </w:t>
            </w:r>
            <w:r>
              <w:rPr>
                <w:rFonts w:ascii="Calibri" w:hAnsi="Calibri" w:eastAsia="Calibri" w:cs="Calibri"/>
                <w:i/>
                <w:iCs/>
                <w:color w:val="000000"/>
                <w:position w:val="-3"/>
                <w:sz w:val="22"/>
                <w:szCs w:val="22"/>
              </w:rPr>
              <w:t xml:space="preserve">Cenangium piniphilum</w:t>
            </w:r>
            <w:r>
              <w:rPr>
                <w:rFonts w:ascii="Calibri" w:hAnsi="Calibri" w:eastAsia="Calibri" w:cs="Calibri"/>
                <w:color w:val="000000"/>
                <w:position w:val="-3"/>
                <w:sz w:val="22"/>
                <w:szCs w:val="22"/>
              </w:rPr>
              <w:t xml:space="preserve"> Weir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49016634a05525e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0476634a05525e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866007" name="name67176634a0552661d" descr="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jpg"/>
                          <pic:cNvPicPr/>
                        </pic:nvPicPr>
                        <pic:blipFill>
                          <a:blip r:embed="rId29546634a0552661b" cstate="print"/>
                          <a:stretch>
                            <a:fillRect/>
                          </a:stretch>
                        </pic:blipFill>
                        <pic:spPr>
                          <a:xfrm>
                            <a:off x="0" y="0"/>
                            <a:ext cx="2160000" cy="1281600"/>
                          </a:xfrm>
                          <a:prstGeom prst="rect">
                            <a:avLst/>
                          </a:prstGeom>
                          <a:ln w="0">
                            <a:noFill/>
                          </a:ln>
                        </pic:spPr>
                      </pic:pic>
                    </a:graphicData>
                  </a:graphic>
                </wp:inline>
              </w:drawing>
            </w:r>
            <w:hyperlink r:id="rId49446634a0552675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Goodding. </w:t>
      </w:r>
      <w:r>
        <w:rPr>
          <w:rFonts w:ascii="Calibri" w:hAnsi="Calibri" w:eastAsia="Calibri" w:cs="Calibri"/>
          <w:i/>
          <w:iCs/>
          <w:color w:val="000000"/>
          <w:sz w:val="22"/>
          <w:szCs w:val="22"/>
        </w:rPr>
        <w:t xml:space="preserve">Atropellis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major host, but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 also attack </w:t>
      </w:r>
      <w:r>
        <w:rPr>
          <w:rFonts w:ascii="Calibri" w:hAnsi="Calibri" w:eastAsia="Calibri" w:cs="Calibri"/>
          <w:i/>
          <w:iCs/>
          <w:color w:val="000000"/>
          <w:sz w:val="22"/>
          <w:szCs w:val="22"/>
        </w:rPr>
        <w:t xml:space="preserve">P. albicaulis </w:t>
      </w:r>
      <w:r>
        <w:rPr>
          <w:rFonts w:ascii="Calibri" w:hAnsi="Calibri" w:eastAsia="Calibri" w:cs="Calibri"/>
          <w:color w:val="000000"/>
          <w:sz w:val="22"/>
          <w:szCs w:val="22"/>
        </w:rPr>
        <w:t xml:space="preserve">(whitebark pine),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(jack pine), </w:t>
      </w:r>
      <w:r>
        <w:rPr>
          <w:rFonts w:ascii="Calibri" w:hAnsi="Calibri" w:eastAsia="Calibri" w:cs="Calibri"/>
          <w:i/>
          <w:iCs/>
          <w:color w:val="000000"/>
          <w:sz w:val="22"/>
          <w:szCs w:val="22"/>
        </w:rPr>
        <w:t xml:space="preserve">P. densiflora </w:t>
      </w:r>
      <w:r>
        <w:rPr>
          <w:rFonts w:ascii="Calibri" w:hAnsi="Calibri" w:eastAsia="Calibri" w:cs="Calibri"/>
          <w:color w:val="000000"/>
          <w:sz w:val="22"/>
          <w:szCs w:val="22"/>
        </w:rPr>
        <w:t xml:space="preserve">(Japanese red pine), </w:t>
      </w:r>
      <w:r>
        <w:rPr>
          <w:rFonts w:ascii="Calibri" w:hAnsi="Calibri" w:eastAsia="Calibri" w:cs="Calibri"/>
          <w:i/>
          <w:iCs/>
          <w:color w:val="000000"/>
          <w:sz w:val="22"/>
          <w:szCs w:val="22"/>
        </w:rPr>
        <w:t xml:space="preserve">P. echinata </w:t>
      </w:r>
      <w:r>
        <w:rPr>
          <w:rFonts w:ascii="Calibri" w:hAnsi="Calibri" w:eastAsia="Calibri" w:cs="Calibri"/>
          <w:color w:val="000000"/>
          <w:sz w:val="22"/>
          <w:szCs w:val="22"/>
        </w:rPr>
        <w:t xml:space="preserve">(shortleaf pine)</w:t>
      </w:r>
      <w:r>
        <w:rPr>
          <w:rFonts w:ascii="Calibri" w:hAnsi="Calibri" w:eastAsia="Calibri" w:cs="Calibri"/>
          <w:i/>
          <w:iCs/>
          <w:color w:val="000000"/>
          <w:sz w:val="22"/>
          <w:szCs w:val="22"/>
        </w:rPr>
        <w:t xml:space="preserve">, P. jeffreyi </w:t>
      </w:r>
      <w:r>
        <w:rPr>
          <w:rFonts w:ascii="Calibri" w:hAnsi="Calibri" w:eastAsia="Calibri" w:cs="Calibri"/>
          <w:color w:val="000000"/>
          <w:sz w:val="22"/>
          <w:szCs w:val="22"/>
        </w:rPr>
        <w:t xml:space="preserve">(Jeffrey pine), </w:t>
      </w:r>
      <w:r>
        <w:rPr>
          <w:rFonts w:ascii="Calibri" w:hAnsi="Calibri" w:eastAsia="Calibri" w:cs="Calibri"/>
          <w:i/>
          <w:iCs/>
          <w:color w:val="000000"/>
          <w:sz w:val="22"/>
          <w:szCs w:val="22"/>
        </w:rPr>
        <w:t xml:space="preserve">P. monticola </w:t>
      </w:r>
      <w:r>
        <w:rPr>
          <w:rFonts w:ascii="Calibri" w:hAnsi="Calibri" w:eastAsia="Calibri" w:cs="Calibri"/>
          <w:color w:val="000000"/>
          <w:sz w:val="22"/>
          <w:szCs w:val="22"/>
        </w:rPr>
        <w:t xml:space="preserve">(western white pine),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(black pine), </w:t>
      </w:r>
      <w:r>
        <w:rPr>
          <w:rFonts w:ascii="Calibri" w:hAnsi="Calibri" w:eastAsia="Calibri" w:cs="Calibri"/>
          <w:i/>
          <w:iCs/>
          <w:color w:val="000000"/>
          <w:sz w:val="22"/>
          <w:szCs w:val="22"/>
        </w:rPr>
        <w:t xml:space="preserve">P. ponderosa </w:t>
      </w:r>
      <w:r>
        <w:rPr>
          <w:rFonts w:ascii="Calibri" w:hAnsi="Calibri" w:eastAsia="Calibri" w:cs="Calibri"/>
          <w:color w:val="000000"/>
          <w:sz w:val="22"/>
          <w:szCs w:val="22"/>
        </w:rPr>
        <w:t xml:space="preserve">(ponderosa pine),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(lobolly pine), and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(Virginian pine) (Sandoval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was commonly found in North America, where it occurs from British Columbia and Saskatchewan to California and New Mexico, except central Rocky Mountain region and, occasionally in South Dakota and southeastern USA. The fungus mainly attacks branches and main stems, causing elongate cankers on stems of young trees (Sinclair and Lyon, 2005;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in other continents.</w:t>
      </w:r>
    </w:p>
    <w:p>
      <w:r>
        <w:drawing>
          <wp:inline distT="0" distB="0" distL="0" distR="0">
            <wp:extent cx="6120000" cy="3067200"/>
            <wp:docPr id="20161565" name="name86246634a055278db" descr="ATRP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P_distribution_map.jpg"/>
                    <pic:cNvPicPr/>
                  </pic:nvPicPr>
                  <pic:blipFill>
                    <a:blip r:embed="rId98986634a055278d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Northwest Territories, Saskatchewan), United States of America (Alabama, Arizona, California, Idaho, Montana, New Mexico, North Carolina, Oregon, South Dakota, Tennessee,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similar to those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through ascospores. Ascospores can penetrate undamaged bark or needles of susceptible hosts and start to germinate. The fungus causes cankers and produces stromata containing conidia and apothecia in the central sunken canker zone. Conidia are released as a creamy, sticky mass (Sinclair and Lyon, 2005; Lockman 2005). Apothecia may appear up to 4 years of infection and continue to form on the canker. Ascospores are dispersed by wind, mainly in summer to early autumn. Ascospores can infect stem wounds and young branches (Sinclair and Lyon, 2005).  Infection can be asymptomatic for a long time, and apothecia with ascospores can form after a period of 2–5 years on branches and stems of infected trees (Sinclair and Lyon, 2005). Latent infection can even last for a period of up to 25 years (Hiratsuka, 1987; Lockman, 2005). Apothecia and ascospores production continue each year until a few years after death of the host on logs in heavy shaded places (Hopkins, 1969; Lockman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slightly and severely weakened trees, or 20 or more years in large, vigorous trees (Sinclair and Lyon, 2005). Incipient cankers show no external sign of the underlying infection. Dark-brown, necrotic spots, 5–10 mm in diameter, occur within the bark, possibly enclosed by a single layer of wound tissue. The first visual typical symptoms and signs of all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canker are a resin droplet on the bark surface, and subsequently huge amounts of fresh resin at the margin of cankers (Lockman, 2005). Cankers generally expand each year, modifying the damaged wood which becomes resin‐soaked and blue-stained. The fungus penetrates sapwood rapidly but goes into heartwood more slowly. At canker tips a reddish‐brown stain often develops in the sapwood between the bark and the nearest invaded (blue‐black) sapwood. Bark is often cracked at the margins of cankers.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formed in ascomata that are produced in stromata on the surface of the bark over the cankers, in the central sunken canker zone (Hopkins and Callan, 1991).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the larger the diseased stem is, the longer the fruiting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takes and it may be delayed from 4–5 years on small stems to 25 years or more on large ones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caused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elongated and flattened, but deep and covered with bark which is cracked; they occur on stem and young branches. Multiple stem cankers may be found quite often. Fast growing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cankers on ponderosa pine can exceed 3 m in length and the elongation rate of cankers has been estimated at about 5 cm per year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Boyce (1961), Anon. (1963), Hopkins (1963), Hopkins and Callan (1991), Sinclair and Lyon (2005),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characteristic blue-black staining of the wood beneath cankers. A red or brown discoloration is usually present in the xylem at the edge of the blue-black zone.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small, 2–4 mm in diameter, cuplike, erumpent, black on the outside, with a brown interior, irregularly disc-shaped with a short central stalk, arising initially on cankers 2 and more year old and developing annually thereafter on bark stem (Sinclair and Lyon, 2005). Ascospores hyaline, fusiform, one or two cells, 16–28 x 4.7 µm. The spores are rod shaped, very thin-walled, hyaline, aseptate, cylindrical, rounded at the ends and possess a mucilaginous coat; 4–6 x 1.0–1.5 µm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Most stem cankers start as infections on undamaged bark in the vicinity of branch whorls (Hopkins &amp; Callan, 1991). 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dead flagged branches occur throughout an infected tree (Dunham 2008). Infections are most numerous on the northern sides of stems; very few cankers develop on the southern sides of stems (Hopkins &amp; Callan, 1991).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(Lochman and Cash,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Ascospores of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are fusiform, one or two cells, 16–28 x 4.7 µm (see section on morphology above). There is one nucleotide sequence for an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strain (isolate CBS 197.64, registration date 20 September 2019, </w:t>
      </w:r>
      <w:hyperlink r:id="rId11266634a05527ecf" w:history="1">
        <w:r>
          <w:rPr>
            <w:rFonts w:ascii="Calibri" w:hAnsi="Calibri" w:eastAsia="Calibri" w:cs="Calibri"/>
            <w:color w:val="0000CC"/>
            <w:sz w:val="22"/>
            <w:szCs w:val="22"/>
            <w:u w:val="single"/>
          </w:rPr>
          <w:t xml:space="preserve">DOE Joint Genome Institute</w:t>
        </w:r>
      </w:hyperlink>
      <w:r>
        <w:rPr>
          <w:rFonts w:ascii="Calibri" w:hAnsi="Calibri" w:eastAsia="Calibri" w:cs="Calibri"/>
          <w:color w:val="000000"/>
          <w:sz w:val="22"/>
          <w:szCs w:val="22"/>
        </w:rPr>
        <w:t xml:space="preserve">) in </w:t>
      </w:r>
      <w:hyperlink r:id="rId62266634a05527ef2" w:history="1">
        <w:r>
          <w:rPr>
            <w:rFonts w:ascii="Calibri" w:hAnsi="Calibri" w:eastAsia="Calibri" w:cs="Calibri"/>
            <w:color w:val="0000CC"/>
            <w:sz w:val="22"/>
            <w:szCs w:val="22"/>
            <w:u w:val="single"/>
          </w:rPr>
          <w:t xml:space="preserve">GenBank</w:t>
        </w:r>
      </w:hyperlink>
      <w:r>
        <w:rPr>
          <w:rFonts w:ascii="Calibri" w:hAnsi="Calibri" w:eastAsia="Calibri" w:cs="Calibri"/>
          <w:color w:val="000000"/>
          <w:sz w:val="22"/>
          <w:szCs w:val="22"/>
        </w:rPr>
        <w:t xml:space="preserve"> ; accessed 13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culture characteristics listed above.</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countries where the disease occurs should have had the bark removed before inspection. However, it is possible that removal of bark may be ineffective as a safeguard if it does not eliminate superficial or deep cankers which may contain mycelium and/or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spreads with plants, wood, and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spread by ascospore dispersal within pine stands. Ascospores are formed in ascomata that are produced in stromata on the surface of the bark over the cankers, in the central canker zone (Hopkins and Callan, 1992). Under wet conditions, ascospores are forcibly ejected into the air and are disseminated, primarily by wind, over up to 100 m from the inoculum source (Allen, 1994; Lockman, 2005). Therefore, debarked wood, even though it is affected by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a new piece of wood (Hopkins, 1963). However, there is no evidence that this could happen during transport (EFSA, 2014; Cobb and Metz, 2017). The canker caused by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It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two species of economic importance, however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the most important pathogen among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The fungus causes a serious resinous canker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particularly in trees 5–25 years old in overcrowded, pure stands. Trunk cankers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reduce the value of trees for timber and paper pulp. On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causes long cankers while on other pines, only a minor twig blight occurs. In addition to deformation, infected bark adheres to the underlying wood, so preventing effective debarking. Damage caused by </w:t>
      </w:r>
      <w:r>
        <w:rPr>
          <w:rFonts w:ascii="Calibri" w:hAnsi="Calibri" w:eastAsia="Calibri" w:cs="Calibri"/>
          <w:i/>
          <w:iCs/>
          <w:color w:val="000000"/>
          <w:sz w:val="22"/>
          <w:szCs w:val="22"/>
        </w:rPr>
        <w:t xml:space="preserve">A. piniphila </w:t>
      </w:r>
      <w:r>
        <w:rPr>
          <w:rFonts w:ascii="Calibri" w:hAnsi="Calibri" w:eastAsia="Calibri" w:cs="Calibri"/>
          <w:color w:val="000000"/>
          <w:sz w:val="22"/>
          <w:szCs w:val="22"/>
        </w:rPr>
        <w:t xml:space="preserve">is most common in young dense forests of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where the fungus can kill and deform numerous trees (Sinclair and Lyon,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Cultural methods such as thinning of overcrowded stands, use of a mix of species or an alternative, non-susceptible species for reforestation purposes, removal and burning of infected trees with cankers or high level of infection (Thomas and Pickel, 2010). Buffer zone (at least 100 m) between previously infected trees and regeneration may help to prevent infection, but no chemical or biological control methods have been developed (Thomas and Pickel, 2010; EFSA,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is a North American fungal pine pathogen which has not yet been reported in the EPPO region. Its risk of entry (for the EU) was assessed by the EFSA Panel (EFSA, 2017) as close to zero under the current regulatory situation. Nevertheless, while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may be introduced in the EU, the same or higher impacts as those observed in North America are to be expected, mainly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are important in the EPPO region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2021).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from North America. For EU countries, wood or isolated bark originating in Canada and the USA, Annex II of Regulation (EU) 2016/2031 prescribes that an official statement shall certify that consignment has undergone heat treatment, or chemical pressure impregnation, or fumigation. If wood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is imported from North America, the consignment must have been debarked or processed (EPPO, 2018). The introduction into the EU (and circulation within) of plants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E (2014) Review of heat treatment of wood and wood packaging. NAPPO (North American Plant Protection Organization), Raleigh, North Carolina, USA. 35 pp.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JC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(3rd edition). McGraw Hill Book Co. Inc., New York, USA. pp. 244–255.</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Review of Insect and Disease Challenges to Alberta Coniferous Forests. Alberta Government, Edmonton, Canada, 126 pp. </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544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Incidence of insects, diseases, and other damaging agents in Oregon forests. USDA, Forest Service, Pacific Northwest Research Station, Portland, Oregon, USA. 100 pp. </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Baker R, Gilioli G, Behring 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61 pp. </w:t>
      </w:r>
      <w:hyperlink r:id="rId73656634a055286ca" w:history="1">
        <w:r>
          <w:rPr>
            <w:rFonts w:ascii="Calibri" w:hAnsi="Calibri" w:eastAsia="Calibri" w:cs="Calibri"/>
            <w:color w:val="0000CC"/>
            <w:sz w:val="22"/>
            <w:szCs w:val="22"/>
            <w:u w:val="single"/>
          </w:rPr>
          <w:t xml:space="preserve">https://doi.org/10.2903/j.efsa.2019.5731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46 pp. </w:t>
      </w:r>
      <w:hyperlink r:id="rId74736634a05528785" w:history="1">
        <w:r>
          <w:rPr>
            <w:rFonts w:ascii="Calibri" w:hAnsi="Calibri" w:eastAsia="Calibri" w:cs="Calibri"/>
            <w:color w:val="0000CC"/>
            <w:sz w:val="22"/>
            <w:szCs w:val="22"/>
            <w:u w:val="single"/>
          </w:rPr>
          <w:t xml:space="preserve">https://doi.org/10.2903/j.efsa.2017.4877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33 pp. </w:t>
      </w:r>
      <w:hyperlink r:id="rId94356634a05528821"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1/002(30). EPPO A1 and A2 lists of pests recommended for regulation as quarantine pests. </w:t>
      </w:r>
      <w:hyperlink r:id="rId21876634a055288b0"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01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w:t>
      </w:r>
      <w:hyperlink r:id="rId40346634a0552890d" w:history="1">
        <w:r>
          <w:rPr>
            <w:rFonts w:ascii="Calibri" w:hAnsi="Calibri" w:eastAsia="Calibri" w:cs="Calibri"/>
            <w:color w:val="0000CC"/>
            <w:sz w:val="22"/>
            <w:szCs w:val="22"/>
            <w:u w:val="single"/>
          </w:rPr>
          <w:t xml:space="preserve">https://gd.eppo.int/taxon/ATRPPP</w:t>
        </w:r>
      </w:hyperlink>
      <w:r>
        <w:rPr>
          <w:rFonts w:ascii="Calibri" w:hAnsi="Calibri" w:eastAsia="Calibri" w:cs="Calibri"/>
          <w:color w:val="000000"/>
          <w:sz w:val="22"/>
          <w:szCs w:val="22"/>
        </w:rPr>
        <w:t xml:space="preserve"> [last accessed 13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(1987) Forest tree diseases of the prairie provinces. Canadian Forest Service Inf. Rep., 3, No. NOR-X-286. 297 pp.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BE (1992)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w:t>
      </w:r>
      <w:r>
        <w:rPr>
          <w:rFonts w:ascii="Calibri" w:hAnsi="Calibri" w:eastAsia="Calibri" w:cs="Calibri"/>
          <w:i/>
          <w:iCs/>
          <w:color w:val="000000"/>
          <w:sz w:val="22"/>
          <w:szCs w:val="22"/>
        </w:rPr>
        <w:t xml:space="preserve">Canadian Forest Service, Pacific Forestry Centre, Victoria, B.C. Forest Pest Leaflet</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canker of pines. </w:t>
      </w:r>
      <w:r>
        <w:rPr>
          <w:rFonts w:ascii="Calibri" w:hAnsi="Calibri" w:eastAsia="Calibri" w:cs="Calibri"/>
          <w:i/>
          <w:iCs/>
          <w:color w:val="000000"/>
          <w:sz w:val="22"/>
          <w:szCs w:val="22"/>
        </w:rPr>
        <w:t xml:space="preserve">US Department of Agriculture, Forest Service</w:t>
      </w:r>
      <w:r>
        <w:rPr>
          <w:rFonts w:ascii="Calibri" w:hAnsi="Calibri" w:eastAsia="Calibri" w:cs="Calibri"/>
          <w:color w:val="000000"/>
          <w:sz w:val="22"/>
          <w:szCs w:val="22"/>
        </w:rPr>
        <w:t xml:space="preserve">., Vol. </w:t>
      </w:r>
      <w:r>
        <w:rPr>
          <w:rFonts w:ascii="Calibri" w:hAnsi="Calibri" w:eastAsia="Calibri" w:cs="Calibri"/>
          <w:b/>
          <w:bCs/>
          <w:color w:val="000000"/>
          <w:sz w:val="22"/>
          <w:szCs w:val="22"/>
        </w:rPr>
        <w:t xml:space="preserve">138</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Management guide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FM, Martin FW, Carpenter JB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r>
        <w:rPr>
          <w:rFonts w:ascii="Calibri" w:hAnsi="Calibri" w:eastAsia="Calibri" w:cs="Calibri"/>
          <w:i/>
          <w:iCs/>
          <w:color w:val="000000"/>
          <w:sz w:val="22"/>
          <w:szCs w:val="22"/>
        </w:rPr>
        <w:t xml:space="preserve">Diseases of Pacific coast conifers</w:t>
      </w:r>
      <w:r>
        <w:rPr>
          <w:rFonts w:ascii="Calibri" w:hAnsi="Calibri" w:eastAsia="Calibri" w:cs="Calibri"/>
          <w:color w:val="000000"/>
          <w:sz w:val="22"/>
          <w:szCs w:val="22"/>
        </w:rPr>
        <w:t xml:space="preserve">, 521–530.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hyperlink r:id="rId85206634a05528d93" w:history="1">
        <w:r>
          <w:rPr>
            <w:rFonts w:ascii="Calibri" w:hAnsi="Calibri" w:eastAsia="Calibri" w:cs="Calibri"/>
            <w:color w:val="0000CC"/>
            <w:sz w:val="22"/>
            <w:szCs w:val="22"/>
            <w:u w:val="single"/>
          </w:rPr>
          <w:t xml:space="preserve">https://www.cabi.org/isc/datasheet/7816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35406634a05528e3f"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piniphila</w:t>
      </w:r>
      <w:r>
        <w:rPr>
          <w:rFonts w:ascii="Calibri" w:hAnsi="Calibri" w:eastAsia="Calibri" w:cs="Calibri"/>
          <w:color w:val="000000"/>
          <w:sz w:val="22"/>
          <w:szCs w:val="22"/>
        </w:rPr>
        <w:t xml:space="preserve">. EPPO datasheets on pests recommended for regulation. Available online. </w:t>
      </w:r>
      <w:hyperlink r:id="rId45056634a05528f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80466634a05529104" w:history="1">
        <w:r>
          <w:rPr>
            <w:rFonts w:ascii="Calibri" w:hAnsi="Calibri" w:eastAsia="Calibri" w:cs="Calibri"/>
            <w:color w:val="0000CC"/>
            <w:sz w:val="22"/>
            <w:szCs w:val="22"/>
            <w:u w:val="single"/>
          </w:rPr>
          <w:t xml:space="preserve">https://doi.org/10.1111/j.1365-2338.1979.tb02447.x</w:t>
        </w:r>
      </w:hyperlink>
    </w:p>
    <w:p>
      <w:r>
        <w:drawing>
          <wp:inline distT="0" distB="0" distL="0" distR="0">
            <wp:extent cx="1800000" cy="604800"/>
            <wp:docPr id="7945997" name="name95786634a055291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476634a055291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302032">
    <w:multiLevelType w:val="hybridMultilevel"/>
    <w:lvl w:ilvl="0" w:tplc="57635542">
      <w:start w:val="1"/>
      <w:numFmt w:val="decimal"/>
      <w:lvlText w:val="%1."/>
      <w:lvlJc w:val="left"/>
      <w:pPr>
        <w:ind w:left="720" w:hanging="360"/>
      </w:pPr>
    </w:lvl>
    <w:lvl w:ilvl="1" w:tplc="57635542" w:tentative="1">
      <w:start w:val="1"/>
      <w:numFmt w:val="lowerLetter"/>
      <w:lvlText w:val="%2."/>
      <w:lvlJc w:val="left"/>
      <w:pPr>
        <w:ind w:left="1440" w:hanging="360"/>
      </w:pPr>
    </w:lvl>
    <w:lvl w:ilvl="2" w:tplc="57635542" w:tentative="1">
      <w:start w:val="1"/>
      <w:numFmt w:val="lowerRoman"/>
      <w:lvlText w:val="%3."/>
      <w:lvlJc w:val="right"/>
      <w:pPr>
        <w:ind w:left="2160" w:hanging="180"/>
      </w:pPr>
    </w:lvl>
    <w:lvl w:ilvl="3" w:tplc="57635542" w:tentative="1">
      <w:start w:val="1"/>
      <w:numFmt w:val="decimal"/>
      <w:lvlText w:val="%4."/>
      <w:lvlJc w:val="left"/>
      <w:pPr>
        <w:ind w:left="2880" w:hanging="360"/>
      </w:pPr>
    </w:lvl>
    <w:lvl w:ilvl="4" w:tplc="57635542" w:tentative="1">
      <w:start w:val="1"/>
      <w:numFmt w:val="lowerLetter"/>
      <w:lvlText w:val="%5."/>
      <w:lvlJc w:val="left"/>
      <w:pPr>
        <w:ind w:left="3600" w:hanging="360"/>
      </w:pPr>
    </w:lvl>
    <w:lvl w:ilvl="5" w:tplc="57635542" w:tentative="1">
      <w:start w:val="1"/>
      <w:numFmt w:val="lowerRoman"/>
      <w:lvlText w:val="%6."/>
      <w:lvlJc w:val="right"/>
      <w:pPr>
        <w:ind w:left="4320" w:hanging="180"/>
      </w:pPr>
    </w:lvl>
    <w:lvl w:ilvl="6" w:tplc="57635542" w:tentative="1">
      <w:start w:val="1"/>
      <w:numFmt w:val="decimal"/>
      <w:lvlText w:val="%7."/>
      <w:lvlJc w:val="left"/>
      <w:pPr>
        <w:ind w:left="5040" w:hanging="360"/>
      </w:pPr>
    </w:lvl>
    <w:lvl w:ilvl="7" w:tplc="57635542" w:tentative="1">
      <w:start w:val="1"/>
      <w:numFmt w:val="lowerLetter"/>
      <w:lvlText w:val="%8."/>
      <w:lvlJc w:val="left"/>
      <w:pPr>
        <w:ind w:left="5760" w:hanging="360"/>
      </w:pPr>
    </w:lvl>
    <w:lvl w:ilvl="8" w:tplc="57635542" w:tentative="1">
      <w:start w:val="1"/>
      <w:numFmt w:val="lowerRoman"/>
      <w:lvlText w:val="%9."/>
      <w:lvlJc w:val="right"/>
      <w:pPr>
        <w:ind w:left="6480" w:hanging="180"/>
      </w:pPr>
    </w:lvl>
  </w:abstractNum>
  <w:abstractNum w:abstractNumId="61302031">
    <w:multiLevelType w:val="hybridMultilevel"/>
    <w:lvl w:ilvl="0" w:tplc="25211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302031">
    <w:abstractNumId w:val="61302031"/>
  </w:num>
  <w:num w:numId="61302032">
    <w:abstractNumId w:val="613020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9666741" Type="http://schemas.microsoft.com/office/2011/relationships/commentsExtended" Target="commentsExtended.xml"/><Relationship Id="rId849946938" Type="http://schemas.microsoft.com/office/2011/relationships/people" Target="people.xml"/><Relationship Id="rId49016634a05525e18" Type="http://schemas.openxmlformats.org/officeDocument/2006/relationships/hyperlink" Target="https://gd.eppo.int/taxon/ATRPPP/" TargetMode="External"/><Relationship Id="rId60476634a05525e69" Type="http://schemas.openxmlformats.org/officeDocument/2006/relationships/hyperlink" Target="https://gd.eppo.int/taxon/ATRPPP/categorization" TargetMode="External"/><Relationship Id="rId49446634a05526757" Type="http://schemas.openxmlformats.org/officeDocument/2006/relationships/hyperlink" Target="https://gd.eppo.int/taxon/ATRPPP/photos" TargetMode="External"/><Relationship Id="rId11266634a05527ecf" Type="http://schemas.openxmlformats.org/officeDocument/2006/relationships/hyperlink" Target="http://jgi.doe.gov/" TargetMode="External"/><Relationship Id="rId62266634a05527ef2" Type="http://schemas.openxmlformats.org/officeDocument/2006/relationships/hyperlink" Target="http://gd.eppo.int/(https%3A//www.ncbi.nlm.nih.gov/Taxonomy/Browser/wwwtax.cgi?mode=Info&amp;id=2614604" TargetMode="External"/><Relationship Id="rId73656634a055286ca" Type="http://schemas.openxmlformats.org/officeDocument/2006/relationships/hyperlink" Target="https://doi.org/10.2903/j.efsa.2019.5731" TargetMode="External"/><Relationship Id="rId74736634a05528785" Type="http://schemas.openxmlformats.org/officeDocument/2006/relationships/hyperlink" Target="https://doi.org/10.2903/j.efsa.2017.4877" TargetMode="External"/><Relationship Id="rId94356634a05528821" Type="http://schemas.openxmlformats.org/officeDocument/2006/relationships/hyperlink" Target="https://doi.org/10.2903/j.efsa.2014.3926" TargetMode="External"/><Relationship Id="rId21876634a055288b0" Type="http://schemas.openxmlformats.org/officeDocument/2006/relationships/hyperlink" Target="https://gd.eppo.int/standards/PM1/" TargetMode="External"/><Relationship Id="rId40346634a0552890d" Type="http://schemas.openxmlformats.org/officeDocument/2006/relationships/hyperlink" Target="https://gd.eppo.int/taxon/ATRPPP" TargetMode="External"/><Relationship Id="rId85206634a05528d93" Type="http://schemas.openxmlformats.org/officeDocument/2006/relationships/hyperlink" Target="https://www.cabi.org/isc/datasheet/7816" TargetMode="External"/><Relationship Id="rId35406634a05528e3f" Type="http://schemas.openxmlformats.org/officeDocument/2006/relationships/hyperlink" Target="https://efsa.onlinelibrary.wiley.com/doi/full/10.2903/j.efsa.2017.4877" TargetMode="External"/><Relationship Id="rId45056634a05528f7a" Type="http://schemas.openxmlformats.org/officeDocument/2006/relationships/hyperlink" Target="https://gd.eppo.int" TargetMode="External"/><Relationship Id="rId80466634a05529104" Type="http://schemas.openxmlformats.org/officeDocument/2006/relationships/hyperlink" Target="https://doi.org/10.1111/j.1365-2338.1979.tb02447.x" TargetMode="External"/><Relationship Id="rId29546634a0552661b" Type="http://schemas.openxmlformats.org/officeDocument/2006/relationships/image" Target="media/imgrId29546634a0552661b.jpg"/><Relationship Id="rId98986634a055278d9" Type="http://schemas.openxmlformats.org/officeDocument/2006/relationships/image" Target="media/imgrId98986634a055278d9.jpg"/><Relationship Id="rId57476634a0552915a" Type="http://schemas.openxmlformats.org/officeDocument/2006/relationships/image" Target="media/imgrId57476634a055291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