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Atropellis piniphila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piniphila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(Weir) Lohmann &amp; Cash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Godroniaceae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Atropellis arizonica</w:t>
            </w:r>
            <w:r>
              <w:rPr>
                <w:rFonts w:ascii="Calibri" w:hAnsi="Calibri" w:eastAsia="Calibri" w:cs="Calibri"/>
                <w:color w:val="000000"/>
                <w:position w:val="-3"/>
                <w:sz w:val="22"/>
                <w:szCs w:val="22"/>
              </w:rPr>
              <w:t xml:space="preserve"> Lohman &amp; Cash, </w:t>
            </w:r>
            <w:r>
              <w:rPr>
                <w:rFonts w:ascii="Calibri" w:hAnsi="Calibri" w:eastAsia="Calibri" w:cs="Calibri"/>
                <w:i/>
                <w:iCs/>
                <w:color w:val="000000"/>
                <w:position w:val="-3"/>
                <w:sz w:val="22"/>
                <w:szCs w:val="22"/>
              </w:rPr>
              <w:t xml:space="preserve">Cenangium piniphilum</w:t>
            </w:r>
            <w:r>
              <w:rPr>
                <w:rFonts w:ascii="Calibri" w:hAnsi="Calibri" w:eastAsia="Calibri" w:cs="Calibri"/>
                <w:color w:val="000000"/>
                <w:position w:val="-3"/>
                <w:sz w:val="22"/>
                <w:szCs w:val="22"/>
              </w:rPr>
              <w:t xml:space="preserve"> Weir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branch canker of pine, trunk canker of pine, twig blight of pine</w:t>
            </w:r>
            <w:hyperlink r:id="rId89106ad940e616b1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46446ad940e616b6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ATRPPP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0877176" name="name76016ad940e61713b" descr="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4.jpg"/>
                          <pic:cNvPicPr/>
                        </pic:nvPicPr>
                        <pic:blipFill>
                          <a:blip r:embed="rId61366ad940e617139" cstate="print"/>
                          <a:stretch>
                            <a:fillRect/>
                          </a:stretch>
                        </pic:blipFill>
                        <pic:spPr>
                          <a:xfrm>
                            <a:off x="0" y="0"/>
                            <a:ext cx="2160000" cy="1281600"/>
                          </a:xfrm>
                          <a:prstGeom prst="rect">
                            <a:avLst/>
                          </a:prstGeom>
                          <a:ln w="0">
                            <a:noFill/>
                          </a:ln>
                        </pic:spPr>
                      </pic:pic>
                    </a:graphicData>
                  </a:graphic>
                </wp:inline>
              </w:drawing>
            </w:r>
            <w:hyperlink r:id="rId32696ad940e61723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is one of four native North American species of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The following species have been reported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Lohman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tingens</w:t>
      </w:r>
      <w:r>
        <w:rPr>
          <w:rFonts w:ascii="Calibri" w:hAnsi="Calibri" w:eastAsia="Calibri" w:cs="Calibri"/>
          <w:color w:val="000000"/>
          <w:sz w:val="22"/>
          <w:szCs w:val="22"/>
        </w:rPr>
        <w:t xml:space="preserve"> Lohman &amp; Cash,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(Weir) M.L. Lohman &amp; E.K. Cash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Zeller &amp; Goodding. </w:t>
      </w:r>
      <w:r>
        <w:rPr>
          <w:rFonts w:ascii="Calibri" w:hAnsi="Calibri" w:eastAsia="Calibri" w:cs="Calibri"/>
          <w:i/>
          <w:iCs/>
          <w:color w:val="000000"/>
          <w:sz w:val="22"/>
          <w:szCs w:val="22"/>
        </w:rPr>
        <w:t xml:space="preserve">Atropellis treleasei</w:t>
      </w:r>
      <w:r>
        <w:rPr>
          <w:rFonts w:ascii="Calibri" w:hAnsi="Calibri" w:eastAsia="Calibri" w:cs="Calibri"/>
          <w:color w:val="000000"/>
          <w:sz w:val="22"/>
          <w:szCs w:val="22"/>
        </w:rPr>
        <w:t xml:space="preserve"> (Saccardo) Zeller &amp; Goodding has been transferred to </w:t>
      </w:r>
      <w:r>
        <w:rPr>
          <w:rFonts w:ascii="Calibri" w:hAnsi="Calibri" w:eastAsia="Calibri" w:cs="Calibri"/>
          <w:i/>
          <w:iCs/>
          <w:color w:val="000000"/>
          <w:sz w:val="22"/>
          <w:szCs w:val="22"/>
        </w:rPr>
        <w:t xml:space="preserve">Discocainia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D. treleasei</w:t>
      </w:r>
      <w:r>
        <w:rPr>
          <w:rFonts w:ascii="Calibri" w:hAnsi="Calibri" w:eastAsia="Calibri" w:cs="Calibri"/>
          <w:color w:val="000000"/>
          <w:sz w:val="22"/>
          <w:szCs w:val="22"/>
        </w:rPr>
        <w:t xml:space="preserve"> (Saccardo) J. Reid &amp; Funk. The differentiation between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their morphological and cultural characteristics.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contorta </w:t>
      </w:r>
      <w:r>
        <w:rPr>
          <w:rFonts w:ascii="Calibri" w:hAnsi="Calibri" w:eastAsia="Calibri" w:cs="Calibri"/>
          <w:color w:val="000000"/>
          <w:sz w:val="22"/>
          <w:szCs w:val="22"/>
        </w:rPr>
        <w:t xml:space="preserve">(lodgepole pine) is the major host, but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 also attack </w:t>
      </w:r>
      <w:r>
        <w:rPr>
          <w:rFonts w:ascii="Calibri" w:hAnsi="Calibri" w:eastAsia="Calibri" w:cs="Calibri"/>
          <w:i/>
          <w:iCs/>
          <w:color w:val="000000"/>
          <w:sz w:val="22"/>
          <w:szCs w:val="22"/>
        </w:rPr>
        <w:t xml:space="preserve">P. albicaulis </w:t>
      </w:r>
      <w:r>
        <w:rPr>
          <w:rFonts w:ascii="Calibri" w:hAnsi="Calibri" w:eastAsia="Calibri" w:cs="Calibri"/>
          <w:color w:val="000000"/>
          <w:sz w:val="22"/>
          <w:szCs w:val="22"/>
        </w:rPr>
        <w:t xml:space="preserve">(whitebark pine), </w:t>
      </w:r>
      <w:r>
        <w:rPr>
          <w:rFonts w:ascii="Calibri" w:hAnsi="Calibri" w:eastAsia="Calibri" w:cs="Calibri"/>
          <w:i/>
          <w:iCs/>
          <w:color w:val="000000"/>
          <w:sz w:val="22"/>
          <w:szCs w:val="22"/>
        </w:rPr>
        <w:t xml:space="preserve">P. banksiana </w:t>
      </w:r>
      <w:r>
        <w:rPr>
          <w:rFonts w:ascii="Calibri" w:hAnsi="Calibri" w:eastAsia="Calibri" w:cs="Calibri"/>
          <w:color w:val="000000"/>
          <w:sz w:val="22"/>
          <w:szCs w:val="22"/>
        </w:rPr>
        <w:t xml:space="preserve">(jack pine), </w:t>
      </w:r>
      <w:r>
        <w:rPr>
          <w:rFonts w:ascii="Calibri" w:hAnsi="Calibri" w:eastAsia="Calibri" w:cs="Calibri"/>
          <w:i/>
          <w:iCs/>
          <w:color w:val="000000"/>
          <w:sz w:val="22"/>
          <w:szCs w:val="22"/>
        </w:rPr>
        <w:t xml:space="preserve">P. densiflora </w:t>
      </w:r>
      <w:r>
        <w:rPr>
          <w:rFonts w:ascii="Calibri" w:hAnsi="Calibri" w:eastAsia="Calibri" w:cs="Calibri"/>
          <w:color w:val="000000"/>
          <w:sz w:val="22"/>
          <w:szCs w:val="22"/>
        </w:rPr>
        <w:t xml:space="preserve">(Japanese red pine), </w:t>
      </w:r>
      <w:r>
        <w:rPr>
          <w:rFonts w:ascii="Calibri" w:hAnsi="Calibri" w:eastAsia="Calibri" w:cs="Calibri"/>
          <w:i/>
          <w:iCs/>
          <w:color w:val="000000"/>
          <w:sz w:val="22"/>
          <w:szCs w:val="22"/>
        </w:rPr>
        <w:t xml:space="preserve">P. echinata </w:t>
      </w:r>
      <w:r>
        <w:rPr>
          <w:rFonts w:ascii="Calibri" w:hAnsi="Calibri" w:eastAsia="Calibri" w:cs="Calibri"/>
          <w:color w:val="000000"/>
          <w:sz w:val="22"/>
          <w:szCs w:val="22"/>
        </w:rPr>
        <w:t xml:space="preserve">(shortleaf pine)</w:t>
      </w:r>
      <w:r>
        <w:rPr>
          <w:rFonts w:ascii="Calibri" w:hAnsi="Calibri" w:eastAsia="Calibri" w:cs="Calibri"/>
          <w:i/>
          <w:iCs/>
          <w:color w:val="000000"/>
          <w:sz w:val="22"/>
          <w:szCs w:val="22"/>
        </w:rPr>
        <w:t xml:space="preserve">, P. jeffreyi </w:t>
      </w:r>
      <w:r>
        <w:rPr>
          <w:rFonts w:ascii="Calibri" w:hAnsi="Calibri" w:eastAsia="Calibri" w:cs="Calibri"/>
          <w:color w:val="000000"/>
          <w:sz w:val="22"/>
          <w:szCs w:val="22"/>
        </w:rPr>
        <w:t xml:space="preserve">(Jeffrey pine), </w:t>
      </w:r>
      <w:r>
        <w:rPr>
          <w:rFonts w:ascii="Calibri" w:hAnsi="Calibri" w:eastAsia="Calibri" w:cs="Calibri"/>
          <w:i/>
          <w:iCs/>
          <w:color w:val="000000"/>
          <w:sz w:val="22"/>
          <w:szCs w:val="22"/>
        </w:rPr>
        <w:t xml:space="preserve">P. monticola </w:t>
      </w:r>
      <w:r>
        <w:rPr>
          <w:rFonts w:ascii="Calibri" w:hAnsi="Calibri" w:eastAsia="Calibri" w:cs="Calibri"/>
          <w:color w:val="000000"/>
          <w:sz w:val="22"/>
          <w:szCs w:val="22"/>
        </w:rPr>
        <w:t xml:space="preserve">(western white pine),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(black pine), </w:t>
      </w:r>
      <w:r>
        <w:rPr>
          <w:rFonts w:ascii="Calibri" w:hAnsi="Calibri" w:eastAsia="Calibri" w:cs="Calibri"/>
          <w:i/>
          <w:iCs/>
          <w:color w:val="000000"/>
          <w:sz w:val="22"/>
          <w:szCs w:val="22"/>
        </w:rPr>
        <w:t xml:space="preserve">P. ponderosa </w:t>
      </w:r>
      <w:r>
        <w:rPr>
          <w:rFonts w:ascii="Calibri" w:hAnsi="Calibri" w:eastAsia="Calibri" w:cs="Calibri"/>
          <w:color w:val="000000"/>
          <w:sz w:val="22"/>
          <w:szCs w:val="22"/>
        </w:rPr>
        <w:t xml:space="preserve">(ponderosa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(lobolly pine), and </w:t>
      </w:r>
      <w:r>
        <w:rPr>
          <w:rFonts w:ascii="Calibri" w:hAnsi="Calibri" w:eastAsia="Calibri" w:cs="Calibri"/>
          <w:i/>
          <w:iCs/>
          <w:color w:val="000000"/>
          <w:sz w:val="22"/>
          <w:szCs w:val="22"/>
        </w:rPr>
        <w:t xml:space="preserve">P. virginiana </w:t>
      </w:r>
      <w:r>
        <w:rPr>
          <w:rFonts w:ascii="Calibri" w:hAnsi="Calibri" w:eastAsia="Calibri" w:cs="Calibri"/>
          <w:color w:val="000000"/>
          <w:sz w:val="22"/>
          <w:szCs w:val="22"/>
        </w:rPr>
        <w:t xml:space="preserve">(Virginian pine) (Sandoval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albicaulis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was commonly found in North America, where it occurs from British Columbia and Saskatchewan to California and New Mexico, except central Rocky Mountain region and, occasionally in South Dakota and southeastern USA. The fungus mainly attacks branches and main stems, causing elongate cankers on stems of young trees (Sinclair and Lyon, 2005; Cerezke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information was found in the literature and databases concerning the presence of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in other continents.</w:t>
      </w:r>
    </w:p>
    <w:p>
      <w:r>
        <w:drawing>
          <wp:inline distT="0" distB="0" distL="0" distR="0">
            <wp:extent cx="6120000" cy="3067200"/>
            <wp:docPr id="25533967" name="name39146ad940e61823a" descr="ATRPP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PPP_distribution_map.jpg"/>
                    <pic:cNvPicPr/>
                  </pic:nvPicPr>
                  <pic:blipFill>
                    <a:blip r:embed="rId37776ad940e61823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Northwest Territories, Saskatchewan), United States of America (Alabama, Arizona, California, Idaho, Montana, New Mexico, North Carolina, Oregon, South Dakota, Tennessee,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is similar to those of all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(Lightle, 1973). Trees can be infected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through ascospores. Ascospores can penetrate undamaged bark or needles of susceptible hosts and start to germinate. The fungus causes cankers and produces stromata containing conidia and apothecia in the central sunken canker zone. Conidia are released as a creamy, sticky mass (Sinclair and Lyon, 2005; Lockman 2005). Apothecia may appear up to 4 years of infection and continue to form on the canker. Ascospores are dispersed by wind, mainly in summer to early autumn. Ascospores can infect stem wounds and young branches (Sinclair and Lyon, 2005).  Infection can be asymptomatic for a long time, and apothecia with ascospores can form after a period of 2–5 years on branches and stems of infected trees (Sinclair and Lyon, 2005). Latent infection can even last for a period of up to 25 years (Hiratsuka, 1987; Lockman, 2005). Apothecia and ascospores production continue each year until a few years after death of the host on logs in heavy shaded places (Hopkins, 1969; Lockman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Anon. (1963), Hopkins (1963), Sinclair and Lyon (2005), EFSA (2014,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remain asymptomatic for a long time and the first visual signs of infection can appear in 2–5 years on small branches and stems of young, slightly and severely weakened trees, or 20 or more years in large, vigorous trees (Sinclair and Lyon, 2005). Incipient cankers show no external sign of the underlying infection. Dark-brown, necrotic spots, 5–10 mm in diameter, occur within the bark, possibly enclosed by a single layer of wound tissue. The first visual typical symptoms and signs of all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canker are a resin droplet on the bark surface, and subsequently huge amounts of fresh resin at the margin of cankers (Lockman, 2005). Cankers generally expand each year, modifying the damaged wood which becomes resin‐soaked and blue-stained. The fungus penetrates sapwood rapidly but goes into heartwood more slowly. At canker tips a reddish‐brown stain often develops in the sapwood between the bark and the nearest invaded (blue‐black) sapwood. Bark is often cracked at the margins of cankers. Ascospores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formed in ascomata that are produced in stromata on the surface of the bark over the cankers, in the central sunken canker zone (Hopkins and Callan, 1991).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the larger the diseased stem is, the longer the fruiting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takes and it may be delayed from 4–5 years on small stems to 25 years or more on large ones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Cankers caused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elongated and flattened, but deep and covered with bark which is cracked; they occur on stem and young branches. Multiple stem cankers may be found quite often. Fast growing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cankers on ponderosa pine can exceed 3 m in length and the elongation rate of cankers has been estimated at about 5 cm per year (Hopkins and Callan, 1991).</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also Boyce (1961), Anon. (1963), Hopkins (1963), Hopkins and Callan (1991), Sinclair and Lyon (2005), EFSA (2014,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characteristic blue-black staining of the wood beneath cankers. A red or brown discoloration is usually present in the xylem at the edge of the blue-black zone. </w:t>
      </w:r>
    </w:p>
    <w:p>
      <w:pPr>
        <w:widowControl w:val="on"/>
        <w:pBdr/>
        <w:spacing w:before="220" w:after="220" w:line="240" w:lineRule="auto"/>
        <w:ind w:left="0" w:right="0"/>
        <w:jc w:val="both"/>
      </w:pPr>
      <w:r>
        <w:rPr>
          <w:rFonts w:ascii="Calibri" w:hAnsi="Calibri" w:eastAsia="Calibri" w:cs="Calibri"/>
          <w:color w:val="000000"/>
          <w:sz w:val="22"/>
          <w:szCs w:val="22"/>
        </w:rPr>
        <w:t xml:space="preserve">Apothecia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small, 2–4 mm in diameter, cuplike, erumpent, black on the outside, with a brown interior, irregularly disc-shaped with a short central stalk, arising initially on cankers 2 and more year old and developing annually thereafter on bark stem (Sinclair and Lyon, 2005). Ascospores hyaline, fusiform, one or two cells, 16–28 x 4.7 µm. The spores are rod shaped, very thin-walled, hyaline, aseptate, cylindrical, rounded at the ends and possess a mucilaginous coat; 4–6 x 1.0–1.5 µm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Reid and Funk (1966), Sinclair and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Most stem cankers start as infections on undamaged bark in the vicinity of branch whorls (Hopkins &amp; Callan, 1991). The presence of the elongated canker is the main symptom for disease identification. Massive resin flow can be seen emerging from stem cankers, as well as dark blue or black staining in sapwood under a canker, small black cup-shaped apothecia on canker margins, the vertical seams on stem because stems seem ridged, dead flagged branches occur throughout an infected tree (Dunham 2008). Infections are most numerous on the northern sides of stems; very few cankers develop on the southern sides of stems (Hopkins &amp; Callan, 1991).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may be identified using a colorimetric test: a fragment of apothecia turns 5% aqueous KOH a bluish green colour (</w:t>
      </w:r>
      <w:r>
        <w:rPr>
          <w:rFonts w:ascii="Calibri" w:hAnsi="Calibri" w:eastAsia="Calibri" w:cs="Calibri"/>
          <w:i/>
          <w:iCs/>
          <w:color w:val="000000"/>
          <w:sz w:val="22"/>
          <w:szCs w:val="22"/>
        </w:rPr>
        <w:t xml:space="preserve">Atropellis pinicola, A.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 tingens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apiculata</w:t>
      </w:r>
      <w:r>
        <w:rPr>
          <w:rFonts w:ascii="Calibri" w:hAnsi="Calibri" w:eastAsia="Calibri" w:cs="Calibri"/>
          <w:color w:val="000000"/>
          <w:sz w:val="22"/>
          <w:szCs w:val="22"/>
        </w:rPr>
        <w:t xml:space="preserve"> will turn the solution chocolate brown (Lochman and Cash, 1940).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species can be differentiated from one another by the shape, size and number of cells of their hyaline ascospores. Ascospores of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are fusiform, one or two cells, 16–28 x 4.7 µm (see section on morphology above). There is one nucleotide sequence for an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strain (isolate CBS 197.64, registration date 20 September 2019, </w:t>
      </w:r>
      <w:hyperlink r:id="rId26906ad940e618808" w:history="1">
        <w:r>
          <w:rPr>
            <w:rFonts w:ascii="Calibri" w:hAnsi="Calibri" w:eastAsia="Calibri" w:cs="Calibri"/>
            <w:color w:val="0000CC"/>
            <w:sz w:val="22"/>
            <w:szCs w:val="22"/>
            <w:u w:val="single"/>
          </w:rPr>
          <w:t xml:space="preserve">DOE Joint Genome Institute</w:t>
        </w:r>
      </w:hyperlink>
      <w:r>
        <w:rPr>
          <w:rFonts w:ascii="Calibri" w:hAnsi="Calibri" w:eastAsia="Calibri" w:cs="Calibri"/>
          <w:color w:val="000000"/>
          <w:sz w:val="22"/>
          <w:szCs w:val="22"/>
        </w:rPr>
        <w:t xml:space="preserve">) in </w:t>
      </w:r>
      <w:hyperlink r:id="rId18676ad940e61882b" w:history="1">
        <w:r>
          <w:rPr>
            <w:rFonts w:ascii="Calibri" w:hAnsi="Calibri" w:eastAsia="Calibri" w:cs="Calibri"/>
            <w:color w:val="0000CC"/>
            <w:sz w:val="22"/>
            <w:szCs w:val="22"/>
            <w:u w:val="single"/>
          </w:rPr>
          <w:t xml:space="preserve">GenBank</w:t>
        </w:r>
      </w:hyperlink>
      <w:r>
        <w:rPr>
          <w:rFonts w:ascii="Calibri" w:hAnsi="Calibri" w:eastAsia="Calibri" w:cs="Calibri"/>
          <w:color w:val="000000"/>
          <w:sz w:val="22"/>
          <w:szCs w:val="22"/>
        </w:rPr>
        <w:t xml:space="preserve"> ; accessed 13 June 2022). Currently, differentiation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species is based on the morphological and culture characteristics listed above.</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timber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from countries where the disease occurs should have had the bark removed before inspection. However, it is possible that removal of bark may be ineffective as a safeguard if it does not eliminate superficial or deep cankers which may contain mycelium and/or apothecia, and so any material with canker lesions should be carefully inspected. Particular attention should be paid to the younger branches and twigs of growing material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consignments from countries where the disease occurs (Webster and Weber,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spreads with plants, wood, and isolated bark (EFSA, 2017). </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spread by ascospore dispersal within pine stands. Ascospores are formed in ascomata that are produced in stromata on the surface of the bark over the cankers, in the central canker zone (Hopkins and Callan, 1992). Under wet conditions, ascospores are forcibly ejected into the air and are disseminated, primarily by wind, over up to 100 m from the inoculum source (Allen, 1994; Lockman, 2005). Therefore, debarked wood, even though it is affected by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cannot transfer the pest by ascospores. In international trade, logs with the bark attached may contain ascospores or traces of mycelium, as may cankers on younger branches and twigs of growing material. Under artificial conditions when infected wood (without bark) was placed in contact with another piece of wood, mycelium could colonize a new piece of wood (Hopkins, 1963). However, there is no evidence that this could happen during transport (EFSA, 2014; Cobb and Metz, 2017). The canker caused by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is not known to be transmitted by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fruit or seeds. It may also spread over long distances by movement of infected host plants for planting, cut branches, wood or isolated bark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are two species of economic importance, however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is the most important pathogen among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The fungus causes a serious resinous canker of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particularly in trees 5–25 years old in overcrowded, pure stands. Trunk cankers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reduce the value of trees for timber and paper pulp. On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causes long cankers while on other pines, only a minor twig blight occurs. In addition to deformation, infected bark adheres to the underlying wood, so preventing effective debarking. Damage caused by </w:t>
      </w:r>
      <w:r>
        <w:rPr>
          <w:rFonts w:ascii="Calibri" w:hAnsi="Calibri" w:eastAsia="Calibri" w:cs="Calibri"/>
          <w:i/>
          <w:iCs/>
          <w:color w:val="000000"/>
          <w:sz w:val="22"/>
          <w:szCs w:val="22"/>
        </w:rPr>
        <w:t xml:space="preserve">A. piniphila </w:t>
      </w:r>
      <w:r>
        <w:rPr>
          <w:rFonts w:ascii="Calibri" w:hAnsi="Calibri" w:eastAsia="Calibri" w:cs="Calibri"/>
          <w:color w:val="000000"/>
          <w:sz w:val="22"/>
          <w:szCs w:val="22"/>
        </w:rPr>
        <w:t xml:space="preserve">is most common in young dense forests of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where the fungus can kill and deform numerous trees (Sinclair and Lyon, 2005).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Cultural methods such as thinning of overcrowded stands, use of a mix of species or an alternative, non-susceptible species for reforestation purposes, removal and burning of infected trees with cankers or high level of infection (Thomas and Pickel, 2010). Buffer zone (at least 100 m) between previously infected trees and regeneration may help to prevent infection, but no chemical or biological control methods have been developed (Thomas and Pickel, 2010; EFSA, 2014).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is a North American fungal pine pathogen which has not yet been reported in the EPPO region. Its risk of entry (for the EU) was assessed by the EFSA Panel (EFSA, 2017) as close to zero under the current regulatory situation. Nevertheless, while </w:t>
      </w:r>
      <w:r>
        <w:rPr>
          <w:rFonts w:ascii="Calibri" w:hAnsi="Calibri" w:eastAsia="Calibri" w:cs="Calibri"/>
          <w:i/>
          <w:iCs/>
          <w:color w:val="000000"/>
          <w:sz w:val="22"/>
          <w:szCs w:val="22"/>
        </w:rPr>
        <w:t xml:space="preserve">A. piniphila</w:t>
      </w:r>
      <w:r>
        <w:rPr>
          <w:rFonts w:ascii="Calibri" w:hAnsi="Calibri" w:eastAsia="Calibri" w:cs="Calibri"/>
          <w:color w:val="000000"/>
          <w:sz w:val="22"/>
          <w:szCs w:val="22"/>
        </w:rPr>
        <w:t xml:space="preserve"> may be introduced in the EU, the same or higher impacts as those observed in North America are to be expected, mainly due to the lack of knowledge on the susceptibility of some native and exotic pines such as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which are important in the EPPO region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member countries are recommended to regulate </w:t>
      </w:r>
      <w:r>
        <w:rPr>
          <w:rFonts w:ascii="Calibri" w:hAnsi="Calibri" w:eastAsia="Calibri" w:cs="Calibri"/>
          <w:i/>
          <w:iCs/>
          <w:color w:val="000000"/>
          <w:sz w:val="22"/>
          <w:szCs w:val="22"/>
        </w:rPr>
        <w:t xml:space="preserve">A. pinicola</w:t>
      </w:r>
      <w:r>
        <w:rPr>
          <w:rFonts w:ascii="Calibri" w:hAnsi="Calibri" w:eastAsia="Calibri" w:cs="Calibri"/>
          <w:color w:val="000000"/>
          <w:sz w:val="22"/>
          <w:szCs w:val="22"/>
        </w:rPr>
        <w:t xml:space="preserve"> as quarantine pest of Coniferae (EPPO A1 List) (EPPO, 2021). Importing countries may prohibit plants, wood with bark, and isolated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from North America. For EU countries, wood or isolated bark originating in Canada and the USA, Annex II of Regulation (EU) 2016/2031 prescribes that an official statement shall certify that consignment has undergone heat treatment, or chemical pressure impregnation, or fumigation. If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is imported from North America, the consignment must have been debarked or processed (EPPO, 2018). The introduction into the EU (and circulation within) of plants of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spp., which are host plants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originating from non-European countries, is forbidden.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E (2014) Review of heat treatment of wood and wood packaging. NAPPO (North American Plant Protection Organization), Raleigh, North Carolina, USA. 35 pp. </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pine. In: </w:t>
      </w:r>
      <w:r>
        <w:rPr>
          <w:rFonts w:ascii="Calibri" w:hAnsi="Calibri" w:eastAsia="Calibri" w:cs="Calibri"/>
          <w:i/>
          <w:iCs/>
          <w:color w:val="000000"/>
          <w:sz w:val="22"/>
          <w:szCs w:val="22"/>
        </w:rPr>
        <w:t xml:space="preserve">Internationally dangerous forest tree diseases. Miscellaneous Publication of the Forest Service, US Department of Agriculture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939</w:t>
      </w:r>
      <w:r>
        <w:rPr>
          <w:rFonts w:ascii="Calibri" w:hAnsi="Calibri" w:eastAsia="Calibri" w:cs="Calibri"/>
          <w:color w:val="000000"/>
          <w:sz w:val="22"/>
          <w:szCs w:val="22"/>
        </w:rPr>
        <w:t xml:space="preserve">, pp. 84–85.</w:t>
      </w:r>
    </w:p>
    <w:p>
      <w:pPr>
        <w:widowControl w:val="on"/>
        <w:pBdr/>
        <w:spacing w:before="220" w:after="220" w:line="240" w:lineRule="auto"/>
        <w:ind w:left="0" w:right="0"/>
        <w:jc w:val="left"/>
      </w:pPr>
      <w:r>
        <w:rPr>
          <w:rFonts w:ascii="Calibri" w:hAnsi="Calibri" w:eastAsia="Calibri" w:cs="Calibri"/>
          <w:color w:val="000000"/>
          <w:sz w:val="22"/>
          <w:szCs w:val="22"/>
        </w:rPr>
        <w:t xml:space="preserve">Boyce JC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(3rd edition). McGraw Hill Book Co. Inc., New York, USA. pp. 244–255.</w:t>
      </w:r>
    </w:p>
    <w:p>
      <w:pPr>
        <w:widowControl w:val="on"/>
        <w:pBdr/>
        <w:spacing w:before="220" w:after="220" w:line="240" w:lineRule="auto"/>
        <w:ind w:left="0" w:right="0"/>
        <w:jc w:val="left"/>
      </w:pPr>
      <w:r>
        <w:rPr>
          <w:rFonts w:ascii="Calibri" w:hAnsi="Calibri" w:eastAsia="Calibri" w:cs="Calibri"/>
          <w:color w:val="000000"/>
          <w:sz w:val="22"/>
          <w:szCs w:val="22"/>
        </w:rPr>
        <w:t xml:space="preserve">Cerezke HF, Dhir NK &amp; Barnhardt LK (2014) Review of Insect and Disease Challenges to Alberta Coniferous Forests. Alberta Government, Edmonton, Canada, 126 pp. </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543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(1981)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544 (edition 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Cobb RC &amp; Metz MR (2017) Tree diseases as a cause and consequence of interacting forest disturbances.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147. </w:t>
      </w:r>
    </w:p>
    <w:p>
      <w:pPr>
        <w:widowControl w:val="on"/>
        <w:pBdr/>
        <w:spacing w:before="220" w:after="220" w:line="240" w:lineRule="auto"/>
        <w:ind w:left="0" w:right="0"/>
        <w:jc w:val="left"/>
      </w:pPr>
      <w:r>
        <w:rPr>
          <w:rFonts w:ascii="Calibri" w:hAnsi="Calibri" w:eastAsia="Calibri" w:cs="Calibri"/>
          <w:color w:val="000000"/>
          <w:sz w:val="22"/>
          <w:szCs w:val="22"/>
        </w:rPr>
        <w:t xml:space="preserve">Dunham PA (2008) Incidence of insects, diseases, and other damaging agents in Oregon forests. USDA, Forest Service, Pacific Northwest Research Station, Portland, Oregon, USA. 100 pp. </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Food Safety Authority (EFSA) Baker R, Gilioli G, Behring 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Report on the methodology applied by EFSA to provide a quantitative assessment of pest‐related criteria required to rank candidate priority pests as defined by Regulation (EU) 2016/2031.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(6), e05731, 61 pp. </w:t>
      </w:r>
      <w:hyperlink r:id="rId26386ad940e61913a" w:history="1">
        <w:r>
          <w:rPr>
            <w:rFonts w:ascii="Calibri" w:hAnsi="Calibri" w:eastAsia="Calibri" w:cs="Calibri"/>
            <w:color w:val="0000CC"/>
            <w:sz w:val="22"/>
            <w:szCs w:val="22"/>
            <w:u w:val="single"/>
          </w:rPr>
          <w:t xml:space="preserve">https://doi.org/10.2903/j.efsa.2019.5731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(2017) Jeger M, Caffier D, Candresse 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Pest risk assessment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46 pp. </w:t>
      </w:r>
      <w:hyperlink r:id="rId90886ad940e619226" w:history="1">
        <w:r>
          <w:rPr>
            <w:rFonts w:ascii="Calibri" w:hAnsi="Calibri" w:eastAsia="Calibri" w:cs="Calibri"/>
            <w:color w:val="0000CC"/>
            <w:sz w:val="22"/>
            <w:szCs w:val="22"/>
            <w:u w:val="single"/>
          </w:rPr>
          <w:t xml:space="preserve">https://doi.org/10.2903/j.efsa.2017.4877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 33 pp. </w:t>
      </w:r>
      <w:hyperlink r:id="rId60866ad940e6192c3" w:history="1">
        <w:r>
          <w:rPr>
            <w:rFonts w:ascii="Calibri" w:hAnsi="Calibri" w:eastAsia="Calibri" w:cs="Calibri"/>
            <w:color w:val="0000CC"/>
            <w:sz w:val="22"/>
            <w:szCs w:val="22"/>
            <w:u w:val="single"/>
          </w:rPr>
          <w:t xml:space="preserve">https://doi.org/10.2903/j.efsa.2014.3926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1/002(30). EPPO A1 and A2 lists of pests recommended for regulation as quarantine pests. </w:t>
      </w:r>
      <w:hyperlink r:id="rId37906ad940e619353"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[last accessed 01 August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Global Database page on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w:t>
      </w:r>
      <w:hyperlink r:id="rId12706ad940e6193b1" w:history="1">
        <w:r>
          <w:rPr>
            <w:rFonts w:ascii="Calibri" w:hAnsi="Calibri" w:eastAsia="Calibri" w:cs="Calibri"/>
            <w:color w:val="0000CC"/>
            <w:sz w:val="22"/>
            <w:szCs w:val="22"/>
            <w:u w:val="single"/>
          </w:rPr>
          <w:t xml:space="preserve">https://gd.eppo.int/taxon/ATRPPP</w:t>
        </w:r>
      </w:hyperlink>
      <w:r>
        <w:rPr>
          <w:rFonts w:ascii="Calibri" w:hAnsi="Calibri" w:eastAsia="Calibri" w:cs="Calibri"/>
          <w:color w:val="000000"/>
          <w:sz w:val="22"/>
          <w:szCs w:val="22"/>
        </w:rPr>
        <w:t xml:space="preserve"> [last accessed 13 July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Cronartium coleosporioides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(1987) Forest tree diseases of the prairie provinces. Canadian Forest Service Inf. Rep., 3, No. NOR-X-286. 297 pp. </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(1963)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of lodgepole pine. Etiology, symptoms and canker growth rate.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1535–1545.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JC &amp; Callan BE (1992)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Canadian Forest Service, Pacific Forestry Centre, Victoria, B.C. Forest Pest Leaflet</w:t>
      </w:r>
      <w:r>
        <w:rPr>
          <w:rFonts w:ascii="Calibri" w:hAnsi="Calibri" w:eastAsia="Calibri" w:cs="Calibri"/>
          <w:color w:val="000000"/>
          <w:sz w:val="22"/>
          <w:szCs w:val="22"/>
        </w:rPr>
        <w:t xml:space="preserve">, Vol.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Lightle PC (1973)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canker of pines. </w:t>
      </w:r>
      <w:r>
        <w:rPr>
          <w:rFonts w:ascii="Calibri" w:hAnsi="Calibri" w:eastAsia="Calibri" w:cs="Calibri"/>
          <w:i/>
          <w:iCs/>
          <w:color w:val="000000"/>
          <w:sz w:val="22"/>
          <w:szCs w:val="22"/>
        </w:rPr>
        <w:t xml:space="preserve">US Department of Agriculture, Forest Service</w:t>
      </w:r>
      <w:r>
        <w:rPr>
          <w:rFonts w:ascii="Calibri" w:hAnsi="Calibri" w:eastAsia="Calibri" w:cs="Calibri"/>
          <w:color w:val="000000"/>
          <w:sz w:val="22"/>
          <w:szCs w:val="22"/>
        </w:rPr>
        <w:t xml:space="preserve">., Vol. </w:t>
      </w:r>
      <w:r>
        <w:rPr>
          <w:rFonts w:ascii="Calibri" w:hAnsi="Calibri" w:eastAsia="Calibri" w:cs="Calibri"/>
          <w:b/>
          <w:bCs/>
          <w:color w:val="000000"/>
          <w:sz w:val="22"/>
          <w:szCs w:val="22"/>
        </w:rPr>
        <w:t xml:space="preserve">138</w:t>
      </w:r>
    </w:p>
    <w:p>
      <w:pPr>
        <w:widowControl w:val="on"/>
        <w:pBdr/>
        <w:spacing w:before="220" w:after="220" w:line="240" w:lineRule="auto"/>
        <w:ind w:left="0" w:right="0"/>
        <w:jc w:val="left"/>
      </w:pPr>
      <w:r>
        <w:rPr>
          <w:rFonts w:ascii="Calibri" w:hAnsi="Calibri" w:eastAsia="Calibri" w:cs="Calibri"/>
          <w:color w:val="000000"/>
          <w:sz w:val="22"/>
          <w:szCs w:val="22"/>
        </w:rPr>
        <w:t xml:space="preserve">Lockman B (2005) Management guide for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canker. USDA Forest Service,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Reid J,  Funk A (1966) The genus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and a new genus of the Helotiales associated with branch cankers of western Hemlock.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417–439.</w:t>
      </w:r>
    </w:p>
    <w:p>
      <w:pPr>
        <w:widowControl w:val="on"/>
        <w:pBdr/>
        <w:spacing w:before="220" w:after="220" w:line="240" w:lineRule="auto"/>
        <w:ind w:left="0" w:right="0"/>
        <w:jc w:val="left"/>
      </w:pPr>
      <w:r>
        <w:rPr>
          <w:rFonts w:ascii="Calibri" w:hAnsi="Calibri" w:eastAsia="Calibri" w:cs="Calibri"/>
          <w:color w:val="000000"/>
          <w:sz w:val="22"/>
          <w:szCs w:val="22"/>
        </w:rPr>
        <w:t xml:space="preserve">Sandoval FM, Martin FW, Carpenter JB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w:t>
      </w:r>
      <w:r>
        <w:rPr>
          <w:rFonts w:ascii="Calibri" w:hAnsi="Calibri" w:eastAsia="Calibri" w:cs="Calibri"/>
          <w:i/>
          <w:iCs/>
          <w:color w:val="000000"/>
          <w:sz w:val="22"/>
          <w:szCs w:val="22"/>
        </w:rPr>
        <w:t xml:space="preserve">Diseases of Pacific coast conifers</w:t>
      </w:r>
      <w:r>
        <w:rPr>
          <w:rFonts w:ascii="Calibri" w:hAnsi="Calibri" w:eastAsia="Calibri" w:cs="Calibri"/>
          <w:color w:val="000000"/>
          <w:sz w:val="22"/>
          <w:szCs w:val="22"/>
        </w:rPr>
        <w:t xml:space="preserve">, 521–530.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CE &amp; Pickel S (2010) Integrated Pest Management for Christmas tree production. </w:t>
      </w:r>
      <w:r>
        <w:rPr>
          <w:rFonts w:ascii="Calibri" w:hAnsi="Calibri" w:eastAsia="Calibri" w:cs="Calibri"/>
          <w:i/>
          <w:iCs/>
          <w:color w:val="000000"/>
          <w:sz w:val="22"/>
          <w:szCs w:val="22"/>
        </w:rPr>
        <w:t xml:space="preserve">A guide for Pennsylvania growers</w:t>
      </w:r>
      <w:r>
        <w:rPr>
          <w:rFonts w:ascii="Calibri" w:hAnsi="Calibri" w:eastAsia="Calibri" w:cs="Calibri"/>
          <w:color w:val="000000"/>
          <w:sz w:val="22"/>
          <w:szCs w:val="22"/>
        </w:rPr>
        <w:t xml:space="preserve">, 73–74.</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 &amp; Weber R (2007) </w:t>
      </w:r>
      <w:r>
        <w:rPr>
          <w:rFonts w:ascii="Calibri" w:hAnsi="Calibri" w:eastAsia="Calibri" w:cs="Calibri"/>
          <w:i/>
          <w:iCs/>
          <w:color w:val="000000"/>
          <w:sz w:val="22"/>
          <w:szCs w:val="22"/>
        </w:rPr>
        <w:t xml:space="preserve">Introduction to Fungi.</w:t>
      </w:r>
      <w:r>
        <w:rPr>
          <w:rFonts w:ascii="Calibri" w:hAnsi="Calibri" w:eastAsia="Calibri" w:cs="Calibri"/>
          <w:color w:val="000000"/>
          <w:sz w:val="22"/>
          <w:szCs w:val="22"/>
        </w:rPr>
        <w:t xml:space="preserve"> Cambridge University Press (UK).</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hyperlink r:id="rId89436ad940e61986f" w:history="1">
        <w:r>
          <w:rPr>
            <w:rFonts w:ascii="Calibri" w:hAnsi="Calibri" w:eastAsia="Calibri" w:cs="Calibri"/>
            <w:color w:val="0000CC"/>
            <w:sz w:val="22"/>
            <w:szCs w:val="22"/>
            <w:u w:val="single"/>
          </w:rPr>
          <w:t xml:space="preserve">https://www.cabi.org/isc/datasheet/7816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Panel on Plant Health (PLH) Jeger M, Caffier D, Candresse T, Chatzivassiliou E, Dehnen‐Schmutz 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Pest risk assessment of </w:t>
      </w:r>
      <w:r>
        <w:rPr>
          <w:rFonts w:ascii="Calibri" w:hAnsi="Calibri" w:eastAsia="Calibri" w:cs="Calibri"/>
          <w:i/>
          <w:iCs/>
          <w:color w:val="000000"/>
          <w:sz w:val="22"/>
          <w:szCs w:val="22"/>
        </w:rPr>
        <w:t xml:space="preserve">Atropellis</w:t>
      </w:r>
      <w:r>
        <w:rPr>
          <w:rFonts w:ascii="Calibri" w:hAnsi="Calibri" w:eastAsia="Calibri" w:cs="Calibri"/>
          <w:color w:val="000000"/>
          <w:sz w:val="22"/>
          <w:szCs w:val="22"/>
        </w:rPr>
        <w:t xml:space="preserve"> spp.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e04877. </w:t>
      </w:r>
      <w:hyperlink r:id="rId39426ad940e61991e" w:history="1">
        <w:r>
          <w:rPr>
            <w:rFonts w:ascii="Calibri" w:hAnsi="Calibri" w:eastAsia="Calibri" w:cs="Calibri"/>
            <w:color w:val="0000CC"/>
            <w:sz w:val="22"/>
            <w:szCs w:val="22"/>
            <w:u w:val="single"/>
          </w:rPr>
          <w:t xml:space="preserve">https://efsa.onlinelibrary.wiley.com/doi/full/10.2903/j.efsa.2017.4877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(2014) Scientific Opinion on the pest categorisation of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Atropellis piniphila</w:t>
      </w:r>
      <w:r>
        <w:rPr>
          <w:rFonts w:ascii="Calibri" w:hAnsi="Calibri" w:eastAsia="Calibri" w:cs="Calibri"/>
          <w:color w:val="000000"/>
          <w:sz w:val="22"/>
          <w:szCs w:val="22"/>
        </w:rPr>
        <w:t xml:space="preserve">. EPPO datasheets on pests recommended for regulation. Available online. </w:t>
      </w:r>
      <w:hyperlink r:id="rId17376ad940e619a5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5: </w:t>
      </w:r>
      <w:r>
        <w:rPr>
          <w:rFonts w:ascii="Calibri" w:hAnsi="Calibri" w:eastAsia="Calibri" w:cs="Calibri"/>
          <w:i/>
          <w:iCs/>
          <w:color w:val="000000"/>
          <w:sz w:val="22"/>
          <w:szCs w:val="22"/>
        </w:rPr>
        <w:t xml:space="preserve">Atropellis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23-28. </w:t>
      </w:r>
      <w:hyperlink r:id="rId96246ad940e619beb" w:history="1">
        <w:r>
          <w:rPr>
            <w:rFonts w:ascii="Calibri" w:hAnsi="Calibri" w:eastAsia="Calibri" w:cs="Calibri"/>
            <w:color w:val="0000CC"/>
            <w:sz w:val="22"/>
            <w:szCs w:val="22"/>
            <w:u w:val="single"/>
          </w:rPr>
          <w:t xml:space="preserve">https://doi.org/10.1111/j.1365-2338.1979.tb02447.x</w:t>
        </w:r>
      </w:hyperlink>
    </w:p>
    <w:p>
      <w:r>
        <w:drawing>
          <wp:inline distT="0" distB="0" distL="0" distR="0">
            <wp:extent cx="1800000" cy="604800"/>
            <wp:docPr id="3749227" name="name95946ad940e619cc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4826ad940e619cc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84363">
    <w:multiLevelType w:val="hybridMultilevel"/>
    <w:lvl w:ilvl="0" w:tplc="40793115">
      <w:start w:val="1"/>
      <w:numFmt w:val="decimal"/>
      <w:lvlText w:val="%1."/>
      <w:lvlJc w:val="left"/>
      <w:pPr>
        <w:ind w:left="720" w:hanging="360"/>
      </w:pPr>
    </w:lvl>
    <w:lvl w:ilvl="1" w:tplc="40793115" w:tentative="1">
      <w:start w:val="1"/>
      <w:numFmt w:val="lowerLetter"/>
      <w:lvlText w:val="%2."/>
      <w:lvlJc w:val="left"/>
      <w:pPr>
        <w:ind w:left="1440" w:hanging="360"/>
      </w:pPr>
    </w:lvl>
    <w:lvl w:ilvl="2" w:tplc="40793115" w:tentative="1">
      <w:start w:val="1"/>
      <w:numFmt w:val="lowerRoman"/>
      <w:lvlText w:val="%3."/>
      <w:lvlJc w:val="right"/>
      <w:pPr>
        <w:ind w:left="2160" w:hanging="180"/>
      </w:pPr>
    </w:lvl>
    <w:lvl w:ilvl="3" w:tplc="40793115" w:tentative="1">
      <w:start w:val="1"/>
      <w:numFmt w:val="decimal"/>
      <w:lvlText w:val="%4."/>
      <w:lvlJc w:val="left"/>
      <w:pPr>
        <w:ind w:left="2880" w:hanging="360"/>
      </w:pPr>
    </w:lvl>
    <w:lvl w:ilvl="4" w:tplc="40793115" w:tentative="1">
      <w:start w:val="1"/>
      <w:numFmt w:val="lowerLetter"/>
      <w:lvlText w:val="%5."/>
      <w:lvlJc w:val="left"/>
      <w:pPr>
        <w:ind w:left="3600" w:hanging="360"/>
      </w:pPr>
    </w:lvl>
    <w:lvl w:ilvl="5" w:tplc="40793115" w:tentative="1">
      <w:start w:val="1"/>
      <w:numFmt w:val="lowerRoman"/>
      <w:lvlText w:val="%6."/>
      <w:lvlJc w:val="right"/>
      <w:pPr>
        <w:ind w:left="4320" w:hanging="180"/>
      </w:pPr>
    </w:lvl>
    <w:lvl w:ilvl="6" w:tplc="40793115" w:tentative="1">
      <w:start w:val="1"/>
      <w:numFmt w:val="decimal"/>
      <w:lvlText w:val="%7."/>
      <w:lvlJc w:val="left"/>
      <w:pPr>
        <w:ind w:left="5040" w:hanging="360"/>
      </w:pPr>
    </w:lvl>
    <w:lvl w:ilvl="7" w:tplc="40793115" w:tentative="1">
      <w:start w:val="1"/>
      <w:numFmt w:val="lowerLetter"/>
      <w:lvlText w:val="%8."/>
      <w:lvlJc w:val="left"/>
      <w:pPr>
        <w:ind w:left="5760" w:hanging="360"/>
      </w:pPr>
    </w:lvl>
    <w:lvl w:ilvl="8" w:tplc="40793115" w:tentative="1">
      <w:start w:val="1"/>
      <w:numFmt w:val="lowerRoman"/>
      <w:lvlText w:val="%9."/>
      <w:lvlJc w:val="right"/>
      <w:pPr>
        <w:ind w:left="6480" w:hanging="180"/>
      </w:pPr>
    </w:lvl>
  </w:abstractNum>
  <w:abstractNum w:abstractNumId="98884362">
    <w:multiLevelType w:val="hybridMultilevel"/>
    <w:lvl w:ilvl="0" w:tplc="10511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84362">
    <w:abstractNumId w:val="98884362"/>
  </w:num>
  <w:num w:numId="98884363">
    <w:abstractNumId w:val="988843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1729306" Type="http://schemas.microsoft.com/office/2011/relationships/commentsExtended" Target="commentsExtended.xml"/><Relationship Id="rId299864207" Type="http://schemas.microsoft.com/office/2011/relationships/people" Target="people.xml"/><Relationship Id="rId89106ad940e616b1e" Type="http://schemas.openxmlformats.org/officeDocument/2006/relationships/hyperlink" Target="https://gd.eppo.int/taxon/ATRPPP/" TargetMode="External"/><Relationship Id="rId46446ad940e616b61" Type="http://schemas.openxmlformats.org/officeDocument/2006/relationships/hyperlink" Target="https://gd.eppo.int/taxon/ATRPPP/categorization" TargetMode="External"/><Relationship Id="rId32696ad940e617235" Type="http://schemas.openxmlformats.org/officeDocument/2006/relationships/hyperlink" Target="https://gd.eppo.int/taxon/ATRPPP/photos" TargetMode="External"/><Relationship Id="rId26906ad940e618808" Type="http://schemas.openxmlformats.org/officeDocument/2006/relationships/hyperlink" Target="http://jgi.doe.gov/" TargetMode="External"/><Relationship Id="rId18676ad940e61882b" Type="http://schemas.openxmlformats.org/officeDocument/2006/relationships/hyperlink" Target="http://gd.eppo.int/(https%3A//www.ncbi.nlm.nih.gov/Taxonomy/Browser/wwwtax.cgi?mode=Info&amp;id=2614604" TargetMode="External"/><Relationship Id="rId26386ad940e61913a" Type="http://schemas.openxmlformats.org/officeDocument/2006/relationships/hyperlink" Target="https://doi.org/10.2903/j.efsa.2019.5731" TargetMode="External"/><Relationship Id="rId90886ad940e619226" Type="http://schemas.openxmlformats.org/officeDocument/2006/relationships/hyperlink" Target="https://doi.org/10.2903/j.efsa.2017.4877" TargetMode="External"/><Relationship Id="rId60866ad940e6192c3" Type="http://schemas.openxmlformats.org/officeDocument/2006/relationships/hyperlink" Target="https://doi.org/10.2903/j.efsa.2014.3926" TargetMode="External"/><Relationship Id="rId37906ad940e619353" Type="http://schemas.openxmlformats.org/officeDocument/2006/relationships/hyperlink" Target="https://gd.eppo.int/standards/PM1/" TargetMode="External"/><Relationship Id="rId12706ad940e6193b1" Type="http://schemas.openxmlformats.org/officeDocument/2006/relationships/hyperlink" Target="https://gd.eppo.int/taxon/ATRPPP" TargetMode="External"/><Relationship Id="rId89436ad940e61986f" Type="http://schemas.openxmlformats.org/officeDocument/2006/relationships/hyperlink" Target="https://www.cabi.org/isc/datasheet/7816" TargetMode="External"/><Relationship Id="rId39426ad940e61991e" Type="http://schemas.openxmlformats.org/officeDocument/2006/relationships/hyperlink" Target="https://efsa.onlinelibrary.wiley.com/doi/full/10.2903/j.efsa.2017.4877" TargetMode="External"/><Relationship Id="rId17376ad940e619a5f" Type="http://schemas.openxmlformats.org/officeDocument/2006/relationships/hyperlink" Target="https://gd.eppo.int" TargetMode="External"/><Relationship Id="rId96246ad940e619beb" Type="http://schemas.openxmlformats.org/officeDocument/2006/relationships/hyperlink" Target="https://doi.org/10.1111/j.1365-2338.1979.tb02447.x" TargetMode="External"/><Relationship Id="rId61366ad940e617139" Type="http://schemas.openxmlformats.org/officeDocument/2006/relationships/image" Target="media/imgrId61366ad940e617139.jpg"/><Relationship Id="rId37776ad940e618238" Type="http://schemas.openxmlformats.org/officeDocument/2006/relationships/image" Target="media/imgrId37776ad940e618238.jpg"/><Relationship Id="rId44826ad940e619cc1" Type="http://schemas.openxmlformats.org/officeDocument/2006/relationships/image" Target="media/imgrId44826ad940e619cc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