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(Weir) Lohmann &amp; Cash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arizonica</w:t>
            </w:r>
            <w:r>
              <w:rPr>
                <w:rFonts w:ascii="Calibri" w:hAnsi="Calibri" w:eastAsia="Calibri" w:cs="Calibri"/>
                <w:color w:val="000000"/>
                <w:position w:val="-3"/>
                <w:sz w:val="22"/>
                <w:szCs w:val="22"/>
              </w:rPr>
              <w:t xml:space="preserve"> Lohman &amp; Cash, </w:t>
            </w:r>
            <w:r>
              <w:rPr>
                <w:rFonts w:ascii="Calibri" w:hAnsi="Calibri" w:eastAsia="Calibri" w:cs="Calibri"/>
                <w:i/>
                <w:iCs/>
                <w:color w:val="000000"/>
                <w:position w:val="-3"/>
                <w:sz w:val="22"/>
                <w:szCs w:val="22"/>
              </w:rPr>
              <w:t xml:space="preserve">Cenangium piniphilum</w:t>
            </w:r>
            <w:r>
              <w:rPr>
                <w:rFonts w:ascii="Calibri" w:hAnsi="Calibri" w:eastAsia="Calibri" w:cs="Calibri"/>
                <w:color w:val="000000"/>
                <w:position w:val="-3"/>
                <w:sz w:val="22"/>
                <w:szCs w:val="22"/>
              </w:rPr>
              <w:t xml:space="preserve"> Weir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9362669862f4a6a6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510669862f4a6a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621808" name="name2564669862f4a73fb" descr="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jpg"/>
                          <pic:cNvPicPr/>
                        </pic:nvPicPr>
                        <pic:blipFill>
                          <a:blip r:embed="rId3015669862f4a73f9" cstate="print"/>
                          <a:stretch>
                            <a:fillRect/>
                          </a:stretch>
                        </pic:blipFill>
                        <pic:spPr>
                          <a:xfrm>
                            <a:off x="0" y="0"/>
                            <a:ext cx="2160000" cy="1281600"/>
                          </a:xfrm>
                          <a:prstGeom prst="rect">
                            <a:avLst/>
                          </a:prstGeom>
                          <a:ln w="0">
                            <a:noFill/>
                          </a:ln>
                        </pic:spPr>
                      </pic:pic>
                    </a:graphicData>
                  </a:graphic>
                </wp:inline>
              </w:drawing>
            </w:r>
            <w:hyperlink r:id="rId3101669862f4a750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Goodding. </w:t>
      </w:r>
      <w:r>
        <w:rPr>
          <w:rFonts w:ascii="Calibri" w:hAnsi="Calibri" w:eastAsia="Calibri" w:cs="Calibri"/>
          <w:i/>
          <w:iCs/>
          <w:color w:val="000000"/>
          <w:sz w:val="22"/>
          <w:szCs w:val="22"/>
        </w:rPr>
        <w:t xml:space="preserve">Atropellis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major host, but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 also attack </w:t>
      </w:r>
      <w:r>
        <w:rPr>
          <w:rFonts w:ascii="Calibri" w:hAnsi="Calibri" w:eastAsia="Calibri" w:cs="Calibri"/>
          <w:i/>
          <w:iCs/>
          <w:color w:val="000000"/>
          <w:sz w:val="22"/>
          <w:szCs w:val="22"/>
        </w:rPr>
        <w:t xml:space="preserve">P. albicaulis </w:t>
      </w:r>
      <w:r>
        <w:rPr>
          <w:rFonts w:ascii="Calibri" w:hAnsi="Calibri" w:eastAsia="Calibri" w:cs="Calibri"/>
          <w:color w:val="000000"/>
          <w:sz w:val="22"/>
          <w:szCs w:val="22"/>
        </w:rPr>
        <w:t xml:space="preserve">(whitebark pine),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(jack pine), </w:t>
      </w:r>
      <w:r>
        <w:rPr>
          <w:rFonts w:ascii="Calibri" w:hAnsi="Calibri" w:eastAsia="Calibri" w:cs="Calibri"/>
          <w:i/>
          <w:iCs/>
          <w:color w:val="000000"/>
          <w:sz w:val="22"/>
          <w:szCs w:val="22"/>
        </w:rPr>
        <w:t xml:space="preserve">P. densiflora </w:t>
      </w:r>
      <w:r>
        <w:rPr>
          <w:rFonts w:ascii="Calibri" w:hAnsi="Calibri" w:eastAsia="Calibri" w:cs="Calibri"/>
          <w:color w:val="000000"/>
          <w:sz w:val="22"/>
          <w:szCs w:val="22"/>
        </w:rPr>
        <w:t xml:space="preserve">(Japanese red pine), </w:t>
      </w:r>
      <w:r>
        <w:rPr>
          <w:rFonts w:ascii="Calibri" w:hAnsi="Calibri" w:eastAsia="Calibri" w:cs="Calibri"/>
          <w:i/>
          <w:iCs/>
          <w:color w:val="000000"/>
          <w:sz w:val="22"/>
          <w:szCs w:val="22"/>
        </w:rPr>
        <w:t xml:space="preserve">P. echinata </w:t>
      </w:r>
      <w:r>
        <w:rPr>
          <w:rFonts w:ascii="Calibri" w:hAnsi="Calibri" w:eastAsia="Calibri" w:cs="Calibri"/>
          <w:color w:val="000000"/>
          <w:sz w:val="22"/>
          <w:szCs w:val="22"/>
        </w:rPr>
        <w:t xml:space="preserve">(shortleaf pine)</w:t>
      </w:r>
      <w:r>
        <w:rPr>
          <w:rFonts w:ascii="Calibri" w:hAnsi="Calibri" w:eastAsia="Calibri" w:cs="Calibri"/>
          <w:i/>
          <w:iCs/>
          <w:color w:val="000000"/>
          <w:sz w:val="22"/>
          <w:szCs w:val="22"/>
        </w:rPr>
        <w:t xml:space="preserve">, P. jeffreyi </w:t>
      </w:r>
      <w:r>
        <w:rPr>
          <w:rFonts w:ascii="Calibri" w:hAnsi="Calibri" w:eastAsia="Calibri" w:cs="Calibri"/>
          <w:color w:val="000000"/>
          <w:sz w:val="22"/>
          <w:szCs w:val="22"/>
        </w:rPr>
        <w:t xml:space="preserve">(Jeffrey pine), </w:t>
      </w:r>
      <w:r>
        <w:rPr>
          <w:rFonts w:ascii="Calibri" w:hAnsi="Calibri" w:eastAsia="Calibri" w:cs="Calibri"/>
          <w:i/>
          <w:iCs/>
          <w:color w:val="000000"/>
          <w:sz w:val="22"/>
          <w:szCs w:val="22"/>
        </w:rPr>
        <w:t xml:space="preserve">P. monticola </w:t>
      </w:r>
      <w:r>
        <w:rPr>
          <w:rFonts w:ascii="Calibri" w:hAnsi="Calibri" w:eastAsia="Calibri" w:cs="Calibri"/>
          <w:color w:val="000000"/>
          <w:sz w:val="22"/>
          <w:szCs w:val="22"/>
        </w:rPr>
        <w:t xml:space="preserve">(western white pine),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(black pine), </w:t>
      </w:r>
      <w:r>
        <w:rPr>
          <w:rFonts w:ascii="Calibri" w:hAnsi="Calibri" w:eastAsia="Calibri" w:cs="Calibri"/>
          <w:i/>
          <w:iCs/>
          <w:color w:val="000000"/>
          <w:sz w:val="22"/>
          <w:szCs w:val="22"/>
        </w:rPr>
        <w:t xml:space="preserve">P. ponderosa </w:t>
      </w:r>
      <w:r>
        <w:rPr>
          <w:rFonts w:ascii="Calibri" w:hAnsi="Calibri" w:eastAsia="Calibri" w:cs="Calibri"/>
          <w:color w:val="000000"/>
          <w:sz w:val="22"/>
          <w:szCs w:val="22"/>
        </w:rPr>
        <w:t xml:space="preserve">(ponderosa pine),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(lobolly pine), and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(Virginian pine) (Sandoval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was commonly found in North America, where it occurs from British Columbia and Saskatchewan to California and New Mexico, except central Rocky Mountain region and, occasionally in South Dakota and southeastern USA. The fungus mainly attacks branches and main stems, causing elongate cankers on stems of young trees (Sinclair and Lyon, 2005;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in other continents.</w:t>
      </w:r>
    </w:p>
    <w:p>
      <w:r>
        <w:drawing>
          <wp:inline distT="0" distB="0" distL="0" distR="0">
            <wp:extent cx="6120000" cy="3067200"/>
            <wp:docPr id="57874046" name="name9223669862f4a85a7" descr="ATRP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P_distribution_map.jpg"/>
                    <pic:cNvPicPr/>
                  </pic:nvPicPr>
                  <pic:blipFill>
                    <a:blip r:embed="rId2931669862f4a85a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Northwest Territories, Saskatchewan), United States of America (Alabama, Arizona, California, Idaho, Montana, New Mexico, North Carolina, Oregon, South Dakota, Tennessee,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similar to those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through ascospores. Ascospores can penetrate undamaged bark or needles of susceptible hosts and start to germinate. The fungus causes cankers and produces stromata containing conidia and apothecia in the central sunken canker zone. Conidia are released as a creamy, sticky mass (Sinclair and Lyon, 2005; Lockman 2005). Apothecia may appear up to 4 years of infection and continue to form on the canker. Ascospores are dispersed by wind, mainly in summer to early autumn. Ascospores can infect stem wounds and young branches (Sinclair and Lyon, 2005).  Infection can be asymptomatic for a long time, and apothecia with ascospores can form after a period of 2–5 years on branches and stems of infected trees (Sinclair and Lyon, 2005). Latent infection can even last for a period of up to 25 years (Hiratsuka, 1987; Lockman, 2005). Apothecia and ascospores production continue each year until a few years after death of the host on logs in heavy shaded places (Hopkins, 1969; Lockman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slightly and severely weakened trees, or 20 or more years in large, vigorous trees (Sinclair and Lyon, 2005). Incipient cankers show no external sign of the underlying infection. Dark-brown, necrotic spots, 5–10 mm in diameter, occur within the bark, possibly enclosed by a single layer of wound tissue. The first visual typical symptoms and signs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canker are a resin droplet on the bark surface, and subsequently huge amounts of fresh resin at the margin of cankers (Lockman, 2005). Cankers generally expand each year, modifying the damaged wood which becomes resin‐soaked and blue-stained. The fungus penetrates sapwood rapidly but goes into heartwood more slowly. At canker tips a reddish‐brown stain often develops in the sapwood between the bark and the nearest invaded (blue‐black) sapwood. Bark is often cracked at the margins of cankers.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formed in ascomata that are produced in stromata on the surface of the bark over the cankers, in the central sunken canker zone (Hopkins and Callan, 1991).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the larger the diseased stem is, the longer the fruiting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takes and it may be delayed from 4–5 years on small stems to 25 years or more on large ones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caused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elongated and flattened, but deep and covered with bark which is cracked; they occur on stem and young branches. Multiple stem cankers may be found quite often. Fast growing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cankers on ponderosa pine can exceed 3 m in length and the elongation rate of cankers has been estimated at about 5 cm per year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Boyce (1961), Anon. (1963), Hopkins (1963), Hopkins and Callan (1991), Sinclair and Lyon (2005),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characteristic blue-black staining of the wood beneath cankers. A red or brown discoloration is usually present in the xylem at the edge of the blue-black zone.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small, 2–4 mm in diameter, cuplike, erumpent, black on the outside, with a brown interior, irregularly disc-shaped with a short central stalk, arising initially on cankers 2 and more year old and developing annually thereafter on bark stem (Sinclair and Lyon, 2005). Ascospores hyaline, fusiform, one or two cells, 16–28 x 4.7 µm. The spores are rod shaped, very thin-walled, hyaline, aseptate, cylindrical, rounded at the ends and possess a mucilaginous coat; 4–6 x 1.0–1.5 µm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Most stem cankers start as infections on undamaged bark in the vicinity of branch whorls (Hopkins &amp; Callan, 1991). 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dead flagged branches occur throughout an infected tree (Dunham 2008). Infections are most numerous on the northern sides of stems; very few cankers develop on the southern sides of stems (Hopkins &amp; Callan, 1991).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(Lochman and Cash,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fusiform, one or two cells, 16–28 x 4.7 µm (see section on morphology above). There is one nucleotide sequence for an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strain (isolate CBS 197.64, registration date 20 September 2019, </w:t>
      </w:r>
      <w:hyperlink r:id="rId7063669862f4a8b9b" w:history="1">
        <w:r>
          <w:rPr>
            <w:rFonts w:ascii="Calibri" w:hAnsi="Calibri" w:eastAsia="Calibri" w:cs="Calibri"/>
            <w:color w:val="0000CC"/>
            <w:sz w:val="22"/>
            <w:szCs w:val="22"/>
            <w:u w:val="single"/>
          </w:rPr>
          <w:t xml:space="preserve">DOE Joint Genome Institute</w:t>
        </w:r>
      </w:hyperlink>
      <w:r>
        <w:rPr>
          <w:rFonts w:ascii="Calibri" w:hAnsi="Calibri" w:eastAsia="Calibri" w:cs="Calibri"/>
          <w:color w:val="000000"/>
          <w:sz w:val="22"/>
          <w:szCs w:val="22"/>
        </w:rPr>
        <w:t xml:space="preserve">) in </w:t>
      </w:r>
      <w:hyperlink r:id="rId4292669862f4a8bbe" w:history="1">
        <w:r>
          <w:rPr>
            <w:rFonts w:ascii="Calibri" w:hAnsi="Calibri" w:eastAsia="Calibri" w:cs="Calibri"/>
            <w:color w:val="0000CC"/>
            <w:sz w:val="22"/>
            <w:szCs w:val="22"/>
            <w:u w:val="single"/>
          </w:rPr>
          <w:t xml:space="preserve">GenBank</w:t>
        </w:r>
      </w:hyperlink>
      <w:r>
        <w:rPr>
          <w:rFonts w:ascii="Calibri" w:hAnsi="Calibri" w:eastAsia="Calibri" w:cs="Calibri"/>
          <w:color w:val="000000"/>
          <w:sz w:val="22"/>
          <w:szCs w:val="22"/>
        </w:rPr>
        <w:t xml:space="preserve"> ; accessed 13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culture characteristics listed above.</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countries where the disease occurs should have had the bark removed before inspection. However, it is possible that removal of bark may be ineffective as a safeguard if it does not eliminate superficial or deep cankers which may contain mycelium and/or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spreads with plants, wood, and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spread by ascospore dispersal within pine stands. Ascospores are formed in ascomata that are produced in stromata on the surface of the bark over the cankers, in the central canker zone (Hopkins and Callan, 1992). Under wet conditions, ascospores are forcibly ejected into the air and are disseminated, primarily by wind, over up to 100 m from the inoculum source (Allen, 1994; Lockman, 2005). Therefore, debarked wood, even though it is affected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a new piece of wood (Hopkins, 1963). However, there is no evidence that this could happen during transport (EFSA, 2014; Cobb and Metz, 2017). The canker caused by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It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two species of economic importance, however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the most important pathogen among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The fungus causes a serious resinous canker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particularly in trees 5–25 years old in overcrowded, pure stands. Trunk cankers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reduce the value of trees for timber and paper pulp. On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causes long cankers while on other pines, only a minor twig blight occurs. In addition to deformation, infected bark adheres to the underlying wood, so preventing effective debarking. Damage caused by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most common in young dense forests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where the fungus can kill and deform numerous trees (Sinclair and Lyon,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Cultural methods such as thinning of overcrowded stands, use of a mix of species or an alternative, non-susceptible species for reforestation purposes, removal and burning of infected trees with cankers or high level of infection (Thomas and Pickel, 2010). Buffer zone (at least 100 m) between previously infected trees and regeneration may help to prevent infection, but no chemical or biological control methods have been developed (Thomas and Pickel, 2010; EFSA,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a North American fungal pine pathogen which has not yet been reported in the EPPO region. Its risk of entry (for the EU) was assessed by the EFSA Panel (EFSA, 2017) as close to zero under the current regulatory situation. Nevertheless, while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may be introduced in the EU, the same or higher impacts as those observed in North America are to be expected, mainly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are important in the EPPO region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2021).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North America. For EU countries, wood or isolated bark originating in Canada and the USA, Annex II of Regulation (EU) 2016/2031 prescribes that an official statement shall certify that consignment has undergone heat treatment, or chemical pressure impregnation, or fumigation. If wood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is imported from North America, the consignment must have been debarked or processed (EPPO, 2018). The introduction into the EU (and circulation within) of plants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E (2014) Review of heat treatment of wood and wood packaging. NAPPO (North American Plant Protection Organization), Raleigh, North Carolina, USA. 35 pp.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JC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(3rd edition). McGraw Hill Book Co. Inc., New York, USA. pp. 244–255.</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Review of Insect and Disease Challenges to Alberta Coniferous Forests. Alberta Government, Edmonton, Canada, 126 pp. </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544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Incidence of insects, diseases, and other damaging agents in Oregon forests. USDA, Forest Service, Pacific Northwest Research Station, Portland, Oregon, USA. 100 pp. </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Baker R, Gilioli G, Behring 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61 pp. </w:t>
      </w:r>
      <w:hyperlink r:id="rId9094669862f4a93cb" w:history="1">
        <w:r>
          <w:rPr>
            <w:rFonts w:ascii="Calibri" w:hAnsi="Calibri" w:eastAsia="Calibri" w:cs="Calibri"/>
            <w:color w:val="0000CC"/>
            <w:sz w:val="22"/>
            <w:szCs w:val="22"/>
            <w:u w:val="single"/>
          </w:rPr>
          <w:t xml:space="preserve">https://doi.org/10.2903/j.efsa.2019.5731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46 pp. </w:t>
      </w:r>
      <w:hyperlink r:id="rId1997669862f4a948c" w:history="1">
        <w:r>
          <w:rPr>
            <w:rFonts w:ascii="Calibri" w:hAnsi="Calibri" w:eastAsia="Calibri" w:cs="Calibri"/>
            <w:color w:val="0000CC"/>
            <w:sz w:val="22"/>
            <w:szCs w:val="22"/>
            <w:u w:val="single"/>
          </w:rPr>
          <w:t xml:space="preserve">https://doi.org/10.2903/j.efsa.2017.4877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33 pp. </w:t>
      </w:r>
      <w:hyperlink r:id="rId3076669862f4a952b"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1/002(30). EPPO A1 and A2 lists of pests recommended for regulation as quarantine pests. </w:t>
      </w:r>
      <w:hyperlink r:id="rId1927669862f4a95bc"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01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t>
      </w:r>
      <w:hyperlink r:id="rId8261669862f4a961b" w:history="1">
        <w:r>
          <w:rPr>
            <w:rFonts w:ascii="Calibri" w:hAnsi="Calibri" w:eastAsia="Calibri" w:cs="Calibri"/>
            <w:color w:val="0000CC"/>
            <w:sz w:val="22"/>
            <w:szCs w:val="22"/>
            <w:u w:val="single"/>
          </w:rPr>
          <w:t xml:space="preserve">https://gd.eppo.int/taxon/ATRPPP</w:t>
        </w:r>
      </w:hyperlink>
      <w:r>
        <w:rPr>
          <w:rFonts w:ascii="Calibri" w:hAnsi="Calibri" w:eastAsia="Calibri" w:cs="Calibri"/>
          <w:color w:val="000000"/>
          <w:sz w:val="22"/>
          <w:szCs w:val="22"/>
        </w:rPr>
        <w:t xml:space="preserve"> [last accessed 13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(1987) Forest tree diseases of the prairie provinces. Canadian Forest Service Inf. Rep., 3, No. NOR-X-286. 297 pp.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BE (1992)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Canadian Forest Service, Pacific Forestry Centre, Victoria, B.C. Forest Pest Leaflet</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canker of pines. </w:t>
      </w:r>
      <w:r>
        <w:rPr>
          <w:rFonts w:ascii="Calibri" w:hAnsi="Calibri" w:eastAsia="Calibri" w:cs="Calibri"/>
          <w:i/>
          <w:iCs/>
          <w:color w:val="000000"/>
          <w:sz w:val="22"/>
          <w:szCs w:val="22"/>
        </w:rPr>
        <w:t xml:space="preserve">US Department of Agriculture, Forest Service</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138</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Management guide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FM, Martin FW, Carpenter JB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r>
        <w:rPr>
          <w:rFonts w:ascii="Calibri" w:hAnsi="Calibri" w:eastAsia="Calibri" w:cs="Calibri"/>
          <w:i/>
          <w:iCs/>
          <w:color w:val="000000"/>
          <w:sz w:val="22"/>
          <w:szCs w:val="22"/>
        </w:rPr>
        <w:t xml:space="preserve">Diseases of Pacific coast conifers</w:t>
      </w:r>
      <w:r>
        <w:rPr>
          <w:rFonts w:ascii="Calibri" w:hAnsi="Calibri" w:eastAsia="Calibri" w:cs="Calibri"/>
          <w:color w:val="000000"/>
          <w:sz w:val="22"/>
          <w:szCs w:val="22"/>
        </w:rPr>
        <w:t xml:space="preserve">, 521–530.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hyperlink r:id="rId9691669862f4a9ac5" w:history="1">
        <w:r>
          <w:rPr>
            <w:rFonts w:ascii="Calibri" w:hAnsi="Calibri" w:eastAsia="Calibri" w:cs="Calibri"/>
            <w:color w:val="0000CC"/>
            <w:sz w:val="22"/>
            <w:szCs w:val="22"/>
            <w:u w:val="single"/>
          </w:rPr>
          <w:t xml:space="preserve">https://www.cabi.org/isc/datasheet/7816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1953669862f4a9b77"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EPPO datasheets on pests recommended for regulation. Available online. </w:t>
      </w:r>
      <w:hyperlink r:id="rId9411669862f4a9cb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2707669862f4a9e4e" w:history="1">
        <w:r>
          <w:rPr>
            <w:rFonts w:ascii="Calibri" w:hAnsi="Calibri" w:eastAsia="Calibri" w:cs="Calibri"/>
            <w:color w:val="0000CC"/>
            <w:sz w:val="22"/>
            <w:szCs w:val="22"/>
            <w:u w:val="single"/>
          </w:rPr>
          <w:t xml:space="preserve">https://doi.org/10.1111/j.1365-2338.1979.tb02447.x</w:t>
        </w:r>
      </w:hyperlink>
    </w:p>
    <w:p>
      <w:r>
        <w:drawing>
          <wp:inline distT="0" distB="0" distL="0" distR="0">
            <wp:extent cx="1800000" cy="604800"/>
            <wp:docPr id="57138560" name="name8671669862f4a9ea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09669862f4a9ea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41213">
    <w:multiLevelType w:val="hybridMultilevel"/>
    <w:lvl w:ilvl="0" w:tplc="89406018">
      <w:start w:val="1"/>
      <w:numFmt w:val="decimal"/>
      <w:lvlText w:val="%1."/>
      <w:lvlJc w:val="left"/>
      <w:pPr>
        <w:ind w:left="720" w:hanging="360"/>
      </w:pPr>
    </w:lvl>
    <w:lvl w:ilvl="1" w:tplc="89406018" w:tentative="1">
      <w:start w:val="1"/>
      <w:numFmt w:val="lowerLetter"/>
      <w:lvlText w:val="%2."/>
      <w:lvlJc w:val="left"/>
      <w:pPr>
        <w:ind w:left="1440" w:hanging="360"/>
      </w:pPr>
    </w:lvl>
    <w:lvl w:ilvl="2" w:tplc="89406018" w:tentative="1">
      <w:start w:val="1"/>
      <w:numFmt w:val="lowerRoman"/>
      <w:lvlText w:val="%3."/>
      <w:lvlJc w:val="right"/>
      <w:pPr>
        <w:ind w:left="2160" w:hanging="180"/>
      </w:pPr>
    </w:lvl>
    <w:lvl w:ilvl="3" w:tplc="89406018" w:tentative="1">
      <w:start w:val="1"/>
      <w:numFmt w:val="decimal"/>
      <w:lvlText w:val="%4."/>
      <w:lvlJc w:val="left"/>
      <w:pPr>
        <w:ind w:left="2880" w:hanging="360"/>
      </w:pPr>
    </w:lvl>
    <w:lvl w:ilvl="4" w:tplc="89406018" w:tentative="1">
      <w:start w:val="1"/>
      <w:numFmt w:val="lowerLetter"/>
      <w:lvlText w:val="%5."/>
      <w:lvlJc w:val="left"/>
      <w:pPr>
        <w:ind w:left="3600" w:hanging="360"/>
      </w:pPr>
    </w:lvl>
    <w:lvl w:ilvl="5" w:tplc="89406018" w:tentative="1">
      <w:start w:val="1"/>
      <w:numFmt w:val="lowerRoman"/>
      <w:lvlText w:val="%6."/>
      <w:lvlJc w:val="right"/>
      <w:pPr>
        <w:ind w:left="4320" w:hanging="180"/>
      </w:pPr>
    </w:lvl>
    <w:lvl w:ilvl="6" w:tplc="89406018" w:tentative="1">
      <w:start w:val="1"/>
      <w:numFmt w:val="decimal"/>
      <w:lvlText w:val="%7."/>
      <w:lvlJc w:val="left"/>
      <w:pPr>
        <w:ind w:left="5040" w:hanging="360"/>
      </w:pPr>
    </w:lvl>
    <w:lvl w:ilvl="7" w:tplc="89406018" w:tentative="1">
      <w:start w:val="1"/>
      <w:numFmt w:val="lowerLetter"/>
      <w:lvlText w:val="%8."/>
      <w:lvlJc w:val="left"/>
      <w:pPr>
        <w:ind w:left="5760" w:hanging="360"/>
      </w:pPr>
    </w:lvl>
    <w:lvl w:ilvl="8" w:tplc="89406018" w:tentative="1">
      <w:start w:val="1"/>
      <w:numFmt w:val="lowerRoman"/>
      <w:lvlText w:val="%9."/>
      <w:lvlJc w:val="right"/>
      <w:pPr>
        <w:ind w:left="6480" w:hanging="180"/>
      </w:pPr>
    </w:lvl>
  </w:abstractNum>
  <w:abstractNum w:abstractNumId="73641212">
    <w:multiLevelType w:val="hybridMultilevel"/>
    <w:lvl w:ilvl="0" w:tplc="89666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41212">
    <w:abstractNumId w:val="73641212"/>
  </w:num>
  <w:num w:numId="73641213">
    <w:abstractNumId w:val="736412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2397606" Type="http://schemas.microsoft.com/office/2011/relationships/commentsExtended" Target="commentsExtended.xml"/><Relationship Id="rId953417923" Type="http://schemas.microsoft.com/office/2011/relationships/people" Target="people.xml"/><Relationship Id="rId9362669862f4a6a6f" Type="http://schemas.openxmlformats.org/officeDocument/2006/relationships/hyperlink" Target="https://gd.eppo.int/taxon/ATRPPP/" TargetMode="External"/><Relationship Id="rId3510669862f4a6ab4" Type="http://schemas.openxmlformats.org/officeDocument/2006/relationships/hyperlink" Target="https://gd.eppo.int/taxon/ATRPPP/categorization" TargetMode="External"/><Relationship Id="rId3101669862f4a7508" Type="http://schemas.openxmlformats.org/officeDocument/2006/relationships/hyperlink" Target="https://gd.eppo.int/taxon/ATRPPP/photos" TargetMode="External"/><Relationship Id="rId7063669862f4a8b9b" Type="http://schemas.openxmlformats.org/officeDocument/2006/relationships/hyperlink" Target="http://jgi.doe.gov/" TargetMode="External"/><Relationship Id="rId4292669862f4a8bbe" Type="http://schemas.openxmlformats.org/officeDocument/2006/relationships/hyperlink" Target="http://gd.eppo.int/(https%3A//www.ncbi.nlm.nih.gov/Taxonomy/Browser/wwwtax.cgi?mode=Info&amp;id=2614604" TargetMode="External"/><Relationship Id="rId9094669862f4a93cb" Type="http://schemas.openxmlformats.org/officeDocument/2006/relationships/hyperlink" Target="https://doi.org/10.2903/j.efsa.2019.5731" TargetMode="External"/><Relationship Id="rId1997669862f4a948c" Type="http://schemas.openxmlformats.org/officeDocument/2006/relationships/hyperlink" Target="https://doi.org/10.2903/j.efsa.2017.4877" TargetMode="External"/><Relationship Id="rId3076669862f4a952b" Type="http://schemas.openxmlformats.org/officeDocument/2006/relationships/hyperlink" Target="https://doi.org/10.2903/j.efsa.2014.3926" TargetMode="External"/><Relationship Id="rId1927669862f4a95bc" Type="http://schemas.openxmlformats.org/officeDocument/2006/relationships/hyperlink" Target="https://gd.eppo.int/standards/PM1/" TargetMode="External"/><Relationship Id="rId8261669862f4a961b" Type="http://schemas.openxmlformats.org/officeDocument/2006/relationships/hyperlink" Target="https://gd.eppo.int/taxon/ATRPPP" TargetMode="External"/><Relationship Id="rId9691669862f4a9ac5" Type="http://schemas.openxmlformats.org/officeDocument/2006/relationships/hyperlink" Target="https://www.cabi.org/isc/datasheet/7816" TargetMode="External"/><Relationship Id="rId1953669862f4a9b77" Type="http://schemas.openxmlformats.org/officeDocument/2006/relationships/hyperlink" Target="https://efsa.onlinelibrary.wiley.com/doi/full/10.2903/j.efsa.2017.4877" TargetMode="External"/><Relationship Id="rId9411669862f4a9cba" Type="http://schemas.openxmlformats.org/officeDocument/2006/relationships/hyperlink" Target="https://gd.eppo.int" TargetMode="External"/><Relationship Id="rId2707669862f4a9e4e" Type="http://schemas.openxmlformats.org/officeDocument/2006/relationships/hyperlink" Target="https://doi.org/10.1111/j.1365-2338.1979.tb02447.x" TargetMode="External"/><Relationship Id="rId3015669862f4a73f9" Type="http://schemas.openxmlformats.org/officeDocument/2006/relationships/image" Target="media/imgrId3015669862f4a73f9.jpg"/><Relationship Id="rId2931669862f4a85a5" Type="http://schemas.openxmlformats.org/officeDocument/2006/relationships/image" Target="media/imgrId2931669862f4a85a5.jpg"/><Relationship Id="rId2109669862f4a9ea5" Type="http://schemas.openxmlformats.org/officeDocument/2006/relationships/image" Target="media/imgrId2109669862f4a9ea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