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Atropellis pinicola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2022-10-14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Atropellis pinicola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Zeller &amp; Goodding</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Leotiomycetes: Helotiales: Godroniaceae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Godronia zelleri</w:t>
            </w:r>
            <w:r>
              <w:rPr>
                <w:rFonts w:ascii="Calibri" w:hAnsi="Calibri" w:eastAsia="Calibri" w:cs="Calibri"/>
                <w:color w:val="000000"/>
                <w:position w:val="-3"/>
                <w:sz w:val="22"/>
                <w:szCs w:val="22"/>
              </w:rPr>
              <w:t xml:space="preserve"> Seaver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branch canker of pine, trunk canker of pine, twig blight of pine</w:t>
            </w:r>
            <w:hyperlink r:id="rId556369eff7a5c7df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590869eff7a5c7e3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ATRPPC</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9173330" name="name644969eff7a5c83e4" descr="2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2.jpg"/>
                          <pic:cNvPicPr/>
                        </pic:nvPicPr>
                        <pic:blipFill>
                          <a:blip r:embed="rId789869eff7a5c83e2" cstate="print"/>
                          <a:stretch>
                            <a:fillRect/>
                          </a:stretch>
                        </pic:blipFill>
                        <pic:spPr>
                          <a:xfrm>
                            <a:off x="0" y="0"/>
                            <a:ext cx="2160000" cy="1281600"/>
                          </a:xfrm>
                          <a:prstGeom prst="rect">
                            <a:avLst/>
                          </a:prstGeom>
                          <a:ln w="0">
                            <a:noFill/>
                          </a:ln>
                        </pic:spPr>
                      </pic:pic>
                    </a:graphicData>
                  </a:graphic>
                </wp:inline>
              </w:drawing>
            </w:r>
            <w:hyperlink r:id="rId462769eff7a5c852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Atropellis pinicola</w:t>
      </w:r>
      <w:r>
        <w:rPr>
          <w:rFonts w:ascii="Calibri" w:hAnsi="Calibri" w:eastAsia="Calibri" w:cs="Calibri"/>
          <w:color w:val="000000"/>
          <w:sz w:val="22"/>
          <w:szCs w:val="22"/>
        </w:rPr>
        <w:t xml:space="preserve"> is one of four native North American species of the genus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The following species have also been reported 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apiculata</w:t>
      </w:r>
      <w:r>
        <w:rPr>
          <w:rFonts w:ascii="Calibri" w:hAnsi="Calibri" w:eastAsia="Calibri" w:cs="Calibri"/>
          <w:color w:val="000000"/>
          <w:sz w:val="22"/>
          <w:szCs w:val="22"/>
        </w:rPr>
        <w:t xml:space="preserve"> Lohman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tingens</w:t>
      </w:r>
      <w:r>
        <w:rPr>
          <w:rFonts w:ascii="Calibri" w:hAnsi="Calibri" w:eastAsia="Calibri" w:cs="Calibri"/>
          <w:color w:val="000000"/>
          <w:sz w:val="22"/>
          <w:szCs w:val="22"/>
        </w:rPr>
        <w:t xml:space="preserve"> Lohman &amp; Cash,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(Weir) M.L. Lohman &amp; E.K. Cash and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Zeller &amp; Goodd. </w:t>
      </w:r>
      <w:r>
        <w:rPr>
          <w:rFonts w:ascii="Calibri" w:hAnsi="Calibri" w:eastAsia="Calibri" w:cs="Calibri"/>
          <w:i/>
          <w:iCs/>
          <w:color w:val="000000"/>
          <w:sz w:val="22"/>
          <w:szCs w:val="22"/>
        </w:rPr>
        <w:t xml:space="preserve">A. treleasei</w:t>
      </w:r>
      <w:r>
        <w:rPr>
          <w:rFonts w:ascii="Calibri" w:hAnsi="Calibri" w:eastAsia="Calibri" w:cs="Calibri"/>
          <w:color w:val="000000"/>
          <w:sz w:val="22"/>
          <w:szCs w:val="22"/>
        </w:rPr>
        <w:t xml:space="preserve"> (Saccardo) Zeller &amp; Goodding has been transferred to </w:t>
      </w:r>
      <w:r>
        <w:rPr>
          <w:rFonts w:ascii="Calibri" w:hAnsi="Calibri" w:eastAsia="Calibri" w:cs="Calibri"/>
          <w:i/>
          <w:iCs/>
          <w:color w:val="000000"/>
          <w:sz w:val="22"/>
          <w:szCs w:val="22"/>
        </w:rPr>
        <w:t xml:space="preserve">Discocainia</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D. treleasei</w:t>
      </w:r>
      <w:r>
        <w:rPr>
          <w:rFonts w:ascii="Calibri" w:hAnsi="Calibri" w:eastAsia="Calibri" w:cs="Calibri"/>
          <w:color w:val="000000"/>
          <w:sz w:val="22"/>
          <w:szCs w:val="22"/>
        </w:rPr>
        <w:t xml:space="preserve"> (Saccardo) J. Reid &amp; Funk. (Thomas and Pickel, 2010). The differentiation between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species is based on their morphological and cultural characteristics.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Pinus contorta </w:t>
      </w:r>
      <w:r>
        <w:rPr>
          <w:rFonts w:ascii="Calibri" w:hAnsi="Calibri" w:eastAsia="Calibri" w:cs="Calibri"/>
          <w:color w:val="000000"/>
          <w:sz w:val="22"/>
          <w:szCs w:val="22"/>
        </w:rPr>
        <w:t xml:space="preserve">(lodgepole pine) is the most common host on which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can cause branch and trunk canker. </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albicaulis</w:t>
      </w:r>
      <w:r>
        <w:rPr>
          <w:rFonts w:ascii="Calibri" w:hAnsi="Calibri" w:eastAsia="Calibri" w:cs="Calibri"/>
          <w:color w:val="000000"/>
          <w:sz w:val="22"/>
          <w:szCs w:val="22"/>
        </w:rPr>
        <w:t xml:space="preserve"> (whitebark pine) and </w:t>
      </w:r>
      <w:r>
        <w:rPr>
          <w:rFonts w:ascii="Calibri" w:hAnsi="Calibri" w:eastAsia="Calibri" w:cs="Calibri"/>
          <w:i/>
          <w:iCs/>
          <w:color w:val="000000"/>
          <w:sz w:val="22"/>
          <w:szCs w:val="22"/>
        </w:rPr>
        <w:t xml:space="preserve">Pinus monticola</w:t>
      </w:r>
      <w:r>
        <w:rPr>
          <w:rFonts w:ascii="Calibri" w:hAnsi="Calibri" w:eastAsia="Calibri" w:cs="Calibri"/>
          <w:color w:val="000000"/>
          <w:sz w:val="22"/>
          <w:szCs w:val="22"/>
        </w:rPr>
        <w:t xml:space="preserve"> (western white pine) can also be damaged by </w:t>
      </w:r>
      <w:r>
        <w:rPr>
          <w:rFonts w:ascii="Calibri" w:hAnsi="Calibri" w:eastAsia="Calibri" w:cs="Calibri"/>
          <w:i/>
          <w:iCs/>
          <w:color w:val="000000"/>
          <w:sz w:val="22"/>
          <w:szCs w:val="22"/>
        </w:rPr>
        <w:t xml:space="preserve">A. pinicola </w:t>
      </w:r>
      <w:r>
        <w:rPr>
          <w:rFonts w:ascii="Calibri" w:hAnsi="Calibri" w:eastAsia="Calibri" w:cs="Calibri"/>
          <w:color w:val="000000"/>
          <w:sz w:val="22"/>
          <w:szCs w:val="22"/>
        </w:rPr>
        <w:t xml:space="preserve">(Scharpf, 1993). In addition, the fungus can affect and form minor canker on </w:t>
      </w:r>
      <w:r>
        <w:rPr>
          <w:rFonts w:ascii="Calibri" w:hAnsi="Calibri" w:eastAsia="Calibri" w:cs="Calibri"/>
          <w:i/>
          <w:iCs/>
          <w:color w:val="000000"/>
          <w:sz w:val="22"/>
          <w:szCs w:val="22"/>
        </w:rPr>
        <w:t xml:space="preserve">Pinus lambertiana </w:t>
      </w:r>
      <w:r>
        <w:rPr>
          <w:rFonts w:ascii="Calibri" w:hAnsi="Calibri" w:eastAsia="Calibri" w:cs="Calibri"/>
          <w:color w:val="000000"/>
          <w:sz w:val="22"/>
          <w:szCs w:val="22"/>
        </w:rPr>
        <w:t xml:space="preserve">(sugar pine) and </w:t>
      </w:r>
      <w:r>
        <w:rPr>
          <w:rFonts w:ascii="Calibri" w:hAnsi="Calibri" w:eastAsia="Calibri" w:cs="Calibri"/>
          <w:i/>
          <w:iCs/>
          <w:color w:val="000000"/>
          <w:sz w:val="22"/>
          <w:szCs w:val="22"/>
        </w:rPr>
        <w:t xml:space="preserve">P. strobus </w:t>
      </w:r>
      <w:r>
        <w:rPr>
          <w:rFonts w:ascii="Calibri" w:hAnsi="Calibri" w:eastAsia="Calibri" w:cs="Calibri"/>
          <w:color w:val="000000"/>
          <w:sz w:val="22"/>
          <w:szCs w:val="22"/>
        </w:rPr>
        <w:t xml:space="preserve">(eastern white pine). Minor incidental twig blights caused by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were found on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(black pine) and </w:t>
      </w:r>
      <w:r>
        <w:rPr>
          <w:rFonts w:ascii="Calibri" w:hAnsi="Calibri" w:eastAsia="Calibri" w:cs="Calibri"/>
          <w:i/>
          <w:iCs/>
          <w:color w:val="000000"/>
          <w:sz w:val="22"/>
          <w:szCs w:val="22"/>
        </w:rPr>
        <w:t xml:space="preserve">P. sylvestris </w:t>
      </w:r>
      <w:r>
        <w:rPr>
          <w:rFonts w:ascii="Calibri" w:hAnsi="Calibri" w:eastAsia="Calibri" w:cs="Calibri"/>
          <w:color w:val="000000"/>
          <w:sz w:val="22"/>
          <w:szCs w:val="22"/>
        </w:rPr>
        <w:t xml:space="preserve">(Scots pine) (Scharpf, 1993; Sinclair and Lyon, 2005).</w:t>
      </w:r>
    </w:p>
    <w:p>
      <w:pPr>
        <w:widowControl w:val="on"/>
        <w:pBdr/>
        <w:spacing w:before="220" w:after="220" w:line="240" w:lineRule="auto"/>
        <w:ind w:left="0" w:right="0"/>
        <w:jc w:val="both"/>
      </w:pPr>
      <w:r>
        <w:rPr>
          <w:rFonts w:ascii="Calibri" w:hAnsi="Calibri" w:eastAsia="Calibri" w:cs="Calibri"/>
          <w:color w:val="000000"/>
          <w:sz w:val="22"/>
          <w:szCs w:val="22"/>
        </w:rPr>
        <w:t xml:space="preserve">Some species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such as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are widely present in Europe as forest trees, and many other pines have been introduced into Europe as ornamental trees. The susceptibility of pine species native to Europe and Eurasia (such as </w:t>
      </w:r>
      <w:r>
        <w:rPr>
          <w:rFonts w:ascii="Calibri" w:hAnsi="Calibri" w:eastAsia="Calibri" w:cs="Calibri"/>
          <w:i/>
          <w:iCs/>
          <w:color w:val="000000"/>
          <w:sz w:val="22"/>
          <w:szCs w:val="22"/>
        </w:rPr>
        <w:t xml:space="preserve">Pinus brutia, P. cembra, P. mugo, P. peuce, P. pinaster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sibirica</w:t>
      </w:r>
      <w:r>
        <w:rPr>
          <w:rFonts w:ascii="Calibri" w:hAnsi="Calibri" w:eastAsia="Calibri" w:cs="Calibri"/>
          <w:color w:val="000000"/>
          <w:sz w:val="22"/>
          <w:szCs w:val="22"/>
        </w:rPr>
        <w:t xml:space="preserve">) to infection by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is not known.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albicaulis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lambertiana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monticola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pinicola</w:t>
      </w:r>
      <w:r>
        <w:rPr>
          <w:rFonts w:ascii="Calibri" w:hAnsi="Calibri" w:eastAsia="Calibri" w:cs="Calibri"/>
          <w:color w:val="000000"/>
          <w:sz w:val="22"/>
          <w:szCs w:val="22"/>
        </w:rPr>
        <w:t xml:space="preserve"> was commonly found in western North America (Canada and USA), where the fungus mainly infects branches of young, weakened trees and shaded lower branches of larger healthy trees (CABI, 1981; Scharpf, 1993, Cerezke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No information was found in the literature and databases concerning the presence of </w:t>
      </w:r>
      <w:r>
        <w:rPr>
          <w:rFonts w:ascii="Calibri" w:hAnsi="Calibri" w:eastAsia="Calibri" w:cs="Calibri"/>
          <w:i/>
          <w:iCs/>
          <w:color w:val="000000"/>
          <w:sz w:val="22"/>
          <w:szCs w:val="22"/>
        </w:rPr>
        <w:t xml:space="preserve">A. pinicola </w:t>
      </w:r>
      <w:r>
        <w:rPr>
          <w:rFonts w:ascii="Calibri" w:hAnsi="Calibri" w:eastAsia="Calibri" w:cs="Calibri"/>
          <w:color w:val="000000"/>
          <w:sz w:val="22"/>
          <w:szCs w:val="22"/>
        </w:rPr>
        <w:t xml:space="preserve">in other continents.</w:t>
      </w:r>
    </w:p>
    <w:p>
      <w:r>
        <w:drawing>
          <wp:inline distT="0" distB="0" distL="0" distR="0">
            <wp:extent cx="6120000" cy="3067200"/>
            <wp:docPr id="39012422" name="name549869eff7a5c9557" descr="ATRPPC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RPPC_distribution_map.jpg"/>
                    <pic:cNvPicPr/>
                  </pic:nvPicPr>
                  <pic:blipFill>
                    <a:blip r:embed="rId924569eff7a5c955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(California, Idaho, Montana, Oregon,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is similar to all other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species (Lightle, 1973). Trees can be infected by ascospores. Ascospores are the primary source of infection and responsible for spreading the disease. They are released from the upper surface of the apothecia within a few hours of being moistened sufficiently by rain and they are primarily air-disseminated (Hopkins and Callan, 1991). The ascospores may be ejected from early spring to mid-fall, and perhaps for an even longer period in southern regions and coastal British Columbia (Hopkins and Callan, 1991). The mycelium penetrates undamaged bark or needles of susceptible hosts, gradually extending into the wood where blue-black streaks develop. The fungus causes cankers and produces stromata containing conidia and apothecia in the central sunken canker zone. Conidia are released as a creamy, sticky mass (Lightle, 1973; Lockman, 2005). Apothecial production may continue each year for the life of the canker while the spore production can continue for a year or two on standing dead trees that remain shaded (Hopkins and Callan 1991). Generally, apothecia appear within 4 years of infection and continue to form on the canker. Although relatively more cankers are found on pines in wet habitats, the greatest amount of inoculum is produced by stem cankers in dry sites.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infection occurs through uninjured bark or leaf scars, or in the case of trunk cankers, at the branch bases (Sinclair and Lyon, 2005). Infection can be asymptomatic for a long time, and apothecia with ascospores can form after a period of 2–5 years on branches and stems of infected trees (Sinclair and Lyon, 2005) and it may even take 20 or more years for emergence of stem infections in particular on large healthy trees (Tainter and Baker, 1996; Lockman, 2005). Apothecia and ascospores production continue each year until a few years after death of the host although in the case of clear-cutting, ascospores formation may continue within a year, rarely up to three years on logs in heavy shaded places (Hopkins, 1963; Lockman 2005). The mycelium grows more rapidly in the xylem than the bark, but rarely invades the pith. Infections commence only in tissues which are more than 5 but less than 30 years old.</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details see also Anon. (1963), Hopkins (1963), Sinclair and Lyon (2005), EFSA (2014,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can remain asymptomatic for a long time and the first visual signs of infection can appear in 2–5 years on small branches and stems of young, stressed trees or 20 and more years for stem of large, vigorous trees (Sinclair and Lyon, 2005). Newly forming cankers show no external sign of the underlying infection. Dark-brown, necrotic spots, 5 mm in diameter, occur within the bark, possibly enclosed by a single layer of wound tissue. The first typical visual symptoms and signs of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canker are a resin droplet on the bark surface, which further results in huge amounts of fresh resin at the margin of cankers (Lockman, 2005). Cankers generally expand each year, modifying the damaged stem in resin‐soaked and blue-stained wood. The fungus penetrates sapwood rapidly, but goes into heartwood more slowly. At canker tips, a reddish‐brown stain often develops in the sapwood between the bark and the nearest invaded (blue‐black) sapwood. Furrowing develops longitudinally on the stem and is deepest on the most vigorous trees. Bark is often cracked at the margins of cankers. Ascospores are formed in ascomata that are produced in stromata on the surface of the bark over the cankers, in the central sunken canker zone (Hopkins and Callan, 1991).</w:t>
      </w:r>
    </w:p>
    <w:p>
      <w:pPr>
        <w:widowControl w:val="on"/>
        <w:pBdr/>
        <w:spacing w:before="220" w:after="220" w:line="240" w:lineRule="auto"/>
        <w:ind w:left="0" w:right="0"/>
        <w:jc w:val="both"/>
      </w:pPr>
      <w:r>
        <w:rPr>
          <w:rFonts w:ascii="Calibri" w:hAnsi="Calibri" w:eastAsia="Calibri" w:cs="Calibri"/>
          <w:color w:val="000000"/>
          <w:sz w:val="22"/>
          <w:szCs w:val="22"/>
        </w:rPr>
        <w:t xml:space="preserve">Cankers are elongated and flattened, but deep and covered with bark which is cracked; they occur particularly at the branch whorls on young branches. Multiple stem cankers may be found. The mean annual rate of canker development was estimated to be about 45 mm long and 6 mm wide (Kamp, 1994). Needles on attacked trees may become chlorotic in summer.</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is frequently associated with the stem rust caused by </w:t>
      </w:r>
      <w:r>
        <w:rPr>
          <w:rFonts w:ascii="Calibri" w:hAnsi="Calibri" w:eastAsia="Calibri" w:cs="Calibri"/>
          <w:i/>
          <w:iCs/>
          <w:color w:val="000000"/>
          <w:sz w:val="22"/>
          <w:szCs w:val="22"/>
        </w:rPr>
        <w:t xml:space="preserve">Cronartium coleosporioides</w:t>
      </w:r>
      <w:r>
        <w:rPr>
          <w:rFonts w:ascii="Calibri" w:hAnsi="Calibri" w:eastAsia="Calibri" w:cs="Calibri"/>
          <w:color w:val="000000"/>
          <w:sz w:val="22"/>
          <w:szCs w:val="22"/>
        </w:rPr>
        <w:t xml:space="preserve"> in the Pacific north-west of the USA (EPPO/CABI, 1996).</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information see also Hopkins (1963), Hopkins and Callan (1991), EFSA (2014,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Perennial cankers are rare and found on the main stem as smooth, elongated, narrow, flattened depressions covered with bark. </w:t>
      </w:r>
    </w:p>
    <w:p>
      <w:pPr>
        <w:widowControl w:val="on"/>
        <w:pBdr/>
        <w:spacing w:before="220" w:after="220" w:line="240" w:lineRule="auto"/>
        <w:ind w:left="0" w:right="0"/>
        <w:jc w:val="both"/>
      </w:pPr>
      <w:r>
        <w:rPr>
          <w:rFonts w:ascii="Calibri" w:hAnsi="Calibri" w:eastAsia="Calibri" w:cs="Calibri"/>
          <w:color w:val="000000"/>
          <w:sz w:val="22"/>
          <w:szCs w:val="22"/>
        </w:rPr>
        <w:t xml:space="preserve">Apothecia are very small (2–4 mm in diameter), black, erumpent, sessile or with a very short central stalk, and it is composed of light-brown to dark-walled densely interwoven hyphae (Reid and Funk, 1966). Asci clavate, interspersed with hair-like paraphyses 74–178 x 8–13 µm. Ascospores non-apiculate, filiform to acicular-clavate, 1–6-celled, hyaline; 32.0–63.0 x 1.5–3.2 (average 40 x 2) µm (Reid and Funk, 1966). The fungus produces black pycnidial stromata, 1 mm across, on killed bark before emergence of apothecia (Sinclair and Lyon, 2005). The spores are non-infectious narrowly ellipsoid, rod shaped,1-celled, hyaline and measure  4–8 x 0.5–0.7 µm, which function as gametes (Sinclair and Lyon, 2005).</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details see, Reid and Funk (1966), Synclair and Lyon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the elongated canker is the main symptom for disease identification. Massive resin flow can be seen emerging from stem cankers, as well as dark blue or black staining in sapwood under a canker, small black cup-shaped apothecia on canker margins, the vertical seams on stem because stems seem ridged and dead flagged branches occur throughout an infected tree (Dunham, 2008).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spp. may be identified using a colorimetric test: a fragment of apothecia turns 5% aqueous KOH a bluish green colour (</w:t>
      </w:r>
      <w:r>
        <w:rPr>
          <w:rFonts w:ascii="Calibri" w:hAnsi="Calibri" w:eastAsia="Calibri" w:cs="Calibri"/>
          <w:i/>
          <w:iCs/>
          <w:color w:val="000000"/>
          <w:sz w:val="22"/>
          <w:szCs w:val="22"/>
        </w:rPr>
        <w:t xml:space="preserve">Atropellis pinicola, A. piniphila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A. tingens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apiculata</w:t>
      </w:r>
      <w:r>
        <w:rPr>
          <w:rFonts w:ascii="Calibri" w:hAnsi="Calibri" w:eastAsia="Calibri" w:cs="Calibri"/>
          <w:color w:val="000000"/>
          <w:sz w:val="22"/>
          <w:szCs w:val="22"/>
        </w:rPr>
        <w:t xml:space="preserve"> will turn the solution chocolate brown. </w:t>
      </w:r>
      <w:r>
        <w:rPr>
          <w:rFonts w:ascii="Calibri" w:hAnsi="Calibri" w:eastAsia="Calibri" w:cs="Calibri"/>
          <w:i/>
          <w:iCs/>
          <w:color w:val="000000"/>
          <w:sz w:val="22"/>
          <w:szCs w:val="22"/>
        </w:rPr>
        <w:t xml:space="preserve">Atropellis </w:t>
      </w:r>
      <w:r>
        <w:rPr>
          <w:rFonts w:ascii="Calibri" w:hAnsi="Calibri" w:eastAsia="Calibri" w:cs="Calibri"/>
          <w:color w:val="000000"/>
          <w:sz w:val="22"/>
          <w:szCs w:val="22"/>
        </w:rPr>
        <w:t xml:space="preserve">species can be differentiated from one another by the shape, size and number of cells of their hyaline ascospores (Diller, 1961). Ascospores of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are filiform (please see morphology details above), longer and narrower (Lohman, 1940). There are no nucleotide sequences for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in GenBank NCBI (https://www.ncbi.nlm.nih.gov/nucleotide/: accessed 10 June 2022). Currently, differentiation of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species is based on the morphological and cultural characteristics listed above (Diller, 1961).</w:t>
      </w:r>
    </w:p>
    <w:p>
      <w:pPr>
        <w:widowControl w:val="on"/>
        <w:pBdr/>
        <w:spacing w:before="220" w:after="220" w:line="240" w:lineRule="auto"/>
        <w:ind w:left="0" w:right="0"/>
        <w:jc w:val="both"/>
      </w:pPr>
      <w:r>
        <w:rPr>
          <w:rFonts w:ascii="Calibri" w:hAnsi="Calibri" w:eastAsia="Calibri" w:cs="Calibri"/>
          <w:color w:val="000000"/>
          <w:sz w:val="22"/>
          <w:szCs w:val="22"/>
        </w:rPr>
        <w:t xml:space="preserve">Imported timber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from countries where the disease occurs should have had the bark removed before inspection. However, it is possible that removal of bark may be ineffective as a safeguard to prevent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spp. invasion, in particular if it does not eliminate superficial or deep cankers which may contain mycelium or apothecia, and so any material with canker lesions should be carefully inspected. Particular attention should be paid to the younger branches and twigs of growing material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consignments from countries where the disease occurs (Webster and Weber,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can spread with plants, wood, isolated bark (EFSA, 2017). </w:t>
      </w:r>
    </w:p>
    <w:p>
      <w:pPr>
        <w:widowControl w:val="on"/>
        <w:pBdr/>
        <w:spacing w:before="220" w:after="220" w:line="240" w:lineRule="auto"/>
        <w:ind w:left="0" w:right="0"/>
        <w:jc w:val="both"/>
      </w:pPr>
      <w:r>
        <w:rPr>
          <w:rFonts w:ascii="Calibri" w:hAnsi="Calibri" w:eastAsia="Calibri" w:cs="Calibri"/>
          <w:color w:val="000000"/>
          <w:sz w:val="22"/>
          <w:szCs w:val="22"/>
        </w:rPr>
        <w:t xml:space="preserve">Under natural conditions,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canker spreads by ascospore dispersal within pine stands. Ascospores are formed in ascomata that are produced in stromata on the surface of the bark over the cankers, in the central canker zone (Hopkins and Callan, 1991). Under wet conditions, ascospores are forcibly ejected into the air and are disseminated, primarily by wind, over up to 100 m from the inoculum source (Lockman, 2005; NAPPO, 2014). Therefore, debarked wood, even though it is affected by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cannot transfer the pest by ascospores. In international trade, logs with the bark attached may contain ascospores or traces of mycelium, as may cankers on younger branches and twigs of growing material. Under artificial conditions when infected wood (without bark) was placed in contact with another piece of wood, mycelium could colonize the new piece of wood. (Hopkins, 1963). However, there is no evidence that this could happen during transportation (EFSA, 2014; Cobb and Metz, 2017).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canker is not known to be transmitted by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fruit or seeds.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canker may also spread over long distances by movement of infected host plants for planting, cut branches, wood or isolated bark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Atropellis pinicola</w:t>
      </w:r>
      <w:r>
        <w:rPr>
          <w:rFonts w:ascii="Calibri" w:hAnsi="Calibri" w:eastAsia="Calibri" w:cs="Calibri"/>
          <w:color w:val="000000"/>
          <w:sz w:val="22"/>
          <w:szCs w:val="22"/>
        </w:rPr>
        <w:t xml:space="preserve"> is an important pest on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on which it can cause extensive branch and stem cankers leading to malformation and consequent lowering of wood quality. It is seldom important on other pines, and generally never sufficiently severe to cause death of numerous trees.</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information see also Baranyay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EFSA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Cultural methods such as thinning of overcrowded stands, use a mix of species or alternative, non-susceptible species for reforestation purposes, removal and burning of infected trees with cankers or high levels infection (Thomas and Pickel, 2010). A buffer zone (at least 100 m) between previously-infected trees and areas of regeneration or reforestation may help to prevent infection. No chemical or biological control methods have been developed (Thomas and Pickel, 2010; EFSA,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Atropellis pinicola</w:t>
      </w:r>
      <w:r>
        <w:rPr>
          <w:rFonts w:ascii="Calibri" w:hAnsi="Calibri" w:eastAsia="Calibri" w:cs="Calibri"/>
          <w:color w:val="000000"/>
          <w:sz w:val="22"/>
          <w:szCs w:val="22"/>
        </w:rPr>
        <w:t xml:space="preserve"> is a North American fungal pine pathogen which has not yet been reported in the EPPO region. Under the current regulatory situation of the European Union (i.e. imports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material from North America are strictly regulated), the risk of entry of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into the EU was assessed by the EFSA Panel (EFSA, 2017) as close to zero. Nevertheless, if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was to be introduced to the EU (or to the EPPO region), the same or higher impacts as those observed in North America are to be expected; the main uncertainty is due to the lack of knowledge on the susceptibility of some native and exotic pines such as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which are important in the EPPO region (Cannon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member countries are recommended to regulate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as quarantine pest of Coniferae (EPPO A1 List; EPPO, 2022). Imported plant material for planting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cut branches (including cut Christmas trees without roots or soil), isolated bark and round wood (except packaging wood) of </w:t>
      </w:r>
      <w:r>
        <w:rPr>
          <w:rFonts w:ascii="Calibri" w:hAnsi="Calibri" w:eastAsia="Calibri" w:cs="Calibri"/>
          <w:i/>
          <w:iCs/>
          <w:color w:val="000000"/>
          <w:sz w:val="22"/>
          <w:szCs w:val="22"/>
        </w:rPr>
        <w:t xml:space="preserve">Pinus </w:t>
      </w:r>
      <w:r>
        <w:rPr>
          <w:rFonts w:ascii="Calibri" w:hAnsi="Calibri" w:eastAsia="Calibri" w:cs="Calibri"/>
          <w:color w:val="000000"/>
          <w:sz w:val="22"/>
          <w:szCs w:val="22"/>
        </w:rPr>
        <w:t xml:space="preserve">should come from </w:t>
      </w:r>
      <w:r>
        <w:rPr>
          <w:rFonts w:ascii="Calibri" w:hAnsi="Calibri" w:eastAsia="Calibri" w:cs="Calibri"/>
          <w:i/>
          <w:iCs/>
          <w:color w:val="000000"/>
          <w:sz w:val="22"/>
          <w:szCs w:val="22"/>
        </w:rPr>
        <w:t xml:space="preserve">Atropellis pinicola</w:t>
      </w:r>
      <w:r>
        <w:rPr>
          <w:rFonts w:ascii="Calibri" w:hAnsi="Calibri" w:eastAsia="Calibri" w:cs="Calibri"/>
          <w:color w:val="000000"/>
          <w:sz w:val="22"/>
          <w:szCs w:val="22"/>
        </w:rPr>
        <w:t xml:space="preserve"> free area (EPPO, 2018). Importing countries may prohibit plants, wood with bark and isolated bark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from North America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For the EU countries, Annex II of Regulation (EU) 2016/2031 prescribes that for all types of wood or isolated bark originating in Canada and the USA, an official statement (phytosanitary certificate) shall certify that the consignment has undergone a heat treatment, or chemical pressure impregnation, or fumigation. If wood with bark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is imported from Canada and North America, the consignment must have been debarked. The introduction into the EU (and circulation within) of plants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which are host plants for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spp., originating from non-European countries, is forbidden.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(1963)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canker of pine. In: </w:t>
      </w:r>
      <w:r>
        <w:rPr>
          <w:rFonts w:ascii="Calibri" w:hAnsi="Calibri" w:eastAsia="Calibri" w:cs="Calibri"/>
          <w:i/>
          <w:iCs/>
          <w:color w:val="000000"/>
          <w:sz w:val="22"/>
          <w:szCs w:val="22"/>
        </w:rPr>
        <w:t xml:space="preserve">Internationally dangerous forest tree diseases. Miscellaneous Publication of the Forest Service, US Department of Agriculture</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939</w:t>
      </w:r>
      <w:r>
        <w:rPr>
          <w:rFonts w:ascii="Calibri" w:hAnsi="Calibri" w:eastAsia="Calibri" w:cs="Calibri"/>
          <w:color w:val="000000"/>
          <w:sz w:val="22"/>
          <w:szCs w:val="22"/>
        </w:rPr>
        <w:t xml:space="preserve">, pp. 84-85.</w:t>
      </w:r>
    </w:p>
    <w:p>
      <w:pPr>
        <w:widowControl w:val="on"/>
        <w:pBdr/>
        <w:spacing w:before="220" w:after="220" w:line="240" w:lineRule="auto"/>
        <w:ind w:left="0" w:right="0"/>
        <w:jc w:val="left"/>
      </w:pPr>
      <w:r>
        <w:rPr>
          <w:rFonts w:ascii="Calibri" w:hAnsi="Calibri" w:eastAsia="Calibri" w:cs="Calibri"/>
          <w:color w:val="000000"/>
          <w:sz w:val="22"/>
          <w:szCs w:val="22"/>
        </w:rPr>
        <w:t xml:space="preserve">Baranyay JA, Szabo T &amp; Hunt K (1973) </w:t>
      </w:r>
      <w:r>
        <w:rPr>
          <w:rFonts w:ascii="Calibri" w:hAnsi="Calibri" w:eastAsia="Calibri" w:cs="Calibri"/>
          <w:i/>
          <w:iCs/>
          <w:color w:val="000000"/>
          <w:sz w:val="22"/>
          <w:szCs w:val="22"/>
        </w:rPr>
        <w:t xml:space="preserve">Effect of Atropellis canker on growth and utilization of lodgepole pine</w:t>
      </w:r>
      <w:r>
        <w:rPr>
          <w:rFonts w:ascii="Calibri" w:hAnsi="Calibri" w:eastAsia="Calibri" w:cs="Calibri"/>
          <w:color w:val="000000"/>
          <w:sz w:val="22"/>
          <w:szCs w:val="22"/>
        </w:rPr>
        <w:t xml:space="preserve">. Information Report No. BC-X-86 - Forestry Service, Canada.</w:t>
      </w:r>
    </w:p>
    <w:p>
      <w:pPr>
        <w:widowControl w:val="on"/>
        <w:pBdr/>
        <w:spacing w:before="220" w:after="220" w:line="240" w:lineRule="auto"/>
        <w:ind w:left="0" w:right="0"/>
        <w:jc w:val="left"/>
      </w:pPr>
      <w:r>
        <w:rPr>
          <w:rFonts w:ascii="Calibri" w:hAnsi="Calibri" w:eastAsia="Calibri" w:cs="Calibri"/>
          <w:color w:val="000000"/>
          <w:sz w:val="22"/>
          <w:szCs w:val="22"/>
        </w:rPr>
        <w:t xml:space="preserve">Cannon PG, Angwin P &amp; MacKenzie M (2016) </w:t>
      </w:r>
      <w:r>
        <w:rPr>
          <w:rFonts w:ascii="Calibri" w:hAnsi="Calibri" w:eastAsia="Calibri" w:cs="Calibri"/>
          <w:i/>
          <w:iCs/>
          <w:color w:val="000000"/>
          <w:sz w:val="22"/>
          <w:szCs w:val="22"/>
        </w:rPr>
        <w:t xml:space="preserve">Diseases of conifers in California</w:t>
      </w:r>
      <w:r>
        <w:rPr>
          <w:rFonts w:ascii="Calibri" w:hAnsi="Calibri" w:eastAsia="Calibri" w:cs="Calibri"/>
          <w:color w:val="000000"/>
          <w:sz w:val="22"/>
          <w:szCs w:val="22"/>
        </w:rPr>
        <w:t xml:space="preserve">. In: Insects and Diseases of Mediterranean Forest Systems (eds Paine TD &amp; Lieutier F), pp. 549-582. Springer, Cham.</w:t>
      </w:r>
    </w:p>
    <w:p>
      <w:pPr>
        <w:widowControl w:val="on"/>
        <w:pBdr/>
        <w:spacing w:before="220" w:after="220" w:line="240" w:lineRule="auto"/>
        <w:ind w:left="0" w:right="0"/>
        <w:jc w:val="left"/>
      </w:pPr>
      <w:r>
        <w:rPr>
          <w:rFonts w:ascii="Calibri" w:hAnsi="Calibri" w:eastAsia="Calibri" w:cs="Calibri"/>
          <w:color w:val="000000"/>
          <w:sz w:val="22"/>
          <w:szCs w:val="22"/>
        </w:rPr>
        <w:t xml:space="preserve">Cerezke HF, Dhir NK &amp; Barnhardt LK (2014) </w:t>
      </w:r>
      <w:r>
        <w:rPr>
          <w:rFonts w:ascii="Calibri" w:hAnsi="Calibri" w:eastAsia="Calibri" w:cs="Calibri"/>
          <w:i/>
          <w:iCs/>
          <w:color w:val="000000"/>
          <w:sz w:val="22"/>
          <w:szCs w:val="22"/>
        </w:rPr>
        <w:t xml:space="preserve">Review of Insect and Disease Challenges to Alberta Coniferous Forests</w:t>
      </w:r>
      <w:r>
        <w:rPr>
          <w:rFonts w:ascii="Calibri" w:hAnsi="Calibri" w:eastAsia="Calibri" w:cs="Calibri"/>
          <w:color w:val="000000"/>
          <w:sz w:val="22"/>
          <w:szCs w:val="22"/>
        </w:rPr>
        <w:t xml:space="preserve">. Alberta Government, Edmonton (Canada). 126 pp.</w:t>
      </w:r>
    </w:p>
    <w:p>
      <w:pPr>
        <w:widowControl w:val="on"/>
        <w:pBdr/>
        <w:spacing w:before="220" w:after="220" w:line="240" w:lineRule="auto"/>
        <w:ind w:left="0" w:right="0"/>
        <w:jc w:val="left"/>
      </w:pPr>
      <w:r>
        <w:rPr>
          <w:rFonts w:ascii="Calibri" w:hAnsi="Calibri" w:eastAsia="Calibri" w:cs="Calibri"/>
          <w:color w:val="000000"/>
          <w:sz w:val="22"/>
          <w:szCs w:val="22"/>
        </w:rPr>
        <w:t xml:space="preserve">CABI (1981) </w:t>
      </w:r>
      <w:r>
        <w:rPr>
          <w:rFonts w:ascii="Calibri" w:hAnsi="Calibri" w:eastAsia="Calibri" w:cs="Calibri"/>
          <w:i/>
          <w:iCs/>
          <w:color w:val="000000"/>
          <w:sz w:val="22"/>
          <w:szCs w:val="22"/>
        </w:rPr>
        <w:t xml:space="preserve">Distribution Maps of Plant Diseases</w:t>
      </w:r>
      <w:r>
        <w:rPr>
          <w:rFonts w:ascii="Calibri" w:hAnsi="Calibri" w:eastAsia="Calibri" w:cs="Calibri"/>
          <w:color w:val="000000"/>
          <w:sz w:val="22"/>
          <w:szCs w:val="22"/>
        </w:rPr>
        <w:t xml:space="preserve"> No. 543 (edition 1).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(2022) EPPO Global Database page on </w:t>
      </w:r>
      <w:r>
        <w:rPr>
          <w:rFonts w:ascii="Calibri" w:hAnsi="Calibri" w:eastAsia="Calibri" w:cs="Calibri"/>
          <w:i/>
          <w:iCs/>
          <w:color w:val="000000"/>
          <w:sz w:val="22"/>
          <w:szCs w:val="22"/>
        </w:rPr>
        <w:t xml:space="preserve">Atropellis pinicola </w:t>
      </w:r>
      <w:hyperlink r:id="rId329869eff7a5ca296" w:history="1">
        <w:r>
          <w:rPr>
            <w:rFonts w:ascii="Calibri" w:hAnsi="Calibri" w:eastAsia="Calibri" w:cs="Calibri"/>
            <w:color w:val="0000CC"/>
            <w:sz w:val="22"/>
            <w:szCs w:val="22"/>
            <w:u w:val="single"/>
          </w:rPr>
          <w:t xml:space="preserve">https://www.cabi.org/isc/datasheet/7815</w:t>
        </w:r>
      </w:hyperlink>
      <w:r>
        <w:rPr>
          <w:rFonts w:ascii="Calibri" w:hAnsi="Calibri" w:eastAsia="Calibri" w:cs="Calibri"/>
          <w:color w:val="000000"/>
          <w:sz w:val="22"/>
          <w:szCs w:val="22"/>
        </w:rPr>
        <w:t xml:space="preserve">  [last accessed 09 July 2022].</w:t>
      </w:r>
    </w:p>
    <w:p>
      <w:pPr>
        <w:widowControl w:val="on"/>
        <w:pBdr/>
        <w:spacing w:before="220" w:after="220" w:line="240" w:lineRule="auto"/>
        <w:ind w:left="0" w:right="0"/>
        <w:jc w:val="left"/>
      </w:pPr>
      <w:r>
        <w:rPr>
          <w:rFonts w:ascii="Calibri" w:hAnsi="Calibri" w:eastAsia="Calibri" w:cs="Calibri"/>
          <w:color w:val="000000"/>
          <w:sz w:val="22"/>
          <w:szCs w:val="22"/>
        </w:rPr>
        <w:t xml:space="preserve">Cobb RC &amp; Metz MR (2017) Tree diseases as a cause and consequence of interacting forest disturbances.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147. </w:t>
      </w:r>
      <w:hyperlink r:id="rId514869eff7a5ca319" w:history="1">
        <w:r>
          <w:rPr>
            <w:rFonts w:ascii="Calibri" w:hAnsi="Calibri" w:eastAsia="Calibri" w:cs="Calibri"/>
            <w:color w:val="0000CC"/>
            <w:sz w:val="22"/>
            <w:szCs w:val="22"/>
            <w:u w:val="single"/>
          </w:rPr>
          <w:t xml:space="preserve">https://doi.org/10.3390/f8050147</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Dunham PA (2008) </w:t>
      </w:r>
      <w:r>
        <w:rPr>
          <w:rFonts w:ascii="Calibri" w:hAnsi="Calibri" w:eastAsia="Calibri" w:cs="Calibri"/>
          <w:i/>
          <w:iCs/>
          <w:color w:val="000000"/>
          <w:sz w:val="22"/>
          <w:szCs w:val="22"/>
        </w:rPr>
        <w:t xml:space="preserve">Incidence of insects, diseases, and other damaging agents in Oregon forests</w:t>
      </w:r>
      <w:r>
        <w:rPr>
          <w:rFonts w:ascii="Calibri" w:hAnsi="Calibri" w:eastAsia="Calibri" w:cs="Calibri"/>
          <w:color w:val="000000"/>
          <w:sz w:val="22"/>
          <w:szCs w:val="22"/>
        </w:rPr>
        <w:t xml:space="preserve">. USDA, Forest Service, Pacific Northwest Research Station, Portland, Oregon, USA. 100 pp.</w:t>
      </w:r>
    </w:p>
    <w:p>
      <w:pPr>
        <w:widowControl w:val="on"/>
        <w:pBdr/>
        <w:spacing w:before="220" w:after="220" w:line="240" w:lineRule="auto"/>
        <w:ind w:left="0" w:right="0"/>
        <w:jc w:val="left"/>
      </w:pPr>
      <w:r>
        <w:rPr>
          <w:rFonts w:ascii="Calibri" w:hAnsi="Calibri" w:eastAsia="Calibri" w:cs="Calibri"/>
          <w:color w:val="000000"/>
          <w:sz w:val="22"/>
          <w:szCs w:val="22"/>
        </w:rPr>
        <w:t xml:space="preserve">Diller JD (1962) Differentiation of three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species, based on gross cultural characteristics.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1217-1218.</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Baker R, Gilioli G, Behring C, Candiani D, Gogin A, Tramontini 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Report on the methodology applied by EFSA to provide a quantitative assessment of pest‐related criteria required to rank candidate priority pests as defined by Regulation (EU) 2016/2031.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(6), e05731. </w:t>
      </w:r>
      <w:hyperlink r:id="rId547369eff7a5ca479" w:history="1">
        <w:r>
          <w:rPr>
            <w:rFonts w:ascii="Calibri" w:hAnsi="Calibri" w:eastAsia="Calibri" w:cs="Calibri"/>
            <w:color w:val="0000CC"/>
            <w:sz w:val="22"/>
            <w:szCs w:val="22"/>
            <w:u w:val="single"/>
          </w:rPr>
          <w:t xml:space="preserve">https://doi.org/10.2903/j.efsa.2019.5731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(2017) Jeger M, Caffier D, Candresse T, Chatzivassiliou E, Dehnen‐Schmutz 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Pest risk assessment of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spp. for the EU territory. </w:t>
      </w:r>
      <w:r>
        <w:rPr>
          <w:rFonts w:ascii="Calibri" w:hAnsi="Calibri" w:eastAsia="Calibri" w:cs="Calibri"/>
          <w:i/>
          <w:iCs/>
          <w:color w:val="000000"/>
          <w:sz w:val="22"/>
          <w:szCs w:val="22"/>
        </w:rPr>
        <w:t xml:space="preserve">EFSA Journa</w:t>
      </w:r>
      <w:r>
        <w:rPr>
          <w:rFonts w:ascii="Calibri" w:hAnsi="Calibri" w:eastAsia="Calibri" w:cs="Calibri"/>
          <w:color w:val="000000"/>
          <w:sz w:val="22"/>
          <w:szCs w:val="22"/>
        </w:rPr>
        <w:t xml:space="preserve">l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(7), e04877. </w:t>
      </w:r>
      <w:hyperlink r:id="rId161069eff7a5ca52a" w:history="1">
        <w:r>
          <w:rPr>
            <w:rFonts w:ascii="Calibri" w:hAnsi="Calibri" w:eastAsia="Calibri" w:cs="Calibri"/>
            <w:color w:val="0000CC"/>
            <w:sz w:val="22"/>
            <w:szCs w:val="22"/>
            <w:u w:val="single"/>
          </w:rPr>
          <w:t xml:space="preserve">https://efsa.onlinelibrary.wiley.com/doi/full/10.2903/j.efsa.2017.4877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(2014) Scientific Opinion on the pest categorisation of </w:t>
      </w:r>
      <w:r>
        <w:rPr>
          <w:rFonts w:ascii="Calibri" w:hAnsi="Calibri" w:eastAsia="Calibri" w:cs="Calibri"/>
          <w:i/>
          <w:iCs/>
          <w:color w:val="000000"/>
          <w:sz w:val="22"/>
          <w:szCs w:val="22"/>
        </w:rPr>
        <w:t xml:space="preserve">Atropellis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(12), 3926. </w:t>
      </w:r>
      <w:hyperlink r:id="rId357269eff7a5ca5bc" w:history="1">
        <w:r>
          <w:rPr>
            <w:rFonts w:ascii="Calibri" w:hAnsi="Calibri" w:eastAsia="Calibri" w:cs="Calibri"/>
            <w:color w:val="0000CC"/>
            <w:sz w:val="22"/>
            <w:szCs w:val="22"/>
            <w:u w:val="single"/>
          </w:rPr>
          <w:t xml:space="preserve">https://doi.org/10.2903/j.efsa.2014.3926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 PM 8/2(3) Commodity-specific phytosanitary measures.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463–494. </w:t>
      </w:r>
      <w:hyperlink r:id="rId578269eff7a5ca62c" w:history="1">
        <w:r>
          <w:rPr>
            <w:rFonts w:ascii="Calibri" w:hAnsi="Calibri" w:eastAsia="Calibri" w:cs="Calibri"/>
            <w:color w:val="0000CC"/>
            <w:sz w:val="22"/>
            <w:szCs w:val="22"/>
            <w:u w:val="single"/>
          </w:rPr>
          <w:t xml:space="preserve">https://doi.org/10.1111/epp.12503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Global Database page on </w:t>
      </w:r>
      <w:r>
        <w:rPr>
          <w:rFonts w:ascii="Calibri" w:hAnsi="Calibri" w:eastAsia="Calibri" w:cs="Calibri"/>
          <w:i/>
          <w:iCs/>
          <w:color w:val="000000"/>
          <w:sz w:val="22"/>
          <w:szCs w:val="22"/>
        </w:rPr>
        <w:t xml:space="preserve">Atropellis pinicola. </w:t>
      </w:r>
      <w:hyperlink r:id="rId503669eff7a5ca671" w:history="1">
        <w:r>
          <w:rPr>
            <w:rFonts w:ascii="Calibri" w:hAnsi="Calibri" w:eastAsia="Calibri" w:cs="Calibri"/>
            <w:color w:val="0000CC"/>
            <w:sz w:val="22"/>
            <w:szCs w:val="22"/>
            <w:u w:val="single"/>
          </w:rPr>
          <w:t xml:space="preserve">https://gd.eppo.int/taxon/ATRPPC</w:t>
        </w:r>
      </w:hyperlink>
      <w:r>
        <w:rPr>
          <w:rFonts w:ascii="Calibri" w:hAnsi="Calibri" w:eastAsia="Calibri" w:cs="Calibri"/>
          <w:color w:val="000000"/>
          <w:sz w:val="22"/>
          <w:szCs w:val="22"/>
        </w:rPr>
        <w:t xml:space="preserve"> [last accessed 07 July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Cronartium coleosporioides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Smith IM, McNamara DG, Scott PR &amp;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FAO-IPPC (International Plant Protection Convention) (2006). Guidelines for regulating wood packaging material in international trade. ISPM No. 15</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w:t>
      </w:r>
      <w:r>
        <w:rPr>
          <w:rFonts w:ascii="Calibri" w:hAnsi="Calibri" w:eastAsia="Calibri" w:cs="Calibri"/>
          <w:i/>
          <w:iCs/>
          <w:color w:val="000000"/>
          <w:sz w:val="22"/>
          <w:szCs w:val="22"/>
        </w:rPr>
        <w:t xml:space="preserve"> IPPC (ed). International standards for phytosanitary measures, </w:t>
      </w:r>
      <w:r>
        <w:rPr>
          <w:rFonts w:ascii="Calibri" w:hAnsi="Calibri" w:eastAsia="Calibri" w:cs="Calibri"/>
          <w:color w:val="000000"/>
          <w:sz w:val="22"/>
          <w:szCs w:val="22"/>
        </w:rPr>
        <w:t xml:space="preserve">174-183. </w:t>
      </w:r>
      <w:hyperlink r:id="rId338369eff7a5ca751" w:history="1">
        <w:r>
          <w:rPr>
            <w:rFonts w:ascii="Calibri" w:hAnsi="Calibri" w:eastAsia="Calibri" w:cs="Calibri"/>
            <w:color w:val="0000CC"/>
            <w:sz w:val="22"/>
            <w:szCs w:val="22"/>
            <w:u w:val="single"/>
          </w:rPr>
          <w:t xml:space="preserve">https://www.ippc.int/coreactivities/standards-setting/ispms</w:t>
        </w:r>
      </w:hyperlink>
      <w:r>
        <w:rPr>
          <w:rFonts w:ascii="Calibri" w:hAnsi="Calibri" w:eastAsia="Calibri" w:cs="Calibri"/>
          <w:color w:val="000000"/>
          <w:sz w:val="22"/>
          <w:szCs w:val="22"/>
        </w:rPr>
        <w:t xml:space="preserve"> [last accessed July 2022]</w:t>
      </w:r>
    </w:p>
    <w:p>
      <w:pPr>
        <w:widowControl w:val="on"/>
        <w:pBdr/>
        <w:spacing w:before="220" w:after="220" w:line="240" w:lineRule="auto"/>
        <w:ind w:left="0" w:right="0"/>
        <w:jc w:val="left"/>
      </w:pPr>
      <w:r>
        <w:rPr>
          <w:rFonts w:ascii="Calibri" w:hAnsi="Calibri" w:eastAsia="Calibri" w:cs="Calibri"/>
          <w:color w:val="000000"/>
          <w:sz w:val="22"/>
          <w:szCs w:val="22"/>
        </w:rPr>
        <w:t xml:space="preserve">FAO-IPPC (International Plant Protection Convention) (2017). International movement of wood. ISPM 39. In </w:t>
      </w:r>
      <w:r>
        <w:rPr>
          <w:rFonts w:ascii="Calibri" w:hAnsi="Calibri" w:eastAsia="Calibri" w:cs="Calibri"/>
          <w:i/>
          <w:iCs/>
          <w:color w:val="000000"/>
          <w:sz w:val="22"/>
          <w:szCs w:val="22"/>
        </w:rPr>
        <w:t xml:space="preserve">International Standards for Phytosanitary Measures</w:t>
      </w:r>
      <w:r>
        <w:rPr>
          <w:rFonts w:ascii="Calibri" w:hAnsi="Calibri" w:eastAsia="Calibri" w:cs="Calibri"/>
          <w:color w:val="000000"/>
          <w:sz w:val="22"/>
          <w:szCs w:val="22"/>
        </w:rPr>
        <w:t xml:space="preserve">. </w:t>
      </w:r>
      <w:hyperlink r:id="rId271969eff7a5ca7b2" w:history="1">
        <w:r>
          <w:rPr>
            <w:rFonts w:ascii="Calibri" w:hAnsi="Calibri" w:eastAsia="Calibri" w:cs="Calibri"/>
            <w:color w:val="0000CC"/>
            <w:sz w:val="22"/>
            <w:szCs w:val="22"/>
            <w:u w:val="single"/>
          </w:rPr>
          <w:t xml:space="preserve">https://www.ippc.int/coreactivities/standards-setting/ispms</w:t>
        </w:r>
      </w:hyperlink>
      <w:r>
        <w:rPr>
          <w:rFonts w:ascii="Calibri" w:hAnsi="Calibri" w:eastAsia="Calibri" w:cs="Calibri"/>
          <w:color w:val="000000"/>
          <w:sz w:val="22"/>
          <w:szCs w:val="22"/>
        </w:rPr>
        <w:t xml:space="preserve"> [last accessed July 2022].</w:t>
      </w:r>
    </w:p>
    <w:p>
      <w:pPr>
        <w:widowControl w:val="on"/>
        <w:pBdr/>
        <w:spacing w:before="220" w:after="220" w:line="240" w:lineRule="auto"/>
        <w:ind w:left="0" w:right="0"/>
        <w:jc w:val="left"/>
      </w:pPr>
      <w:r>
        <w:rPr>
          <w:rFonts w:ascii="Calibri" w:hAnsi="Calibri" w:eastAsia="Calibri" w:cs="Calibri"/>
          <w:color w:val="000000"/>
          <w:sz w:val="22"/>
          <w:szCs w:val="22"/>
        </w:rPr>
        <w:t xml:space="preserve">NCBI (2022) National Center for Biotechnology Information Bethesda (MD): National Library of Medicine (US). </w:t>
      </w:r>
      <w:hyperlink r:id="rId192169eff7a5ca7f1" w:history="1">
        <w:r>
          <w:rPr>
            <w:rFonts w:ascii="Calibri" w:hAnsi="Calibri" w:eastAsia="Calibri" w:cs="Calibri"/>
            <w:color w:val="0000CC"/>
            <w:sz w:val="22"/>
            <w:szCs w:val="22"/>
            <w:u w:val="single"/>
          </w:rPr>
          <w:t xml:space="preserve">https://www.ncbi.nlm.nih.gov/nucleotide/</w:t>
        </w:r>
      </w:hyperlink>
      <w:r>
        <w:rPr>
          <w:rFonts w:ascii="Calibri" w:hAnsi="Calibri" w:eastAsia="Calibri" w:cs="Calibri"/>
          <w:color w:val="000000"/>
          <w:sz w:val="22"/>
          <w:szCs w:val="22"/>
        </w:rPr>
        <w:t xml:space="preserve"> [last accessed 10 June 2022].</w:t>
      </w:r>
    </w:p>
    <w:p>
      <w:pPr>
        <w:widowControl w:val="on"/>
        <w:pBdr/>
        <w:spacing w:before="220" w:after="220" w:line="240" w:lineRule="auto"/>
        <w:ind w:left="0" w:right="0"/>
        <w:jc w:val="left"/>
      </w:pPr>
      <w:r>
        <w:rPr>
          <w:rFonts w:ascii="Calibri" w:hAnsi="Calibri" w:eastAsia="Calibri" w:cs="Calibri"/>
          <w:color w:val="000000"/>
          <w:sz w:val="22"/>
          <w:szCs w:val="22"/>
        </w:rPr>
        <w:t xml:space="preserve">Farr DF &amp; Rossman AY (2013) Fungal Databases, Systematic Mycology and Microbiology Laboratory, Agricultural Research Service, USDA. </w:t>
      </w:r>
      <w:hyperlink r:id="rId868069eff7a5ca82f" w:history="1">
        <w:r>
          <w:rPr>
            <w:rFonts w:ascii="Calibri" w:hAnsi="Calibri" w:eastAsia="Calibri" w:cs="Calibri"/>
            <w:color w:val="0000CC"/>
            <w:sz w:val="22"/>
            <w:szCs w:val="22"/>
            <w:u w:val="single"/>
          </w:rPr>
          <w:t xml:space="preserve">http://nt.ars-grin.gov/fungaldatabases/</w:t>
        </w:r>
      </w:hyperlink>
      <w:r>
        <w:rPr>
          <w:rFonts w:ascii="Calibri" w:hAnsi="Calibri" w:eastAsia="Calibri" w:cs="Calibri"/>
          <w:color w:val="000000"/>
          <w:sz w:val="22"/>
          <w:szCs w:val="22"/>
        </w:rPr>
        <w:t xml:space="preserve"> [last accessed 9 June 2022]</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JC (1963)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canker of lodgepole pine. Etiology, symptoms and canker growth rate.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1535-1545.</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JC &amp; Callan B (1991) Atropellis canker. Canadian Forest Service, Pacific Forestry Centre, Victoria, B.C. Forest Pest Leaflet, No.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Kamp B VD (1994) Lodgepole pine stem diseases and management of stand density in the British Columbia interior. </w:t>
      </w:r>
      <w:r>
        <w:rPr>
          <w:rFonts w:ascii="Calibri" w:hAnsi="Calibri" w:eastAsia="Calibri" w:cs="Calibri"/>
          <w:i/>
          <w:iCs/>
          <w:color w:val="000000"/>
          <w:sz w:val="22"/>
          <w:szCs w:val="22"/>
        </w:rPr>
        <w:t xml:space="preserve">The Forestry Chronicle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(6), 773-779.</w:t>
      </w:r>
    </w:p>
    <w:p>
      <w:pPr>
        <w:widowControl w:val="on"/>
        <w:pBdr/>
        <w:spacing w:before="220" w:after="220" w:line="240" w:lineRule="auto"/>
        <w:ind w:left="0" w:right="0"/>
        <w:jc w:val="left"/>
      </w:pPr>
      <w:r>
        <w:rPr>
          <w:rFonts w:ascii="Calibri" w:hAnsi="Calibri" w:eastAsia="Calibri" w:cs="Calibri"/>
          <w:color w:val="000000"/>
          <w:sz w:val="22"/>
          <w:szCs w:val="22"/>
        </w:rPr>
        <w:t xml:space="preserve">Lightle PC (1973) </w:t>
      </w:r>
      <w:r>
        <w:rPr>
          <w:rFonts w:ascii="Calibri" w:hAnsi="Calibri" w:eastAsia="Calibri" w:cs="Calibri"/>
          <w:i/>
          <w:iCs/>
          <w:color w:val="000000"/>
          <w:sz w:val="22"/>
          <w:szCs w:val="22"/>
        </w:rPr>
        <w:t xml:space="preserve">Atropellis canker of pines</w:t>
      </w:r>
      <w:r>
        <w:rPr>
          <w:rFonts w:ascii="Calibri" w:hAnsi="Calibri" w:eastAsia="Calibri" w:cs="Calibri"/>
          <w:color w:val="000000"/>
          <w:sz w:val="22"/>
          <w:szCs w:val="22"/>
        </w:rPr>
        <w:t xml:space="preserve"> (Vol. 138). US Department of Agriculture, Forest Service.</w:t>
      </w:r>
    </w:p>
    <w:p>
      <w:pPr>
        <w:widowControl w:val="on"/>
        <w:pBdr/>
        <w:spacing w:before="220" w:after="220" w:line="240" w:lineRule="auto"/>
        <w:ind w:left="0" w:right="0"/>
        <w:jc w:val="left"/>
      </w:pPr>
      <w:r>
        <w:rPr>
          <w:rFonts w:ascii="Calibri" w:hAnsi="Calibri" w:eastAsia="Calibri" w:cs="Calibri"/>
          <w:color w:val="000000"/>
          <w:sz w:val="22"/>
          <w:szCs w:val="22"/>
        </w:rPr>
        <w:t xml:space="preserve">Lockman B (2005) </w:t>
      </w:r>
      <w:r>
        <w:rPr>
          <w:rFonts w:ascii="Calibri" w:hAnsi="Calibri" w:eastAsia="Calibri" w:cs="Calibri"/>
          <w:i/>
          <w:iCs/>
          <w:color w:val="000000"/>
          <w:sz w:val="22"/>
          <w:szCs w:val="22"/>
        </w:rPr>
        <w:t xml:space="preserve">Management guide for Atropellis canker</w:t>
      </w:r>
      <w:r>
        <w:rPr>
          <w:rFonts w:ascii="Calibri" w:hAnsi="Calibri" w:eastAsia="Calibri" w:cs="Calibri"/>
          <w:color w:val="000000"/>
          <w:sz w:val="22"/>
          <w:szCs w:val="22"/>
        </w:rPr>
        <w:t xml:space="preserve">. USDA Forest Service, Washington, DC, USA.</w:t>
      </w:r>
    </w:p>
    <w:p>
      <w:pPr>
        <w:widowControl w:val="on"/>
        <w:pBdr/>
        <w:spacing w:before="220" w:after="220" w:line="240" w:lineRule="auto"/>
        <w:ind w:left="0" w:right="0"/>
        <w:jc w:val="left"/>
      </w:pPr>
      <w:r>
        <w:rPr>
          <w:rFonts w:ascii="Calibri" w:hAnsi="Calibri" w:eastAsia="Calibri" w:cs="Calibri"/>
          <w:color w:val="000000"/>
          <w:sz w:val="22"/>
          <w:szCs w:val="22"/>
        </w:rPr>
        <w:t xml:space="preserve">Lohman ML (1940) </w:t>
      </w:r>
      <w:r>
        <w:rPr>
          <w:rFonts w:ascii="Calibri" w:hAnsi="Calibri" w:eastAsia="Calibri" w:cs="Calibri"/>
          <w:i/>
          <w:iCs/>
          <w:color w:val="000000"/>
          <w:sz w:val="22"/>
          <w:szCs w:val="22"/>
        </w:rPr>
        <w:t xml:space="preserve">Atropellis </w:t>
      </w:r>
      <w:r>
        <w:rPr>
          <w:rFonts w:ascii="Calibri" w:hAnsi="Calibri" w:eastAsia="Calibri" w:cs="Calibri"/>
          <w:color w:val="000000"/>
          <w:sz w:val="22"/>
          <w:szCs w:val="22"/>
        </w:rPr>
        <w:t xml:space="preserve">species from Pine cankers in the United States. </w:t>
      </w:r>
      <w:r>
        <w:rPr>
          <w:rFonts w:ascii="Calibri" w:hAnsi="Calibri" w:eastAsia="Calibri" w:cs="Calibri"/>
          <w:i/>
          <w:iCs/>
          <w:color w:val="000000"/>
          <w:sz w:val="22"/>
          <w:szCs w:val="22"/>
        </w:rPr>
        <w:t xml:space="preserve">Journal of the Washington Academy of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(6), 255-262.</w:t>
      </w:r>
    </w:p>
    <w:p>
      <w:pPr>
        <w:widowControl w:val="on"/>
        <w:pBdr/>
        <w:spacing w:before="220" w:after="220" w:line="240" w:lineRule="auto"/>
        <w:ind w:left="0" w:right="0"/>
        <w:jc w:val="left"/>
      </w:pPr>
      <w:r>
        <w:rPr>
          <w:rFonts w:ascii="Calibri" w:hAnsi="Calibri" w:eastAsia="Calibri" w:cs="Calibri"/>
          <w:color w:val="000000"/>
          <w:sz w:val="22"/>
          <w:szCs w:val="22"/>
        </w:rPr>
        <w:t xml:space="preserve">NAPPO (2014) ST 05: review of heat treatment of wood and wood packaging. North American Plant Protection Organization, Ottawa, Canada, </w:t>
      </w:r>
      <w:hyperlink r:id="rId574969eff7a5caac5" w:history="1">
        <w:r>
          <w:rPr>
            <w:rFonts w:ascii="Calibri" w:hAnsi="Calibri" w:eastAsia="Calibri" w:cs="Calibri"/>
            <w:color w:val="0000CC"/>
            <w:sz w:val="22"/>
            <w:szCs w:val="22"/>
            <w:u w:val="single"/>
          </w:rPr>
          <w:t xml:space="preserve">http://www.nappo.org/files/7714/6013/3041/NAPPO_ST_Heat_treatment_of_wood_woodpkg-e.pdf</w:t>
        </w:r>
      </w:hyperlink>
      <w:r>
        <w:rPr>
          <w:rFonts w:ascii="Calibri" w:hAnsi="Calibri" w:eastAsia="Calibri" w:cs="Calibri"/>
          <w:color w:val="000000"/>
          <w:sz w:val="22"/>
          <w:szCs w:val="22"/>
        </w:rPr>
        <w:t xml:space="preserve"> [last accessed July 2022]</w:t>
      </w:r>
    </w:p>
    <w:p>
      <w:pPr>
        <w:widowControl w:val="on"/>
        <w:pBdr/>
        <w:spacing w:before="220" w:after="220" w:line="240" w:lineRule="auto"/>
        <w:ind w:left="0" w:right="0"/>
        <w:jc w:val="left"/>
      </w:pPr>
      <w:r>
        <w:rPr>
          <w:rFonts w:ascii="Calibri" w:hAnsi="Calibri" w:eastAsia="Calibri" w:cs="Calibri"/>
          <w:color w:val="000000"/>
          <w:sz w:val="22"/>
          <w:szCs w:val="22"/>
        </w:rPr>
        <w:t xml:space="preserve">Pacific Forestry Centre's Forest Pathology Herbarium DAVFP Collections Database (2022) Database page on </w:t>
      </w:r>
      <w:r>
        <w:rPr>
          <w:rFonts w:ascii="Calibri" w:hAnsi="Calibri" w:eastAsia="Calibri" w:cs="Calibri"/>
          <w:i/>
          <w:iCs/>
          <w:color w:val="000000"/>
          <w:sz w:val="22"/>
          <w:szCs w:val="22"/>
        </w:rPr>
        <w:t xml:space="preserve">Atropellis pinicola </w:t>
      </w:r>
      <w:hyperlink r:id="rId977369eff7a5cab1e" w:history="1">
        <w:r>
          <w:rPr>
            <w:rFonts w:ascii="Calibri" w:hAnsi="Calibri" w:eastAsia="Calibri" w:cs="Calibri"/>
            <w:color w:val="0000CC"/>
            <w:sz w:val="22"/>
            <w:szCs w:val="22"/>
            <w:u w:val="single"/>
          </w:rPr>
          <w:t xml:space="preserve">https://cfs.nrcan.gc.ca/herbarium/fungus/218</w:t>
        </w:r>
      </w:hyperlink>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[last accessed July 2022]</w:t>
      </w:r>
    </w:p>
    <w:p>
      <w:pPr>
        <w:widowControl w:val="on"/>
        <w:pBdr/>
        <w:spacing w:before="220" w:after="220" w:line="240" w:lineRule="auto"/>
        <w:ind w:left="0" w:right="0"/>
        <w:jc w:val="left"/>
      </w:pPr>
      <w:r>
        <w:rPr>
          <w:rFonts w:ascii="Calibri" w:hAnsi="Calibri" w:eastAsia="Calibri" w:cs="Calibri"/>
          <w:color w:val="000000"/>
          <w:sz w:val="22"/>
          <w:szCs w:val="22"/>
        </w:rPr>
        <w:t xml:space="preserve">Reid J &amp;Funk A (1966) The genus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and a new genus of the Helotiales associated with branch cankers of western Hemlock.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417-439.</w:t>
      </w:r>
    </w:p>
    <w:p>
      <w:pPr>
        <w:widowControl w:val="on"/>
        <w:pBdr/>
        <w:spacing w:before="220" w:after="220" w:line="240" w:lineRule="auto"/>
        <w:ind w:left="0" w:right="0"/>
        <w:jc w:val="left"/>
      </w:pPr>
      <w:r>
        <w:rPr>
          <w:rFonts w:ascii="Calibri" w:hAnsi="Calibri" w:eastAsia="Calibri" w:cs="Calibri"/>
          <w:color w:val="000000"/>
          <w:sz w:val="22"/>
          <w:szCs w:val="22"/>
        </w:rPr>
        <w:t xml:space="preserve">Scharpf RF  (1993) Diseases of Pacific Coast Conifers. Agriculture Handbook (No. PB-95-160800/XAB; AGRICULTURE/HB-521). Forest Service, Albany, CA (United States). Pacific Southwest Research Station.</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&amp; Lyon HH  (2005) Diseases of Trees and Shrubs (No. Ed. 2). Comstock Publishing Associates. 650 pp.</w:t>
      </w:r>
    </w:p>
    <w:p>
      <w:pPr>
        <w:widowControl w:val="on"/>
        <w:pBdr/>
        <w:spacing w:before="220" w:after="220" w:line="240" w:lineRule="auto"/>
        <w:ind w:left="0" w:right="0"/>
        <w:jc w:val="left"/>
      </w:pPr>
      <w:r>
        <w:rPr>
          <w:rFonts w:ascii="Calibri" w:hAnsi="Calibri" w:eastAsia="Calibri" w:cs="Calibri"/>
          <w:color w:val="000000"/>
          <w:sz w:val="22"/>
          <w:szCs w:val="22"/>
        </w:rPr>
        <w:t xml:space="preserve">Tainter FH &amp; Baker FA (1996) Principles of forest pathology. John Wiley &amp; Sons.</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CE &amp; Pickel S (2010) Integrated Pest Management for Christmas tree production. </w:t>
      </w:r>
      <w:r>
        <w:rPr>
          <w:rFonts w:ascii="Calibri" w:hAnsi="Calibri" w:eastAsia="Calibri" w:cs="Calibri"/>
          <w:i/>
          <w:iCs/>
          <w:color w:val="000000"/>
          <w:sz w:val="22"/>
          <w:szCs w:val="22"/>
        </w:rPr>
        <w:t xml:space="preserve">A guide for Pennsylvania growers</w:t>
      </w:r>
      <w:r>
        <w:rPr>
          <w:rFonts w:ascii="Calibri" w:hAnsi="Calibri" w:eastAsia="Calibri" w:cs="Calibri"/>
          <w:color w:val="000000"/>
          <w:sz w:val="22"/>
          <w:szCs w:val="22"/>
        </w:rPr>
        <w:t xml:space="preserve">, p.73-74.</w:t>
      </w:r>
    </w:p>
    <w:p>
      <w:pPr>
        <w:widowControl w:val="on"/>
        <w:pBdr/>
        <w:spacing w:before="220" w:after="220" w:line="240" w:lineRule="auto"/>
        <w:ind w:left="0" w:right="0"/>
        <w:jc w:val="left"/>
      </w:pPr>
      <w:r>
        <w:rPr>
          <w:rFonts w:ascii="Calibri" w:hAnsi="Calibri" w:eastAsia="Calibri" w:cs="Calibri"/>
          <w:color w:val="000000"/>
          <w:sz w:val="22"/>
          <w:szCs w:val="22"/>
        </w:rPr>
        <w:t xml:space="preserve">Webster J &amp; Weber R (2007) </w:t>
      </w:r>
      <w:r>
        <w:rPr>
          <w:rFonts w:ascii="Calibri" w:hAnsi="Calibri" w:eastAsia="Calibri" w:cs="Calibri"/>
          <w:i/>
          <w:iCs/>
          <w:color w:val="000000"/>
          <w:sz w:val="22"/>
          <w:szCs w:val="22"/>
        </w:rPr>
        <w:t xml:space="preserve">Introduction to Fungi</w:t>
      </w:r>
      <w:r>
        <w:rPr>
          <w:rFonts w:ascii="Calibri" w:hAnsi="Calibri" w:eastAsia="Calibri" w:cs="Calibri"/>
          <w:color w:val="000000"/>
          <w:sz w:val="22"/>
          <w:szCs w:val="22"/>
        </w:rPr>
        <w:t xml:space="preserve">. Cambridge University Press (UK).</w:t>
      </w:r>
    </w:p>
    <w:p>
      <w:pPr>
        <w:widowControl w:val="on"/>
        <w:pBdr/>
        <w:spacing w:before="220" w:after="220" w:line="240" w:lineRule="auto"/>
        <w:ind w:left="0" w:right="0"/>
        <w:jc w:val="left"/>
      </w:pP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Atropellis pinicola</w:t>
      </w:r>
      <w:r>
        <w:rPr>
          <w:rFonts w:ascii="Calibri" w:hAnsi="Calibri" w:eastAsia="Calibri" w:cs="Calibri"/>
          <w:color w:val="000000"/>
          <w:sz w:val="22"/>
          <w:szCs w:val="22"/>
        </w:rPr>
        <w:t xml:space="preserve">:</w:t>
      </w:r>
      <w:hyperlink r:id="rId341369eff7a5cad35" w:history="1">
        <w:r>
          <w:rPr>
            <w:rFonts w:ascii="Calibri" w:hAnsi="Calibri" w:eastAsia="Calibri" w:cs="Calibri"/>
            <w:i/>
            <w:iCs/>
            <w:color w:val="0000CC"/>
            <w:sz w:val="22"/>
            <w:szCs w:val="22"/>
            <w:u w:val="single"/>
          </w:rPr>
          <w:t xml:space="preserve"> </w:t>
        </w:r>
        <w:r>
          <w:rPr>
            <w:rFonts w:ascii="Calibri" w:hAnsi="Calibri" w:eastAsia="Calibri" w:cs="Calibri"/>
            <w:color w:val="0000CC"/>
            <w:sz w:val="22"/>
            <w:szCs w:val="22"/>
            <w:u w:val="single"/>
          </w:rPr>
          <w:t xml:space="preserve">https://www.cabi.org/isc/datasheet/7815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Panel on Plant Health (PLH), Jeger M, Caffier D, Candresse T, Chatzivassiliou E, Dehnen‐Schmutz 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Pest risk assessment of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spp. for the EU territory.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(7), e04877. </w:t>
      </w:r>
      <w:hyperlink r:id="rId744969eff7a5cadfe" w:history="1">
        <w:r>
          <w:rPr>
            <w:rFonts w:ascii="Calibri" w:hAnsi="Calibri" w:eastAsia="Calibri" w:cs="Calibri"/>
            <w:color w:val="0000CC"/>
            <w:sz w:val="22"/>
            <w:szCs w:val="22"/>
            <w:u w:val="single"/>
          </w:rPr>
          <w:t xml:space="preserve">https://efsa.onlinelibrary.wiley.com/doi/full/10.2903/j.efsa.2017.4877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(2014) Scientific Opinion on the pest categorisation of </w:t>
      </w:r>
      <w:r>
        <w:rPr>
          <w:rFonts w:ascii="Calibri" w:hAnsi="Calibri" w:eastAsia="Calibri" w:cs="Calibri"/>
          <w:i/>
          <w:iCs/>
          <w:color w:val="000000"/>
          <w:sz w:val="22"/>
          <w:szCs w:val="22"/>
        </w:rPr>
        <w:t xml:space="preserve">Atropellis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(12), 3926.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Kateryna Davydenko, Ukrainian Research Institute of Forestry and Forest Melioration and Swedish University of Agricultural Science.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Atropellis pinicola</w:t>
      </w:r>
      <w:r>
        <w:rPr>
          <w:rFonts w:ascii="Calibri" w:hAnsi="Calibri" w:eastAsia="Calibri" w:cs="Calibri"/>
          <w:color w:val="000000"/>
          <w:sz w:val="22"/>
          <w:szCs w:val="22"/>
        </w:rPr>
        <w:t xml:space="preserve">. EPPO datasheets on pests recommended for regulation. Available online. </w:t>
      </w:r>
      <w:hyperlink r:id="rId332169eff7a5caf3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1979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Data sheets on quarantine organisms No 5: </w:t>
      </w:r>
      <w:r>
        <w:rPr>
          <w:rFonts w:ascii="Calibri" w:hAnsi="Calibri" w:eastAsia="Calibri" w:cs="Calibri"/>
          <w:i/>
          <w:iCs/>
          <w:color w:val="000000"/>
          <w:sz w:val="22"/>
          <w:szCs w:val="22"/>
        </w:rPr>
        <w:t xml:space="preserve">Atropellis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23-28.  </w:t>
      </w:r>
      <w:hyperlink r:id="rId285569eff7a5cb0c4" w:history="1">
        <w:r>
          <w:rPr>
            <w:rFonts w:ascii="Calibri" w:hAnsi="Calibri" w:eastAsia="Calibri" w:cs="Calibri"/>
            <w:color w:val="0000CC"/>
            <w:sz w:val="22"/>
            <w:szCs w:val="22"/>
            <w:u w:val="single"/>
          </w:rPr>
          <w:t xml:space="preserve">https://doi.org/10.1111/j.1365-2338.1979.tb02447.x</w:t>
        </w:r>
      </w:hyperlink>
      <w:r>
        <w:rPr>
          <w:rFonts w:ascii="Calibri" w:hAnsi="Calibri" w:eastAsia="Calibri" w:cs="Calibri"/>
          <w:color w:val="000000"/>
          <w:sz w:val="22"/>
          <w:szCs w:val="22"/>
        </w:rPr>
        <w:t xml:space="preserve"> </w:t>
      </w:r>
    </w:p>
    <w:p>
      <w:r>
        <w:drawing>
          <wp:inline distT="0" distB="0" distL="0" distR="0">
            <wp:extent cx="1800000" cy="604800"/>
            <wp:docPr id="40474506" name="name740169eff7a5cb12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03569eff7a5cb12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6276884">
    <w:multiLevelType w:val="hybridMultilevel"/>
    <w:lvl w:ilvl="0" w:tplc="88305966">
      <w:start w:val="1"/>
      <w:numFmt w:val="decimal"/>
      <w:lvlText w:val="%1."/>
      <w:lvlJc w:val="left"/>
      <w:pPr>
        <w:ind w:left="720" w:hanging="360"/>
      </w:pPr>
    </w:lvl>
    <w:lvl w:ilvl="1" w:tplc="88305966" w:tentative="1">
      <w:start w:val="1"/>
      <w:numFmt w:val="lowerLetter"/>
      <w:lvlText w:val="%2."/>
      <w:lvlJc w:val="left"/>
      <w:pPr>
        <w:ind w:left="1440" w:hanging="360"/>
      </w:pPr>
    </w:lvl>
    <w:lvl w:ilvl="2" w:tplc="88305966" w:tentative="1">
      <w:start w:val="1"/>
      <w:numFmt w:val="lowerRoman"/>
      <w:lvlText w:val="%3."/>
      <w:lvlJc w:val="right"/>
      <w:pPr>
        <w:ind w:left="2160" w:hanging="180"/>
      </w:pPr>
    </w:lvl>
    <w:lvl w:ilvl="3" w:tplc="88305966" w:tentative="1">
      <w:start w:val="1"/>
      <w:numFmt w:val="decimal"/>
      <w:lvlText w:val="%4."/>
      <w:lvlJc w:val="left"/>
      <w:pPr>
        <w:ind w:left="2880" w:hanging="360"/>
      </w:pPr>
    </w:lvl>
    <w:lvl w:ilvl="4" w:tplc="88305966" w:tentative="1">
      <w:start w:val="1"/>
      <w:numFmt w:val="lowerLetter"/>
      <w:lvlText w:val="%5."/>
      <w:lvlJc w:val="left"/>
      <w:pPr>
        <w:ind w:left="3600" w:hanging="360"/>
      </w:pPr>
    </w:lvl>
    <w:lvl w:ilvl="5" w:tplc="88305966" w:tentative="1">
      <w:start w:val="1"/>
      <w:numFmt w:val="lowerRoman"/>
      <w:lvlText w:val="%6."/>
      <w:lvlJc w:val="right"/>
      <w:pPr>
        <w:ind w:left="4320" w:hanging="180"/>
      </w:pPr>
    </w:lvl>
    <w:lvl w:ilvl="6" w:tplc="88305966" w:tentative="1">
      <w:start w:val="1"/>
      <w:numFmt w:val="decimal"/>
      <w:lvlText w:val="%7."/>
      <w:lvlJc w:val="left"/>
      <w:pPr>
        <w:ind w:left="5040" w:hanging="360"/>
      </w:pPr>
    </w:lvl>
    <w:lvl w:ilvl="7" w:tplc="88305966" w:tentative="1">
      <w:start w:val="1"/>
      <w:numFmt w:val="lowerLetter"/>
      <w:lvlText w:val="%8."/>
      <w:lvlJc w:val="left"/>
      <w:pPr>
        <w:ind w:left="5760" w:hanging="360"/>
      </w:pPr>
    </w:lvl>
    <w:lvl w:ilvl="8" w:tplc="88305966" w:tentative="1">
      <w:start w:val="1"/>
      <w:numFmt w:val="lowerRoman"/>
      <w:lvlText w:val="%9."/>
      <w:lvlJc w:val="right"/>
      <w:pPr>
        <w:ind w:left="6480" w:hanging="180"/>
      </w:pPr>
    </w:lvl>
  </w:abstractNum>
  <w:abstractNum w:abstractNumId="86276883">
    <w:multiLevelType w:val="hybridMultilevel"/>
    <w:lvl w:ilvl="0" w:tplc="9714984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6276883">
    <w:abstractNumId w:val="86276883"/>
  </w:num>
  <w:num w:numId="86276884">
    <w:abstractNumId w:val="8627688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97729374" Type="http://schemas.microsoft.com/office/2011/relationships/commentsExtended" Target="commentsExtended.xml"/><Relationship Id="rId632401641" Type="http://schemas.microsoft.com/office/2011/relationships/people" Target="people.xml"/><Relationship Id="rId556369eff7a5c7dfb" Type="http://schemas.openxmlformats.org/officeDocument/2006/relationships/hyperlink" Target="https://gd.eppo.int/taxon/ATRPPC/" TargetMode="External"/><Relationship Id="rId590869eff7a5c7e3e" Type="http://schemas.openxmlformats.org/officeDocument/2006/relationships/hyperlink" Target="https://gd.eppo.int/taxon/ATRPPC/categorization" TargetMode="External"/><Relationship Id="rId462769eff7a5c8520" Type="http://schemas.openxmlformats.org/officeDocument/2006/relationships/hyperlink" Target="https://gd.eppo.int/taxon/ATRPPC/photos" TargetMode="External"/><Relationship Id="rId329869eff7a5ca296" Type="http://schemas.openxmlformats.org/officeDocument/2006/relationships/hyperlink" Target="https://www.cabi.org/isc/datasheet/7815" TargetMode="External"/><Relationship Id="rId514869eff7a5ca319" Type="http://schemas.openxmlformats.org/officeDocument/2006/relationships/hyperlink" Target="https://doi.org/10.3390/f8050147" TargetMode="External"/><Relationship Id="rId547369eff7a5ca479" Type="http://schemas.openxmlformats.org/officeDocument/2006/relationships/hyperlink" Target="https://doi.org/10.2903/j.efsa.2019.5731" TargetMode="External"/><Relationship Id="rId161069eff7a5ca52a" Type="http://schemas.openxmlformats.org/officeDocument/2006/relationships/hyperlink" Target="https://efsa.onlinelibrary.wiley.com/doi/full/10.2903/j.efsa.2017.4877" TargetMode="External"/><Relationship Id="rId357269eff7a5ca5bc" Type="http://schemas.openxmlformats.org/officeDocument/2006/relationships/hyperlink" Target="https://doi.org/10.2903/j.efsa.2014.3926" TargetMode="External"/><Relationship Id="rId578269eff7a5ca62c" Type="http://schemas.openxmlformats.org/officeDocument/2006/relationships/hyperlink" Target="https://doi.org/10.1111/epp.12503" TargetMode="External"/><Relationship Id="rId503669eff7a5ca671" Type="http://schemas.openxmlformats.org/officeDocument/2006/relationships/hyperlink" Target="https://gd.eppo.int/taxon/ATRPPC" TargetMode="External"/><Relationship Id="rId338369eff7a5ca751" Type="http://schemas.openxmlformats.org/officeDocument/2006/relationships/hyperlink" Target="https://www.ippc.int/coreactivities/standards-setting/ispms" TargetMode="External"/><Relationship Id="rId271969eff7a5ca7b2" Type="http://schemas.openxmlformats.org/officeDocument/2006/relationships/hyperlink" Target="https://www.ippc.int/coreactivities/standards-setting/ispms" TargetMode="External"/><Relationship Id="rId192169eff7a5ca7f1" Type="http://schemas.openxmlformats.org/officeDocument/2006/relationships/hyperlink" Target="https://www.ncbi.nlm.nih.gov/nucleotide/" TargetMode="External"/><Relationship Id="rId868069eff7a5ca82f" Type="http://schemas.openxmlformats.org/officeDocument/2006/relationships/hyperlink" Target="http://nt.ars-grin.gov/fungaldatabases/" TargetMode="External"/><Relationship Id="rId574969eff7a5caac5" Type="http://schemas.openxmlformats.org/officeDocument/2006/relationships/hyperlink" Target="http://www.nappo.org/files/7714/6013/3041/NAPPO_ST_Heat_treatment_of_wood_woodpkg-e.pdf" TargetMode="External"/><Relationship Id="rId977369eff7a5cab1e" Type="http://schemas.openxmlformats.org/officeDocument/2006/relationships/hyperlink" Target="https://cfs.nrcan.gc.ca/herbarium/fungus/218" TargetMode="External"/><Relationship Id="rId341369eff7a5cad35" Type="http://schemas.openxmlformats.org/officeDocument/2006/relationships/hyperlink" Target="https://www.cabi.org/isc/datasheet/7815" TargetMode="External"/><Relationship Id="rId744969eff7a5cadfe" Type="http://schemas.openxmlformats.org/officeDocument/2006/relationships/hyperlink" Target="https://efsa.onlinelibrary.wiley.com/doi/full/10.2903/j.efsa.2017.4877" TargetMode="External"/><Relationship Id="rId332169eff7a5caf38" Type="http://schemas.openxmlformats.org/officeDocument/2006/relationships/hyperlink" Target="https://gd.eppo.int" TargetMode="External"/><Relationship Id="rId285569eff7a5cb0c4" Type="http://schemas.openxmlformats.org/officeDocument/2006/relationships/hyperlink" Target="https://doi.org/10.1111/j.1365-2338.1979.tb02447.x" TargetMode="External"/><Relationship Id="rId789869eff7a5c83e2" Type="http://schemas.openxmlformats.org/officeDocument/2006/relationships/image" Target="media/imgrId789869eff7a5c83e2.jpg"/><Relationship Id="rId924569eff7a5c9554" Type="http://schemas.openxmlformats.org/officeDocument/2006/relationships/image" Target="media/imgrId924569eff7a5c9554.jpg"/><Relationship Id="rId403569eff7a5cb127" Type="http://schemas.openxmlformats.org/officeDocument/2006/relationships/image" Target="media/imgrId403569eff7a5cb12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