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Aromia bungii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bungii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cyanicornis</w:t>
            </w:r>
            <w:r>
              <w:rPr>
                <w:rFonts w:ascii="Calibri" w:hAnsi="Calibri" w:eastAsia="Calibri" w:cs="Calibri"/>
                <w:color w:val="000000"/>
                <w:position w:val="-3"/>
                <w:sz w:val="22"/>
                <w:szCs w:val="22"/>
              </w:rPr>
              <w:t xml:space="preserve"> Guérin-Méneville, </w:t>
            </w:r>
            <w:r>
              <w:rPr>
                <w:rFonts w:ascii="Calibri" w:hAnsi="Calibri" w:eastAsia="Calibri" w:cs="Calibri"/>
                <w:i/>
                <w:iCs/>
                <w:color w:val="000000"/>
                <w:position w:val="-3"/>
                <w:sz w:val="22"/>
                <w:szCs w:val="22"/>
              </w:rPr>
              <w:t xml:space="preserve">Aromia ruficollis</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Callichroma bungii</w:t>
            </w:r>
            <w:r>
              <w:rPr>
                <w:rFonts w:ascii="Calibri" w:hAnsi="Calibri" w:eastAsia="Calibri" w:cs="Calibri"/>
                <w:color w:val="000000"/>
                <w:position w:val="-3"/>
                <w:sz w:val="22"/>
                <w:szCs w:val="22"/>
              </w:rPr>
              <w:t xml:space="preserve"> Bates, </w:t>
            </w:r>
            <w:r>
              <w:rPr>
                <w:rFonts w:ascii="Calibri" w:hAnsi="Calibri" w:eastAsia="Calibri" w:cs="Calibri"/>
                <w:i/>
                <w:iCs/>
                <w:color w:val="000000"/>
                <w:position w:val="-3"/>
                <w:sz w:val="22"/>
                <w:szCs w:val="22"/>
              </w:rPr>
              <w:t xml:space="preserve">Callichroma ruficolle</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Cerambyx bungii</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borer, peach longicorn beetle, peach musk beetle, peach red necked longhorn, plum and peach longhorn, red neck longhorned beetle (US)</w:t>
            </w:r>
            <w:hyperlink r:id="rId99656622d1b69a24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44726622d1b69a2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AROMBU</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69333174" name="name56256622d1b69a8ad" descr="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0.jpg"/>
                          <pic:cNvPicPr/>
                        </pic:nvPicPr>
                        <pic:blipFill>
                          <a:blip r:embed="rId84026622d1b69a8ab" cstate="print"/>
                          <a:stretch>
                            <a:fillRect/>
                          </a:stretch>
                        </pic:blipFill>
                        <pic:spPr>
                          <a:xfrm>
                            <a:off x="0" y="0"/>
                            <a:ext cx="2160000" cy="1209600"/>
                          </a:xfrm>
                          <a:prstGeom prst="rect">
                            <a:avLst/>
                          </a:prstGeom>
                          <a:ln w="0">
                            <a:noFill/>
                          </a:ln>
                        </pic:spPr>
                      </pic:pic>
                    </a:graphicData>
                  </a:graphic>
                </wp:inline>
              </w:drawing>
            </w:r>
            <w:hyperlink r:id="rId61806622d1b69a96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is an oligophagous wood-borer. Its host range is predominantly limited to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Other host plants belonging to different families are reported in the literature, for example, from Ebenaceae (Shandong Academy of Environmental Science, 2009) and Salicaceae (Lei &amp; Zhou, 1998), but sometimes with doubtful supporting evidence (CABI, 2019). See EPPO (2014) for other plant species reported as associated with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but without supporting information. In Italy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has been found on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and Prunus avium </w:t>
      </w:r>
      <w:r>
        <w:rPr>
          <w:rFonts w:ascii="Calibri" w:hAnsi="Calibri" w:eastAsia="Calibri" w:cs="Calibri"/>
          <w:color w:val="000000"/>
          <w:sz w:val="22"/>
          <w:szCs w:val="22"/>
        </w:rPr>
        <w:t xml:space="preserve">(Regione Lombardia, 2020)</w:t>
      </w:r>
      <w:r>
        <w:rPr>
          <w:rFonts w:ascii="Calibri" w:hAnsi="Calibri" w:eastAsia="Calibri" w:cs="Calibri"/>
          <w:i/>
          <w:iCs/>
          <w:color w:val="000000"/>
          <w:sz w:val="22"/>
          <w:szCs w:val="22"/>
        </w:rPr>
        <w:t xml:space="preserve">. Prunus domestica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insititia </w:t>
      </w:r>
      <w:r>
        <w:rPr>
          <w:rFonts w:ascii="Calibri" w:hAnsi="Calibri" w:eastAsia="Calibri" w:cs="Calibri"/>
          <w:color w:val="000000"/>
          <w:sz w:val="22"/>
          <w:szCs w:val="22"/>
        </w:rPr>
        <w:t xml:space="preserve">is a host in Germany (Burmeister,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Japan,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of recent introduction (first reported in 2012). In the EPPO region, isolated outbreaks were reported in Western Europe: in 2011 and 2016 in Bavaria (Germany), in 2012 and 2016 in Campania (Italy), in 2013 in Lombardy (Italy). In some outbreaks, eradication measures are being implemented, in others containment measures are in place.</w:t>
      </w:r>
    </w:p>
    <w:p>
      <w:r>
        <w:drawing>
          <wp:inline distT="0" distB="0" distL="0" distR="0">
            <wp:extent cx="6120000" cy="3067200"/>
            <wp:docPr id="40917570" name="name62976622d1b69b448" descr="AROMB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BU_distribution_map.jpg"/>
                    <pic:cNvPicPr/>
                  </pic:nvPicPr>
                  <pic:blipFill>
                    <a:blip r:embed="rId34516622d1b69b44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Heilongjiang, Henan, Hubei, Hunan, Jiangsu, Jiangxi, Jilin, Liaoning, Neimenggu, Shaanxi, Shandong, Shanxi, Sichuan, Xianggang (Hong Kong), Yunnan, Zhejiang), Japan (Honshu, Shikoku), Korea Dem. People's Republic, Korea, Republic, Mongolia,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shiny black beetle, with a characteristic red pronotum, equipped with tubercles. The adults reach 22-38 mm long.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develops mainly on fruit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can live in urban areas, orchards and forests (Gressitt, 1942; 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life cycle is 2–4 years depending on the latitude and the climate. The flight period occurs from June to August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Garonna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pupation occurs from mid-May and the period of maximum presence of adults is between mid-July and early August (Regione Lombardia,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bark crevices on the trunk, but also on the main branches of healthy or stressed living trees (e.g. eggs have been found up to 2 m off the ground) (Gressitt, 1942; Wu &amp; Li, 2005; De la Peña et al.., 2019). Females can lay eggs on the graft scar of young trees (≥6 cm diameter) (EPPO, 2013). Eggs hatch after approximately 1 week and newly-hatched larvae begin feeding immediately. Larvae bore galleries under bark, in the sapwood and heartwood and eject frass from their gallery at least once a day during their period of activity which starts a few days after hatching (Gressitt, 1942;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complete gallery can reach 50–60 cm in length (Gressitt, 1942; Duffy, 1968; Wu &amp; Li, 2005; Yu &amp; Gao, 2005; Griffo, 2012). The galleries tend to widen according to the diametric growth of the larvae and take on a typically elliptical section shape. Inside the same tree, larvae of different stages can coexist, due to the overlapping of several generations (Regione Lombardia, 2020). There is no record of infestation in the roots. Pupation occurs in a pupal cell in the heartwood.</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 from the host through circular or elliptical holes. The lifecycle from egg hatching to adult emergence ranges from 2-4 years depending on the local conditions, quality of the host, latitude and climatic conditions, mean temperature being a good predictor of the duration of the life cycle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feed on bark from young branches (Regione Lombardia, 2020). Adults are diurnal and live 15–20 days. Each female lays 350–730 eggs during its lifetime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infested trees is possible during the larval activity period by observation of the frass emitted which may be observed, mainly at the base of the trunk (although some may be seen on the bark). This reddish frass (which is like sawdust) is ejected by young larvae starting from a few days after hatching and its volume increases with the age and size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also be observed quite easily because of their diurnal activity, their shiny black colour and the characteristic red pronotum.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approximately 2 mm in length (Vicinanza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whitish. They are laid in crevices in the bark.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2 – 2.5 mm long. Mature larvae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reach 38–50 mm though there is great variability between individuals. The body is whitish with blackish tips and bases of mandibles. The prothorax has an irregular and symmetrical reddish strip on the front. The shape of this strip is specific and useful to identify the pest at the larval stage. The number of larval instars is not known.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exarate and whitish and 26–36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length is from 28 to 31 mm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Antennae are much longer than the body in males and as long as the body in females. The typical adult form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easily recognizable with its shiny black elytrae and its bright red pronotum which is the reason for its common name ‘red neck longhorn beetle’.</w:t>
      </w:r>
    </w:p>
    <w:p>
      <w:pPr>
        <w:widowControl w:val="on"/>
        <w:pBdr/>
        <w:spacing w:before="220" w:after="220" w:line="240" w:lineRule="auto"/>
        <w:ind w:left="0" w:right="0"/>
        <w:jc w:val="both"/>
      </w:pPr>
      <w:r>
        <w:rPr>
          <w:rFonts w:ascii="Calibri" w:hAnsi="Calibri" w:eastAsia="Calibri" w:cs="Calibri"/>
          <w:color w:val="000000"/>
          <w:sz w:val="22"/>
          <w:szCs w:val="22"/>
        </w:rPr>
        <w:t xml:space="preserve">The chromatic variety </w:t>
      </w:r>
      <w:r>
        <w:rPr>
          <w:rFonts w:ascii="Calibri" w:hAnsi="Calibri" w:eastAsia="Calibri" w:cs="Calibri"/>
          <w:i/>
          <w:iCs/>
          <w:color w:val="000000"/>
          <w:sz w:val="22"/>
          <w:szCs w:val="22"/>
        </w:rPr>
        <w:t xml:space="preserve">cyanicornis </w:t>
      </w:r>
      <w:r>
        <w:rPr>
          <w:rFonts w:ascii="Calibri" w:hAnsi="Calibri" w:eastAsia="Calibri" w:cs="Calibri"/>
          <w:color w:val="000000"/>
          <w:sz w:val="22"/>
          <w:szCs w:val="22"/>
        </w:rPr>
        <w:t xml:space="preserve">Guérin-Méneville, 1845 is entirely shiny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deposited externally.  However, the frass becomes easier to see as the larvae mature as there is accumulation of frass on the ground at the base of the tree. This sign can be confused with frass ejected by </w:t>
      </w:r>
      <w:r>
        <w:rPr>
          <w:rFonts w:ascii="Calibri" w:hAnsi="Calibri" w:eastAsia="Calibri" w:cs="Calibri"/>
          <w:i/>
          <w:iCs/>
          <w:color w:val="000000"/>
          <w:sz w:val="22"/>
          <w:szCs w:val="22"/>
        </w:rPr>
        <w:t xml:space="preserve">Cossus cossus </w:t>
      </w:r>
      <w:r>
        <w:rPr>
          <w:rFonts w:ascii="Calibri" w:hAnsi="Calibri" w:eastAsia="Calibri" w:cs="Calibri"/>
          <w:color w:val="000000"/>
          <w:sz w:val="22"/>
          <w:szCs w:val="22"/>
        </w:rPr>
        <w:t xml:space="preserve">(Linnaeus 1758), </w:t>
      </w:r>
      <w:r>
        <w:rPr>
          <w:rFonts w:ascii="Calibri" w:hAnsi="Calibri" w:eastAsia="Calibri" w:cs="Calibri"/>
          <w:i/>
          <w:iCs/>
          <w:color w:val="000000"/>
          <w:sz w:val="22"/>
          <w:szCs w:val="22"/>
        </w:rPr>
        <w:t xml:space="preserve">Zeuzera pyrina</w:t>
      </w:r>
      <w:r>
        <w:rPr>
          <w:rFonts w:ascii="Calibri" w:hAnsi="Calibri" w:eastAsia="Calibri" w:cs="Calibri"/>
          <w:color w:val="000000"/>
          <w:sz w:val="22"/>
          <w:szCs w:val="22"/>
        </w:rPr>
        <w:t xml:space="preserve"> (Linnaeus, 1761) (Lepidoptera: Cossidae) or </w:t>
      </w:r>
      <w:r>
        <w:rPr>
          <w:rFonts w:ascii="Calibri" w:hAnsi="Calibri" w:eastAsia="Calibri" w:cs="Calibri"/>
          <w:i/>
          <w:iCs/>
          <w:color w:val="000000"/>
          <w:sz w:val="22"/>
          <w:szCs w:val="22"/>
        </w:rPr>
        <w:t xml:space="preserve">Capnodis tenebrionis </w:t>
      </w:r>
      <w:r>
        <w:rPr>
          <w:rFonts w:ascii="Calibri" w:hAnsi="Calibri" w:eastAsia="Calibri" w:cs="Calibri"/>
          <w:color w:val="000000"/>
          <w:sz w:val="22"/>
          <w:szCs w:val="22"/>
        </w:rPr>
        <w:t xml:space="preserve">(Linnaeus 1758) (Coleoptera: Buprestidae) all common pests on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in the EPPO region. To have confirmation that a plant is infested by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and not by another pest, it is essential to identify the larva by morphological and biomolecular analysis or to perform biomolecular analysis of the frass. Exit holes may be visible on the trunk of host plants after the first generation has emerged.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In according to De la Peña (2019), molecular identification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possible by PCR amplification of the ribosomal 28S and the mitochondrial cytochrome c oxidase subunit I (COI) genes. Molecular identification by DNA sequencing of the COI gene can be used for all the developmental stages and COI sequences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available in Genbank (Zhang and Ren., unpublished data, 2016).</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non-invasive identification methods based on PCR amplification of DNA obtained from frass that could be used for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identification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Everatt, 2019;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 </w:t>
      </w:r>
    </w:p>
    <w:p>
      <w:pPr>
        <w:widowControl w:val="on"/>
        <w:pBdr/>
        <w:spacing w:before="220" w:after="220" w:line="240" w:lineRule="auto"/>
        <w:ind w:left="0" w:right="0"/>
        <w:jc w:val="both"/>
      </w:pPr>
      <w:r>
        <w:rPr>
          <w:rFonts w:ascii="Calibri" w:hAnsi="Calibri" w:eastAsia="Calibri" w:cs="Calibri"/>
          <w:color w:val="000000"/>
          <w:sz w:val="22"/>
          <w:szCs w:val="22"/>
        </w:rPr>
        <w:t xml:space="preserve">Bottle traps containing fermenting liquids as a lure have been used but efficacy of these baits is poor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Field trials in Japan and China, using racemic (E)-2-cis-6,7-epoxynonenal lures have shown that the species can be trapped efficiently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introduction pathway for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into the EPPO region is probably wood packaging. Other possible pathways are wood or wooden products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which are large enough to sustain live larvae until adult emergence. Plants for planting and bonsais may also sustain eggs or young larvae. Living adults may hitch-hike in imported goods but there is no record confirming this.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specific information on the flight distance, the natural spread of adults is considered to be similar to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spp. (i.e.</w:t>
      </w:r>
      <w:r>
        <w:rPr>
          <w:rFonts w:ascii="Calibri" w:hAnsi="Calibri" w:eastAsia="Calibri" w:cs="Calibri"/>
          <w:i/>
          <w:iCs/>
          <w:color w:val="000000"/>
          <w:sz w:val="22"/>
          <w:szCs w:val="22"/>
        </w:rPr>
        <w:t xml:space="preserve"> A. glabripennis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 estimated to have a spread range of 2–3 km per season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this distance is influenced by the abundance of and degree of proximity to suitable host plants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Analyses of infestation foci in Italy (Lombardy and Campania) indicate a spread rate of approximately 2 km in 6 years in Lombardy, while in Campania the species reached 5 km after 6 years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economic importance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mainly based on data from China on cultivated apricot, peach and plum trees in orchards. It is considered to be very destructive on peach and apricot, but it can also cause considerable damage to plums and cherry. The production of wood of wild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may also be affected.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was also considered as an emerging pest (Gressitt, 1942; Duffy, 1968;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Wu &amp; Li, 2005; Shandong Ecological Afforestation Project (SEAP), 2009;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also considered as a pest for forest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is only caused by the larvae, which bore into the wood soon after hatching, producing tunnels in the branches and the trunk (Gressitt, 1942). Galleries in the cambium zone stop the circulation of the sap, killing the associated tissues, weakening the tree, and reducing the fruit production. Extensive infestations result in tree death (Duffy, 1968; Wu &amp; Li, 2005; Yu &amp; Gao, 2005; Griffo,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xylophagous cerambycid: the larvae feed by digging tunnels inside the wood of the trunk and/or the main branches, both of healthy plants and of guests suffering from various biotic and abiotic stresses (Regione Lombardia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difficult because the larva penetrates rapidly under the bark and therefore it cannot be controlled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are similar to those used against others cerambycids such as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consisting of the destruction and the removal of infested trees. Some insecticides currently used against other pests in orchards in integrated pest management programmes are likely to also be effective against adults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some generalist parasitoids and predators could probably adapt to the different immature stages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although they are unlikely to control the pest to levels that will prevent economic damage. Biological control has evaluated in China with entomopathogenic fungi and nematodes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using a combination of biocontrol agents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the EPPO region only limited outbreaks have occurred. No significant damage to professional orchards has been reported, but most of the infested trees are located in private gardens or small orchards.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does not seem to be attracted to ornamental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since the host species are species used for fruit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those of its main host plants, it is predicted that the limits of the potential distribution for the EPPO region are the southern part of Scandinavia and the eastern part of the Russian Federation, therefore the zone at risk covers a huge area. The risk of establishment, spread and damage is greater in southern countries because the life cycle is shorter and the main host trees (plum, peach, apricot) are abundant.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pathways for introduction are wood packaging and plants for planting. The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plants for planting is already prohibited in many EPPO countries. Since 1998, wood packaging material should be submitted to ISPM 15 treatments and should therefore be free of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2014)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at the place of production and visual inspection of the consignment should be used as part of a system approach. Plants for planting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should originate from areas free from the pest or be grown under insect-proof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wood commodities should originate from areas free from the pest or undergo heat treatment, irradiation, or chipping (to pieces less than 2.5 cm in all dimensions or 1.5 cm in 2 dimensions). Alternatively, they may be imported for processing at specific times of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material should be treated according to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Burmeister EG (2012) Der asiatische moschusbock in Bayern ausgerottet!? Ein Kafer, neu fur Deutschland, im Paragraphendschungel (Coleoptera: Cerambycidae,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1835)). </w:t>
      </w:r>
      <w:r>
        <w:rPr>
          <w:rFonts w:ascii="Calibri" w:hAnsi="Calibri" w:eastAsia="Calibri" w:cs="Calibri"/>
          <w:i/>
          <w:iCs/>
          <w:color w:val="000000"/>
          <w:sz w:val="22"/>
          <w:szCs w:val="22"/>
        </w:rPr>
        <w:t xml:space="preserve">Nachrichtenblatt der Bayerischen Entomologen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80–82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report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(red necked longicorn) </w:t>
      </w:r>
      <w:hyperlink r:id="rId80006622d1b69c695" w:history="1">
        <w:r>
          <w:rPr>
            <w:rFonts w:ascii="Calibri" w:hAnsi="Calibri" w:eastAsia="Calibri" w:cs="Calibri"/>
            <w:color w:val="0000CC"/>
            <w:sz w:val="22"/>
            <w:szCs w:val="22"/>
            <w:u w:val="single"/>
          </w:rPr>
          <w:t xml:space="preserve">https://www.cabi.org/ISC/datasheetreport/118984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Peña E, Schrader G, &amp; Vos S (2019). Pest survey card on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EFSA Supporting Publications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w:t>
      </w:r>
      <w:hyperlink r:id="rId13346622d1b69c716" w:history="1">
        <w:r>
          <w:rPr>
            <w:rFonts w:ascii="Calibri" w:hAnsi="Calibri" w:eastAsia="Calibri" w:cs="Calibri"/>
            <w:color w:val="0000CC"/>
            <w:sz w:val="22"/>
            <w:szCs w:val="22"/>
            <w:u w:val="single"/>
          </w:rPr>
          <w:t xml:space="preserve">https://doi.org/10.2903/sp.efsa.2019.EN-1731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editor, London: 434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(2012a)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Germany: addition to the EPPO Alert List.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2012/090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(2012b)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2012-10-01, 2012/204.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found for the first time in Lombardia region,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2013/187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EWG Expert Working Group for performing a PRA on </w:t>
      </w:r>
      <w:r>
        <w:rPr>
          <w:rFonts w:ascii="Calibri" w:hAnsi="Calibri" w:eastAsia="Calibri" w:cs="Calibri"/>
          <w:i/>
          <w:iCs/>
          <w:color w:val="000000"/>
          <w:sz w:val="22"/>
          <w:szCs w:val="22"/>
        </w:rPr>
        <w:t xml:space="preserve">Aromia bungii</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PRA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Available at </w:t>
      </w:r>
      <w:hyperlink r:id="rId69766622d1b69c90c" w:history="1">
        <w:r>
          <w:rPr>
            <w:rFonts w:ascii="Calibri" w:hAnsi="Calibri" w:eastAsia="Calibri" w:cs="Calibri"/>
            <w:color w:val="0000CC"/>
            <w:sz w:val="22"/>
            <w:szCs w:val="22"/>
            <w:u w:val="single"/>
          </w:rPr>
          <w:t xml:space="preserve">https://gd.eppo.int/taxon/AROMBU/documents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Everatt M (2019) Pest specific plant health response plan: Outbreaks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Defra.</w:t>
      </w:r>
    </w:p>
    <w:p>
      <w:pPr>
        <w:widowControl w:val="on"/>
        <w:pBdr/>
        <w:spacing w:before="220" w:after="220" w:line="240" w:lineRule="auto"/>
        <w:ind w:left="0" w:right="0"/>
        <w:jc w:val="left"/>
      </w:pPr>
      <w:r>
        <w:rPr>
          <w:rFonts w:ascii="Calibri" w:hAnsi="Calibri" w:eastAsia="Calibri" w:cs="Calibri"/>
          <w:color w:val="000000"/>
          <w:sz w:val="22"/>
          <w:szCs w:val="22"/>
        </w:rPr>
        <w:t xml:space="preserve">Garonna AP, Nugnes F, Espinosa B (2013)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nuovo tarlo asiatico ritrovato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Huang A, Tang Y &amp; Xiong J (2013) Summary of IPM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Biological Disaster Science,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(4), 430-433.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(2012) Le segnalazioni di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PowerPoint presentation, 26 pp. Available at </w:t>
      </w:r>
      <w:hyperlink r:id="rId84316622d1b69cb60" w:history="1">
        <w:r>
          <w:rPr>
            <w:rFonts w:ascii="Calibri" w:hAnsi="Calibri" w:eastAsia="Calibri" w:cs="Calibri"/>
            <w:color w:val="0000CC"/>
            <w:sz w:val="22"/>
            <w:szCs w:val="22"/>
            <w:u w:val="single"/>
          </w:rPr>
          <w:t xml:space="preserve">https://www.slideshare.net/ImageLine/raffaele-griffoaromiabungiifmv2012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P, Yu DY, Yao JA, Wang JM &amp; Fang DL (2012) Identification and damages of three kinds of longicorn as well as their synthetical prevention on plum trees. </w:t>
      </w:r>
      <w:r>
        <w:rPr>
          <w:rFonts w:ascii="Calibri" w:hAnsi="Calibri" w:eastAsia="Calibri" w:cs="Calibri"/>
          <w:i/>
          <w:iCs/>
          <w:color w:val="000000"/>
          <w:sz w:val="22"/>
          <w:szCs w:val="22"/>
        </w:rPr>
        <w:t xml:space="preserve">Biological Disaster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97–101. </w:t>
      </w:r>
    </w:p>
    <w:p>
      <w:pPr>
        <w:widowControl w:val="on"/>
        <w:pBdr/>
        <w:spacing w:before="220" w:after="220" w:line="240" w:lineRule="auto"/>
        <w:ind w:left="0" w:right="0"/>
        <w:jc w:val="left"/>
      </w:pPr>
      <w:r>
        <w:rPr>
          <w:rFonts w:ascii="Calibri" w:hAnsi="Calibri" w:eastAsia="Calibri" w:cs="Calibri"/>
          <w:color w:val="000000"/>
          <w:sz w:val="22"/>
          <w:szCs w:val="22"/>
        </w:rPr>
        <w:t xml:space="preserve">Liu QiZhi, Wang YuZhu &amp; Zhou HaiYing, (1997) Application of entomopathogenic nematodes for controlling larvae of RLB. </w:t>
      </w:r>
      <w:r>
        <w:rPr>
          <w:rFonts w:ascii="Calibri" w:hAnsi="Calibri" w:eastAsia="Calibri" w:cs="Calibri"/>
          <w:i/>
          <w:iCs/>
          <w:color w:val="000000"/>
          <w:sz w:val="22"/>
          <w:szCs w:val="22"/>
        </w:rPr>
        <w:t xml:space="preserve">Acta Agriculturae Boreali-Sinica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Ma W, Sun L, Yu L, Wang J &amp; Chen J (2007) Study on the occurrence and life history in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w:t>
      </w:r>
      <w:r>
        <w:rPr>
          <w:rFonts w:ascii="Calibri" w:hAnsi="Calibri" w:eastAsia="Calibri" w:cs="Calibri"/>
          <w:i/>
          <w:iCs/>
          <w:color w:val="000000"/>
          <w:sz w:val="22"/>
          <w:szCs w:val="22"/>
        </w:rPr>
        <w:t xml:space="preserve">Acta Agriculturae Boreali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247–249.</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 </w:t>
      </w:r>
      <w:hyperlink r:id="rId52456622d1b69cd01"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https://www.regione.lombardia.it/wps/portal/istituzionale/HP/DettaglioRedazionale/servizi-e-informazioni/Imprese/Imprese-agricole/servizio-fitosanitario-regionale/organismi-nocivi/aromia-bungii/aromia-bungii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E, Nugnes F, Vicinanza F, Garonna AP, &amp; Bernardo U (2020) Biological and molecular characterization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1835)(Coleoptera: Cerambycidae), an emerging pest of stone fruits in Europe.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Schröder T (2012) </w:t>
      </w:r>
      <w:r>
        <w:rPr>
          <w:rFonts w:ascii="Calibri" w:hAnsi="Calibri" w:eastAsia="Calibri" w:cs="Calibri"/>
          <w:i/>
          <w:iCs/>
          <w:color w:val="000000"/>
          <w:sz w:val="22"/>
          <w:szCs w:val="22"/>
        </w:rPr>
        <w:t xml:space="preserve">Express PRA for Aromia bungii</w:t>
      </w:r>
      <w:r>
        <w:rPr>
          <w:rFonts w:ascii="Calibri" w:hAnsi="Calibri" w:eastAsia="Calibri" w:cs="Calibri"/>
          <w:color w:val="000000"/>
          <w:sz w:val="22"/>
          <w:szCs w:val="22"/>
        </w:rPr>
        <w:t xml:space="preserve">. Translated by E. Vogt-Arndt, 7 pp. Institut für nationale und international Angelegenheiten der Pflanzengesundheit.</w:t>
      </w:r>
    </w:p>
    <w:p>
      <w:pPr>
        <w:widowControl w:val="on"/>
        <w:pBdr/>
        <w:spacing w:before="220" w:after="220" w:line="240" w:lineRule="auto"/>
        <w:ind w:left="0" w:right="0"/>
        <w:jc w:val="left"/>
      </w:pPr>
      <w:r>
        <w:rPr>
          <w:rFonts w:ascii="Calibri" w:hAnsi="Calibri" w:eastAsia="Calibri" w:cs="Calibri"/>
          <w:color w:val="000000"/>
          <w:sz w:val="22"/>
          <w:szCs w:val="22"/>
        </w:rPr>
        <w:t xml:space="preserve">Shandong Ecological Afforestation Project (SEAP) (2009) </w:t>
      </w:r>
      <w:r>
        <w:rPr>
          <w:rFonts w:ascii="Calibri" w:hAnsi="Calibri" w:eastAsia="Calibri" w:cs="Calibri"/>
          <w:i/>
          <w:iCs/>
          <w:color w:val="000000"/>
          <w:sz w:val="22"/>
          <w:szCs w:val="22"/>
        </w:rPr>
        <w:t xml:space="preserve">Integrated pest management plan</w:t>
      </w:r>
      <w:r>
        <w:rPr>
          <w:rFonts w:ascii="Calibri" w:hAnsi="Calibri" w:eastAsia="Calibri" w:cs="Calibri"/>
          <w:color w:val="000000"/>
          <w:sz w:val="22"/>
          <w:szCs w:val="22"/>
        </w:rPr>
        <w:t xml:space="preserve">, E2221 v2, 40 pp. Shandong Academy of Environmental Science.</w:t>
      </w:r>
    </w:p>
    <w:p>
      <w:pPr>
        <w:widowControl w:val="on"/>
        <w:pBdr/>
        <w:spacing w:before="220" w:after="220" w:line="240" w:lineRule="auto"/>
        <w:ind w:left="0" w:right="0"/>
        <w:jc w:val="left"/>
      </w:pPr>
      <w:r>
        <w:rPr>
          <w:rFonts w:ascii="Calibri" w:hAnsi="Calibri" w:eastAsia="Calibri" w:cs="Calibri"/>
          <w:color w:val="000000"/>
          <w:sz w:val="22"/>
          <w:szCs w:val="22"/>
        </w:rPr>
        <w:t xml:space="preserve">Shi Y, Shi Y, &amp; Lu Q (2009) Isolation and identification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adult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Inner Mongolia Forestry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40-41.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(2009) NPAG report: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Redneck longhorned beetle Coleoptera/Cerambycidae. New Pest Advisory Group (NPAG), Plant Epidemiology and Risk Analysis Laboratory, Center for Plant Health Science &amp; Technology, APHIS, USDA.</w:t>
      </w:r>
    </w:p>
    <w:p>
      <w:pPr>
        <w:widowControl w:val="on"/>
        <w:pBdr/>
        <w:spacing w:before="220" w:after="220" w:line="240" w:lineRule="auto"/>
        <w:ind w:left="0" w:right="0"/>
        <w:jc w:val="left"/>
      </w:pPr>
      <w:r>
        <w:rPr>
          <w:rFonts w:ascii="Calibri" w:hAnsi="Calibri" w:eastAsia="Calibri" w:cs="Calibri"/>
          <w:color w:val="000000"/>
          <w:sz w:val="22"/>
          <w:szCs w:val="22"/>
        </w:rPr>
        <w:t xml:space="preserve">Vicinanza F, Garonna PA &amp; Griffo R (2017)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cerambice che in Campania insidia le drupacee. Supplemento a Vita in campagna, 27-29.</w:t>
      </w:r>
    </w:p>
    <w:p>
      <w:pPr>
        <w:widowControl w:val="on"/>
        <w:pBdr/>
        <w:spacing w:before="220" w:after="220" w:line="240" w:lineRule="auto"/>
        <w:ind w:left="0" w:right="0"/>
        <w:jc w:val="left"/>
      </w:pPr>
      <w:r>
        <w:rPr>
          <w:rFonts w:ascii="Calibri" w:hAnsi="Calibri" w:eastAsia="Calibri" w:cs="Calibri"/>
          <w:color w:val="000000"/>
          <w:sz w:val="22"/>
          <w:szCs w:val="22"/>
        </w:rPr>
        <w:t xml:space="preserve">Wen HR, Yu SY &amp; Chu JY (2010) Technology of prevention and control of major pests and diseases of stone economic forests. </w:t>
      </w:r>
      <w:r>
        <w:rPr>
          <w:rFonts w:ascii="Calibri" w:hAnsi="Calibri" w:eastAsia="Calibri" w:cs="Calibri"/>
          <w:i/>
          <w:iCs/>
          <w:color w:val="000000"/>
          <w:sz w:val="22"/>
          <w:szCs w:val="22"/>
        </w:rPr>
        <w:t xml:space="preserve">Journal of Liaoning Forestry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Wu J &amp; Li Y (2005) </w:t>
      </w:r>
      <w:r>
        <w:rPr>
          <w:rFonts w:ascii="Calibri" w:hAnsi="Calibri" w:eastAsia="Calibri" w:cs="Calibri"/>
          <w:i/>
          <w:iCs/>
          <w:color w:val="000000"/>
          <w:sz w:val="22"/>
          <w:szCs w:val="22"/>
        </w:rPr>
        <w:t xml:space="preserve">Chapter 14. Branch borers: China Teaching syllabus of Northwest A &amp; F University</w:t>
      </w:r>
      <w:r>
        <w:rPr>
          <w:rFonts w:ascii="Calibri" w:hAnsi="Calibri" w:eastAsia="Calibri" w:cs="Calibri"/>
          <w:color w:val="000000"/>
          <w:sz w:val="22"/>
          <w:szCs w:val="22"/>
        </w:rPr>
        <w:t xml:space="preserve">. A &amp; F University, Yangling, Shaanxi Province.</w:t>
      </w:r>
    </w:p>
    <w:p>
      <w:pPr>
        <w:widowControl w:val="on"/>
        <w:pBdr/>
        <w:spacing w:before="220" w:after="220" w:line="240" w:lineRule="auto"/>
        <w:ind w:left="0" w:right="0"/>
        <w:jc w:val="left"/>
      </w:pPr>
      <w:r>
        <w:rPr>
          <w:rFonts w:ascii="Calibri" w:hAnsi="Calibri" w:eastAsia="Calibri" w:cs="Calibri"/>
          <w:color w:val="000000"/>
          <w:sz w:val="22"/>
          <w:szCs w:val="22"/>
        </w:rPr>
        <w:t xml:space="preserve">Yang HW &amp; Chen S (1999) Utilization of entomogenous nematodes for control of insect pests.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Yu GP &amp; Gao BN (2005) Bionomics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15–16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Zeng C &amp; Zhang JL (2000) Bionomics and control techniques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Zou Y, Hansen L, Xu T, Teale SA, Hao D &amp; Millar JG (2019) Optimizing pheromone-based lures for the invasive red-necked longhorn beetle,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(3), 1217–1225. </w:t>
      </w:r>
      <w:hyperlink r:id="rId92986622d1b69d221" w:history="1">
        <w:r>
          <w:rPr>
            <w:rFonts w:ascii="Calibri" w:hAnsi="Calibri" w:eastAsia="Calibri" w:cs="Calibri"/>
            <w:color w:val="0000CC"/>
            <w:sz w:val="22"/>
            <w:szCs w:val="22"/>
            <w:u w:val="single"/>
          </w:rPr>
          <w:t xml:space="preserve">https://doi.org/10.1007/s10340-019-01108-6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(Regione Lombardia).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EPPO datasheets on pests recommended for regulation. Available online. </w:t>
      </w:r>
      <w:hyperlink r:id="rId69336622d1b69d2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4-8. </w:t>
      </w:r>
      <w:hyperlink r:id="rId76366622d1b69d3c4" w:history="1">
        <w:r>
          <w:rPr>
            <w:rFonts w:ascii="Calibri" w:hAnsi="Calibri" w:eastAsia="Calibri" w:cs="Calibri"/>
            <w:color w:val="0000CC"/>
            <w:sz w:val="22"/>
            <w:szCs w:val="22"/>
            <w:u w:val="single"/>
          </w:rPr>
          <w:t xml:space="preserve">https://doi.org/10.1111/epp.12173</w:t>
        </w:r>
      </w:hyperlink>
      <w:r>
        <w:rPr>
          <w:rFonts w:ascii="Calibri" w:hAnsi="Calibri" w:eastAsia="Calibri" w:cs="Calibri"/>
          <w:color w:val="000000"/>
          <w:sz w:val="22"/>
          <w:szCs w:val="22"/>
        </w:rPr>
        <w:t xml:space="preserve"> </w:t>
      </w:r>
    </w:p>
    <w:p>
      <w:r>
        <w:drawing>
          <wp:inline distT="0" distB="0" distL="0" distR="0">
            <wp:extent cx="1800000" cy="604800"/>
            <wp:docPr id="12276787" name="name58586622d1b69d73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106622d1b69d73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696429">
    <w:multiLevelType w:val="hybridMultilevel"/>
    <w:lvl w:ilvl="0" w:tplc="76110432">
      <w:start w:val="1"/>
      <w:numFmt w:val="decimal"/>
      <w:lvlText w:val="%1."/>
      <w:lvlJc w:val="left"/>
      <w:pPr>
        <w:ind w:left="720" w:hanging="360"/>
      </w:pPr>
    </w:lvl>
    <w:lvl w:ilvl="1" w:tplc="76110432" w:tentative="1">
      <w:start w:val="1"/>
      <w:numFmt w:val="lowerLetter"/>
      <w:lvlText w:val="%2."/>
      <w:lvlJc w:val="left"/>
      <w:pPr>
        <w:ind w:left="1440" w:hanging="360"/>
      </w:pPr>
    </w:lvl>
    <w:lvl w:ilvl="2" w:tplc="76110432" w:tentative="1">
      <w:start w:val="1"/>
      <w:numFmt w:val="lowerRoman"/>
      <w:lvlText w:val="%3."/>
      <w:lvlJc w:val="right"/>
      <w:pPr>
        <w:ind w:left="2160" w:hanging="180"/>
      </w:pPr>
    </w:lvl>
    <w:lvl w:ilvl="3" w:tplc="76110432" w:tentative="1">
      <w:start w:val="1"/>
      <w:numFmt w:val="decimal"/>
      <w:lvlText w:val="%4."/>
      <w:lvlJc w:val="left"/>
      <w:pPr>
        <w:ind w:left="2880" w:hanging="360"/>
      </w:pPr>
    </w:lvl>
    <w:lvl w:ilvl="4" w:tplc="76110432" w:tentative="1">
      <w:start w:val="1"/>
      <w:numFmt w:val="lowerLetter"/>
      <w:lvlText w:val="%5."/>
      <w:lvlJc w:val="left"/>
      <w:pPr>
        <w:ind w:left="3600" w:hanging="360"/>
      </w:pPr>
    </w:lvl>
    <w:lvl w:ilvl="5" w:tplc="76110432" w:tentative="1">
      <w:start w:val="1"/>
      <w:numFmt w:val="lowerRoman"/>
      <w:lvlText w:val="%6."/>
      <w:lvlJc w:val="right"/>
      <w:pPr>
        <w:ind w:left="4320" w:hanging="180"/>
      </w:pPr>
    </w:lvl>
    <w:lvl w:ilvl="6" w:tplc="76110432" w:tentative="1">
      <w:start w:val="1"/>
      <w:numFmt w:val="decimal"/>
      <w:lvlText w:val="%7."/>
      <w:lvlJc w:val="left"/>
      <w:pPr>
        <w:ind w:left="5040" w:hanging="360"/>
      </w:pPr>
    </w:lvl>
    <w:lvl w:ilvl="7" w:tplc="76110432" w:tentative="1">
      <w:start w:val="1"/>
      <w:numFmt w:val="lowerLetter"/>
      <w:lvlText w:val="%8."/>
      <w:lvlJc w:val="left"/>
      <w:pPr>
        <w:ind w:left="5760" w:hanging="360"/>
      </w:pPr>
    </w:lvl>
    <w:lvl w:ilvl="8" w:tplc="76110432" w:tentative="1">
      <w:start w:val="1"/>
      <w:numFmt w:val="lowerRoman"/>
      <w:lvlText w:val="%9."/>
      <w:lvlJc w:val="right"/>
      <w:pPr>
        <w:ind w:left="6480" w:hanging="180"/>
      </w:pPr>
    </w:lvl>
  </w:abstractNum>
  <w:abstractNum w:abstractNumId="38696428">
    <w:multiLevelType w:val="hybridMultilevel"/>
    <w:lvl w:ilvl="0" w:tplc="92528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696428">
    <w:abstractNumId w:val="38696428"/>
  </w:num>
  <w:num w:numId="38696429">
    <w:abstractNumId w:val="386964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607216" Type="http://schemas.microsoft.com/office/2011/relationships/commentsExtended" Target="commentsExtended.xml"/><Relationship Id="rId334345867" Type="http://schemas.microsoft.com/office/2011/relationships/people" Target="people.xml"/><Relationship Id="rId99656622d1b69a247" Type="http://schemas.openxmlformats.org/officeDocument/2006/relationships/hyperlink" Target="https://gd.eppo.int/taxon/AROMBU/" TargetMode="External"/><Relationship Id="rId44726622d1b69a2b8" Type="http://schemas.openxmlformats.org/officeDocument/2006/relationships/hyperlink" Target="https://gd.eppo.int/taxon/AROMBU/categorization" TargetMode="External"/><Relationship Id="rId61806622d1b69a96f" Type="http://schemas.openxmlformats.org/officeDocument/2006/relationships/hyperlink" Target="https://gd.eppo.int/taxon/AROMBU/photos" TargetMode="External"/><Relationship Id="rId80006622d1b69c695" Type="http://schemas.openxmlformats.org/officeDocument/2006/relationships/hyperlink" Target="https://www.cabi.org/ISC/datasheetreport/118984" TargetMode="External"/><Relationship Id="rId13346622d1b69c716" Type="http://schemas.openxmlformats.org/officeDocument/2006/relationships/hyperlink" Target="https://doi.org/10.2903/sp.efsa.2019.EN-1731" TargetMode="External"/><Relationship Id="rId69766622d1b69c90c" Type="http://schemas.openxmlformats.org/officeDocument/2006/relationships/hyperlink" Target="https://gd.eppo.int/taxon/AROMBU/documents" TargetMode="External"/><Relationship Id="rId84316622d1b69cb60" Type="http://schemas.openxmlformats.org/officeDocument/2006/relationships/hyperlink" Target="https://www.slideshare.net/ImageLine/raffaele-griffoaromiabungiifmv2012" TargetMode="External"/><Relationship Id="rId52456622d1b69cd01" Type="http://schemas.openxmlformats.org/officeDocument/2006/relationships/hyperlink" Target="https://www.regione.lombardia.it/wps/portal/istituzionale/HP/DettaglioRedazionale/servizi-e-informazioni/Imprese/Imprese-agricole/servizio-fitosanitario-regionale/organismi-nocivi/aromia-bungii/aromia-bungii" TargetMode="External"/><Relationship Id="rId92986622d1b69d221" Type="http://schemas.openxmlformats.org/officeDocument/2006/relationships/hyperlink" Target="https://doi.org/10.1007/s10340-019-01108-6" TargetMode="External"/><Relationship Id="rId69336622d1b69d2e9" Type="http://schemas.openxmlformats.org/officeDocument/2006/relationships/hyperlink" Target="https://gd.eppo.int" TargetMode="External"/><Relationship Id="rId76366622d1b69d3c4" Type="http://schemas.openxmlformats.org/officeDocument/2006/relationships/hyperlink" Target="https://doi.org/10.1111/epp.12173" TargetMode="External"/><Relationship Id="rId84026622d1b69a8ab" Type="http://schemas.openxmlformats.org/officeDocument/2006/relationships/image" Target="media/imgrId84026622d1b69a8ab.jpg"/><Relationship Id="rId34516622d1b69b446" Type="http://schemas.openxmlformats.org/officeDocument/2006/relationships/image" Target="media/imgrId34516622d1b69b446.jpg"/><Relationship Id="rId78106622d1b69d736" Type="http://schemas.openxmlformats.org/officeDocument/2006/relationships/image" Target="media/imgrId78106622d1b69d73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