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Aromia bungii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Aromia bungii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(Faldermann)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Aromia cyanicornis</w:t>
            </w:r>
            <w:r>
              <w:rPr>
                <w:rFonts w:ascii="Calibri" w:hAnsi="Calibri" w:eastAsia="Calibri" w:cs="Calibri"/>
                <w:color w:val="000000"/>
                <w:position w:val="-3"/>
                <w:sz w:val="22"/>
                <w:szCs w:val="22"/>
              </w:rPr>
              <w:t xml:space="preserve"> Guérin-Méneville, </w:t>
            </w:r>
            <w:r>
              <w:rPr>
                <w:rFonts w:ascii="Calibri" w:hAnsi="Calibri" w:eastAsia="Calibri" w:cs="Calibri"/>
                <w:i/>
                <w:iCs/>
                <w:color w:val="000000"/>
                <w:position w:val="-3"/>
                <w:sz w:val="22"/>
                <w:szCs w:val="22"/>
              </w:rPr>
              <w:t xml:space="preserve">Aromia ruficollis</w:t>
            </w:r>
            <w:r>
              <w:rPr>
                <w:rFonts w:ascii="Calibri" w:hAnsi="Calibri" w:eastAsia="Calibri" w:cs="Calibri"/>
                <w:color w:val="000000"/>
                <w:position w:val="-3"/>
                <w:sz w:val="22"/>
                <w:szCs w:val="22"/>
              </w:rPr>
              <w:t xml:space="preserve"> Redtenbacher, </w:t>
            </w:r>
            <w:r>
              <w:rPr>
                <w:rFonts w:ascii="Calibri" w:hAnsi="Calibri" w:eastAsia="Calibri" w:cs="Calibri"/>
                <w:i/>
                <w:iCs/>
                <w:color w:val="000000"/>
                <w:position w:val="-3"/>
                <w:sz w:val="22"/>
                <w:szCs w:val="22"/>
              </w:rPr>
              <w:t xml:space="preserve">Callichroma bungii</w:t>
            </w:r>
            <w:r>
              <w:rPr>
                <w:rFonts w:ascii="Calibri" w:hAnsi="Calibri" w:eastAsia="Calibri" w:cs="Calibri"/>
                <w:color w:val="000000"/>
                <w:position w:val="-3"/>
                <w:sz w:val="22"/>
                <w:szCs w:val="22"/>
              </w:rPr>
              <w:t xml:space="preserve"> Bates, </w:t>
            </w:r>
            <w:r>
              <w:rPr>
                <w:rFonts w:ascii="Calibri" w:hAnsi="Calibri" w:eastAsia="Calibri" w:cs="Calibri"/>
                <w:i/>
                <w:iCs/>
                <w:color w:val="000000"/>
                <w:position w:val="-3"/>
                <w:sz w:val="22"/>
                <w:szCs w:val="22"/>
              </w:rPr>
              <w:t xml:space="preserve">Callichroma ruficolle</w:t>
            </w:r>
            <w:r>
              <w:rPr>
                <w:rFonts w:ascii="Calibri" w:hAnsi="Calibri" w:eastAsia="Calibri" w:cs="Calibri"/>
                <w:color w:val="000000"/>
                <w:position w:val="-3"/>
                <w:sz w:val="22"/>
                <w:szCs w:val="22"/>
              </w:rPr>
              <w:t xml:space="preserve"> Redtenbacher, </w:t>
            </w:r>
            <w:r>
              <w:rPr>
                <w:rFonts w:ascii="Calibri" w:hAnsi="Calibri" w:eastAsia="Calibri" w:cs="Calibri"/>
                <w:i/>
                <w:iCs/>
                <w:color w:val="000000"/>
                <w:position w:val="-3"/>
                <w:sz w:val="22"/>
                <w:szCs w:val="22"/>
              </w:rPr>
              <w:t xml:space="preserve">Cerambyx bungii</w:t>
            </w:r>
            <w:r>
              <w:rPr>
                <w:rFonts w:ascii="Calibri" w:hAnsi="Calibri" w:eastAsia="Calibri" w:cs="Calibri"/>
                <w:color w:val="000000"/>
                <w:position w:val="-3"/>
                <w:sz w:val="22"/>
                <w:szCs w:val="22"/>
              </w:rPr>
              <w:t xml:space="preserve"> Faldermann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peach borer, peach longicorn beetle, peach musk beetle, peach red necked longhorn, plum and peach longhorn, red neck longhorned beetle (US), red-necked longhorn beetle</w:t>
            </w:r>
            <w:hyperlink r:id="rId69176acb6f2d16c5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B)</w:t>
            </w:r>
            <w:hyperlink r:id="rId67246acb6f2d16cc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AROMBU</w:t>
            </w:r>
          </w:p>
        </w:tc>
        <w:tc>
          <w:tcPr>
            <w:tcW w:w="2000" w:type="pct"/>
            <w:tcMar>
              <w:top w:w="15" w:type="dxa"/>
              <w:left w:w="15" w:type="dxa"/>
              <w:bottom w:w="15" w:type="dxa"/>
              <w:right w:w="15" w:type="dxa"/>
            </w:tcMar>
            <w:vAlign w:val="center"/>
          </w:tcPr>
          <w:p>
            <w:r>
              <w:rPr>
                <w:position w:val="-90"/>
              </w:rPr>
              <w:drawing>
                <wp:inline distT="0" distB="0" distL="0" distR="0">
                  <wp:extent cx="2160000" cy="1209600"/>
                  <wp:docPr id="98911391" name="name69846acb6f2d17496" descr="6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80.jpg"/>
                          <pic:cNvPicPr/>
                        </pic:nvPicPr>
                        <pic:blipFill>
                          <a:blip r:embed="rId90286acb6f2d1748c" cstate="print"/>
                          <a:stretch>
                            <a:fillRect/>
                          </a:stretch>
                        </pic:blipFill>
                        <pic:spPr>
                          <a:xfrm>
                            <a:off x="0" y="0"/>
                            <a:ext cx="2160000" cy="1209600"/>
                          </a:xfrm>
                          <a:prstGeom prst="rect">
                            <a:avLst/>
                          </a:prstGeom>
                          <a:ln w="0">
                            <a:noFill/>
                          </a:ln>
                        </pic:spPr>
                      </pic:pic>
                    </a:graphicData>
                  </a:graphic>
                </wp:inline>
              </w:drawing>
            </w:r>
            <w:hyperlink r:id="rId37096acb6f2d1775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is an oligophagous wood-borer. Its host range is predominantly limited to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Other host plants belonging to different families are reported in the literature, for example, from Ebenaceae (Shandong Academy of Environmental Science, 2009) and Salicaceae (Lei &amp; Zhou, 1998), but sometimes with doubtful supporting evidence (CABI, 2019). See EPPO (2014) for other plant species reported as associated with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but without supporting information. In Italy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has been found on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Prunus avium </w:t>
      </w:r>
      <w:r>
        <w:rPr>
          <w:rFonts w:ascii="Calibri" w:hAnsi="Calibri" w:eastAsia="Calibri" w:cs="Calibri"/>
          <w:color w:val="000000"/>
          <w:sz w:val="22"/>
          <w:szCs w:val="22"/>
        </w:rPr>
        <w:t xml:space="preserve">(Regione Lombardia,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Prunus domestica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insititia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Prunus padus </w:t>
      </w:r>
      <w:r>
        <w:rPr>
          <w:rFonts w:ascii="Calibri" w:hAnsi="Calibri" w:eastAsia="Calibri" w:cs="Calibri"/>
          <w:color w:val="000000"/>
          <w:sz w:val="22"/>
          <w:szCs w:val="22"/>
        </w:rPr>
        <w:t xml:space="preserve">are hosts in Germany (Burmeister, 2012; Horrocks </w:t>
      </w:r>
      <w:r>
        <w:rPr>
          <w:rFonts w:ascii="Calibri" w:hAnsi="Calibri" w:eastAsia="Calibri" w:cs="Calibri"/>
          <w:i/>
          <w:iCs/>
          <w:color w:val="000000"/>
          <w:sz w:val="22"/>
          <w:szCs w:val="22"/>
        </w:rPr>
        <w:t xml:space="preserve">et a</w:t>
      </w:r>
      <w:r>
        <w:rPr>
          <w:rFonts w:ascii="Calibri" w:hAnsi="Calibri" w:eastAsia="Calibri" w:cs="Calibri"/>
          <w:color w:val="000000"/>
          <w:sz w:val="22"/>
          <w:szCs w:val="22"/>
        </w:rPr>
        <w:t xml:space="preserve">l., 2024).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 var. pissardii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insititia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grayana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padus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pseudocerasus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native from the southeastern Palaearctic ecozone with an expansion in the Oriental region. In Japan,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of recent introduction (first reported in 2012). In the EPPO region, isolated outbreaks were reported in Western Europe: in 2011 and 2016 in Bavaria (Germany), and in Italy (first in 2012 in Campania, in 2013 in Lombardia, 2020 in Lazio, 2023 in Toscana). In some outbreaks, eradication measures are being implemented, in others containment measures are in place.</w:t>
      </w:r>
    </w:p>
    <w:p>
      <w:r>
        <w:drawing>
          <wp:inline distT="0" distB="0" distL="0" distR="0">
            <wp:extent cx="6120000" cy="3067200"/>
            <wp:docPr id="6407818" name="name69356acb6f2d18f0e" descr="AROMB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OMBU_distribution_map.jpg"/>
                    <pic:cNvPicPr/>
                  </pic:nvPicPr>
                  <pic:blipFill>
                    <a:blip r:embed="rId60986acb6f2d18f0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Italy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Hainan, Hebei, Heilongjiang, Henan, Hubei, Hunan, Jiangsu, Jiangxi, Jilin, Liaoning, Neimenggu, Ningxia, Qinghai, Shaanxi, Shandong, Shanghai, Shanxi, Sichuan, Tianjin, Xianggang (Hong Kong), Yunnan, Zhejiang), Japan (Honshu, Shikoku), Korea, Democratic People's Republic of, Korea, Republic of, Mongolia, Vietnam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a shiny black beetle, with a characteristic red pronotum, equipped with tubercles. The adults reach 22-38 mm long. </w:t>
      </w:r>
    </w:p>
    <w:p>
      <w:pPr>
        <w:widowControl w:val="on"/>
        <w:pBdr/>
        <w:spacing w:before="220" w:after="220" w:line="240" w:lineRule="auto"/>
        <w:ind w:left="0" w:right="0"/>
        <w:jc w:val="both"/>
      </w:pPr>
      <w:r>
        <w:rPr>
          <w:rFonts w:ascii="Calibri" w:hAnsi="Calibri" w:eastAsia="Calibri" w:cs="Calibri"/>
          <w:color w:val="000000"/>
          <w:sz w:val="22"/>
          <w:szCs w:val="22"/>
        </w:rPr>
        <w:t xml:space="preserve">The beetle develops mainly on fruit species of the genus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can live in urban areas, orchards and forests (Gressitt, 1942; Yang &amp; Chen, 1999;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life cycle is 2–4 years depending on the latitude and the climate. The flight period occurs from June to August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Garonna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Italy, pupation occurs from mid-May and the period of maximum presence of adults is between mid-July and early August (Regione Lombardia, 2020).</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in bark crevices on the trunk, but also on the main branches of healthy or stressed living trees (e.g. eggs have been found up to 2 m off the ground) (Gressitt, 1942; Wu &amp; Li, 2005; De la Peña et al.., 2019). Females can lay eggs on the graft scar of young trees (≥6 cm diameter) (EPPO, 2013). Eggs hatch after approximately 1 week and newly-hatched larvae begin feeding immediately. Larvae bore galleries under bark, in the sapwood and heartwood and eject frass from their gallery at least once a day during their period of activity which starts a few days after hatching (Gressitt, 1942;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complete gallery can reach 50–60 cm in length (Gressitt, 1942; Duffy, 1968; Wu &amp; Li, 2005; Yu &amp; Gao, 2005; Griffo, 2012). The galleries tend to widen according to the diametric growth of the larvae and take on a typically elliptical section shape. Inside the same tree, larvae of different stages can coexist, due to the overlapping of several generations (Regione Lombardia, 2020). There is no record of infestation in the roots. Pupation occurs in a pupal cell in the heartwood.</w:t>
      </w:r>
    </w:p>
    <w:p>
      <w:pPr>
        <w:widowControl w:val="on"/>
        <w:pBdr/>
        <w:spacing w:before="220" w:after="220" w:line="240" w:lineRule="auto"/>
        <w:ind w:left="0" w:right="0"/>
        <w:jc w:val="both"/>
      </w:pPr>
      <w:r>
        <w:rPr>
          <w:rFonts w:ascii="Calibri" w:hAnsi="Calibri" w:eastAsia="Calibri" w:cs="Calibri"/>
          <w:color w:val="000000"/>
          <w:sz w:val="22"/>
          <w:szCs w:val="22"/>
        </w:rPr>
        <w:t xml:space="preserve">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emerge from the host through circular or elliptical holes. The lifecycle from egg hatching to adult emergence ranges from 2-4 years depending on the local conditions, quality of the host, latitude and climatic conditions, mean temperature being a good predictor of the duration of the life cycle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Adults feed on bark from young branches (Regione Lombardia, 2020). Adults are diurnal and live 15–20 days. Each female lays 350–730 eggs during its lifetime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infested trees is possible during the larval activity period by observation of the frass emitted which may be observed, mainly at the base of the trunk (although some may be seen on the bark). This reddish frass (which is like sawdust) is ejected by young larvae starting from a few days after hatching and its volume increases with the age and size of the larvae.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 also be observed quite easily because of their diurnal activity, their shiny black colour and the characteristic red pronotum.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are approximately 2 mm in length (Vicinanza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whitish. They are laid in crevices in the bark.</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2 – 2.5 mm long. Mature larvae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reach 38–50 mm though there is great variability between individuals. The body is whitish with blackish tips and bases of mandibles. The prothorax has an irregular and symmetrical reddish strip on the front. The shape of this strip is specific and useful to identify the pest at the larval stage. The number of larval instars is not known.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exarate and whitish and 26–36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length is from 28 to 31 mm (Russo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Antennae are much longer than the body in males and as long as the body in females. The typical adult form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easily recognizable with its shiny black elytrae and its bright red pronotum which is the reason for its common name ‘red neck longhorn beetle’.</w:t>
      </w:r>
    </w:p>
    <w:p>
      <w:pPr>
        <w:widowControl w:val="on"/>
        <w:pBdr/>
        <w:spacing w:before="220" w:after="220" w:line="240" w:lineRule="auto"/>
        <w:ind w:left="0" w:right="0"/>
        <w:jc w:val="both"/>
      </w:pPr>
      <w:r>
        <w:rPr>
          <w:rFonts w:ascii="Calibri" w:hAnsi="Calibri" w:eastAsia="Calibri" w:cs="Calibri"/>
          <w:color w:val="000000"/>
          <w:sz w:val="22"/>
          <w:szCs w:val="22"/>
        </w:rPr>
        <w:t xml:space="preserve">The chromatic variety </w:t>
      </w:r>
      <w:r>
        <w:rPr>
          <w:rFonts w:ascii="Calibri" w:hAnsi="Calibri" w:eastAsia="Calibri" w:cs="Calibri"/>
          <w:i/>
          <w:iCs/>
          <w:color w:val="000000"/>
          <w:sz w:val="22"/>
          <w:szCs w:val="22"/>
        </w:rPr>
        <w:t xml:space="preserve">cyanicornis </w:t>
      </w:r>
      <w:r>
        <w:rPr>
          <w:rFonts w:ascii="Calibri" w:hAnsi="Calibri" w:eastAsia="Calibri" w:cs="Calibri"/>
          <w:color w:val="000000"/>
          <w:sz w:val="22"/>
          <w:szCs w:val="22"/>
        </w:rPr>
        <w:t xml:space="preserve">Guérin-Méneville, 1845 is entirely shiny black.</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Visual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detection at the beginning of infestation is difficult due to the small amount of frass deposited externally.  However, the frass becomes easier to see as the larvae mature as there is accumulation of frass on the ground at the base of the tree. This sign can be confused with frass ejected by </w:t>
      </w:r>
      <w:r>
        <w:rPr>
          <w:rFonts w:ascii="Calibri" w:hAnsi="Calibri" w:eastAsia="Calibri" w:cs="Calibri"/>
          <w:i/>
          <w:iCs/>
          <w:color w:val="000000"/>
          <w:sz w:val="22"/>
          <w:szCs w:val="22"/>
        </w:rPr>
        <w:t xml:space="preserve">Cossus cossus </w:t>
      </w:r>
      <w:r>
        <w:rPr>
          <w:rFonts w:ascii="Calibri" w:hAnsi="Calibri" w:eastAsia="Calibri" w:cs="Calibri"/>
          <w:color w:val="000000"/>
          <w:sz w:val="22"/>
          <w:szCs w:val="22"/>
        </w:rPr>
        <w:t xml:space="preserve">(Linnaeus 1758), </w:t>
      </w:r>
      <w:r>
        <w:rPr>
          <w:rFonts w:ascii="Calibri" w:hAnsi="Calibri" w:eastAsia="Calibri" w:cs="Calibri"/>
          <w:i/>
          <w:iCs/>
          <w:color w:val="000000"/>
          <w:sz w:val="22"/>
          <w:szCs w:val="22"/>
        </w:rPr>
        <w:t xml:space="preserve">Zeuzera pyrina</w:t>
      </w:r>
      <w:r>
        <w:rPr>
          <w:rFonts w:ascii="Calibri" w:hAnsi="Calibri" w:eastAsia="Calibri" w:cs="Calibri"/>
          <w:color w:val="000000"/>
          <w:sz w:val="22"/>
          <w:szCs w:val="22"/>
        </w:rPr>
        <w:t xml:space="preserve"> (Linnaeus, 1761) (Lepidoptera: Cossidae) or </w:t>
      </w:r>
      <w:r>
        <w:rPr>
          <w:rFonts w:ascii="Calibri" w:hAnsi="Calibri" w:eastAsia="Calibri" w:cs="Calibri"/>
          <w:i/>
          <w:iCs/>
          <w:color w:val="000000"/>
          <w:sz w:val="22"/>
          <w:szCs w:val="22"/>
        </w:rPr>
        <w:t xml:space="preserve">Capnodis tenebrionis </w:t>
      </w:r>
      <w:r>
        <w:rPr>
          <w:rFonts w:ascii="Calibri" w:hAnsi="Calibri" w:eastAsia="Calibri" w:cs="Calibri"/>
          <w:color w:val="000000"/>
          <w:sz w:val="22"/>
          <w:szCs w:val="22"/>
        </w:rPr>
        <w:t xml:space="preserve">(Linnaeus 1758) (Coleoptera: Buprestidae) all common pests on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spp. in the EPPO region. To have confirmation that a plant is infested by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and not by another pest, it is essential to identify the larva by morphological and biomolecular analysis or to perform biomolecular analysis of the frass. Exit holes may be visible on the trunk of host plants after the first generation has emerged.</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color w:val="000000"/>
          <w:sz w:val="22"/>
          <w:szCs w:val="22"/>
        </w:rPr>
        <w:t xml:space="preserve">In according to De la Peña (2019), molecular identification of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possible by PCR amplification of the ribosomal 28S and the mitochondrial cytochrome c oxidase subunit I (COI) genes. Molecular identification by DNA sequencing of the COI gene can be used for all the developmental stages and COI sequences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are available in Genbank (Zhang and Ren., unpublished data, 2016).</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there are no non-invasive identification methods based on PCR amplification of DNA obtained from frass that could be used for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identification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Everatt, 2019; Russo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 </w:t>
      </w:r>
    </w:p>
    <w:p>
      <w:pPr>
        <w:widowControl w:val="on"/>
        <w:pBdr/>
        <w:spacing w:before="220" w:after="220" w:line="240" w:lineRule="auto"/>
        <w:ind w:left="0" w:right="0"/>
        <w:jc w:val="both"/>
      </w:pPr>
      <w:r>
        <w:rPr>
          <w:rFonts w:ascii="Calibri" w:hAnsi="Calibri" w:eastAsia="Calibri" w:cs="Calibri"/>
          <w:color w:val="000000"/>
          <w:sz w:val="22"/>
          <w:szCs w:val="22"/>
        </w:rPr>
        <w:t xml:space="preserve">Bottle traps containing fermenting liquids as a lure have been used but efficacy of these baits is poor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Field trials in Japan and China, using racemic (E)-2-cis-6,7-epoxynonenal lures have shown that the species can be trapped efficiently (Zou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0" w:after="0" w:line="240" w:lineRule="auto"/>
        <w:ind w:left="0" w:right="0"/>
        <w:jc w:val="left"/>
      </w:pPr>
      <w:r>
        <w:rPr>
          <w:rFonts w:ascii="Calibri" w:hAnsi="Calibri" w:eastAsia="Calibri" w:cs="Calibri"/>
          <w:color w:val="000000"/>
          <w:sz w:val="22"/>
          <w:szCs w:val="22"/>
        </w:rPr>
        <w:t xml:space="preserve">
For more details regarding detection and identification of </w:t>
      </w:r>
      <w:r>
        <w:rPr>
          <w:rFonts w:ascii="Calibri" w:hAnsi="Calibri" w:eastAsia="Calibri" w:cs="Calibri"/>
          <w:i/>
          <w:iCs/>
          <w:color w:val="000000"/>
          <w:sz w:val="22"/>
          <w:szCs w:val="22"/>
        </w:rPr>
        <w:t xml:space="preserve">A. bungii</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see EPPO Standard PM 7/156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introduction pathway for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into the EPPO region is probably wood packaging. Other possible pathways are wood or wooden products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species which are large enough to sustain live larvae until adult emergence. Plants for planting and bonsais may also sustain eggs or young larvae. Living adults may hitch-hike in imported goods but there is no record confirming this.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specific information on the flight distance, the natural spread of adults is considered to be similar to </w:t>
      </w:r>
      <w:r>
        <w:rPr>
          <w:rFonts w:ascii="Calibri" w:hAnsi="Calibri" w:eastAsia="Calibri" w:cs="Calibri"/>
          <w:i/>
          <w:iCs/>
          <w:color w:val="000000"/>
          <w:sz w:val="22"/>
          <w:szCs w:val="22"/>
        </w:rPr>
        <w:t xml:space="preserve">Anoplophora </w:t>
      </w:r>
      <w:r>
        <w:rPr>
          <w:rFonts w:ascii="Calibri" w:hAnsi="Calibri" w:eastAsia="Calibri" w:cs="Calibri"/>
          <w:color w:val="000000"/>
          <w:sz w:val="22"/>
          <w:szCs w:val="22"/>
        </w:rPr>
        <w:t xml:space="preserve">spp. (i.e.</w:t>
      </w:r>
      <w:r>
        <w:rPr>
          <w:rFonts w:ascii="Calibri" w:hAnsi="Calibri" w:eastAsia="Calibri" w:cs="Calibri"/>
          <w:i/>
          <w:iCs/>
          <w:color w:val="000000"/>
          <w:sz w:val="22"/>
          <w:szCs w:val="22"/>
        </w:rPr>
        <w:t xml:space="preserve"> A. glabripennis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which is estimated to have a spread range of 2–3 km per season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However, this distance is influenced by the abundance of and degree of proximity to suitable host plants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Analyses of infestation foci in Italy (Lombardy and Campania) indicate a spread rate of approximately 2 km in 6 years in Lombardy, while in Campania the species reached 5 km after 6 years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Information on the economic importance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mainly based on data from China on cultivated apricot, peach and plum trees in orchards. It is considered to be very destructive on peach and apricot, but it can also cause considerable damage to plums and cherry. The production of wood of wild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may also be affected.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was also considered as an emerging pest (Gressitt, 1942; Duffy, 1968;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Wu &amp; Li, 2005; Shandong Ecological Afforestation Project (SEAP), 2009;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also considered as a pest for forest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(Yang &amp; Chen, 1999;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damage is only caused by the larvae, which bore into the wood soon after hatching, producing tunnels in the branches and the trunk (Gressitt, 1942). Galleries in the cambium zone stop the circulation of the sap, killing the associated tissues, weakening the tree, and reducing the fruit production. Extensive infestations result in tree death (Duffy, 1968; Wu &amp; Li, 2005; Yu &amp; Gao, 2005; Griffo,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a xylophagous cerambycid: the larvae feed by digging tunnels inside the wood of the trunk and/or the main branches, both of healthy plants and of guests suffering from various biotic and abiotic stresses (Regione Lombardia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difficult because the larva penetrates rapidly under the bark and therefore it cannot be controlled with 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control measures are similar to those used against others cerambycids such as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spp. consisting of the destruction and the removal of infested trees. Some insecticides currently used against other pests in orchards in integrated pest management programmes are likely to also be effective against adults of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some generalist parasitoids and predators could probably adapt to the different immature stages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although they are unlikely to control the pest to levels that will prevent economic damage. Biological control has evaluated in China with entomopathogenic fungi and nematodes (Shi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using a combination of biocontrol agents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native from the southeastern Palaearctic ecozone with an expansion in the Oriental region. In the EPPO region only limited outbreaks have occurred. No significant damage to professional orchards has been reported, but most of the infested trees are located in private gardens or small orchards.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does not seem to be attracted to ornamental species of the genus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since the host species are species used for fruit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its current distribution and those of its main host plants, it is predicted that the limits of the potential distribution for the EPPO region are the southern part of Scandinavia and the eastern part of the Russian Federation, therefore the zone at risk covers a huge area. The risk of establishment, spread and damage is greater in southern countries because the life cycle is shorter and the main host trees (plum, peach, apricot) are abundant.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likely pathways for introduction are wood packaging and plants for planting. The import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plants for planting is already prohibited in many EPPO countries. Since 1998, wood packaging material should be submitted to ISPM 15 treatments and should therefore be free of pests.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EPPO PRA (EPPO, 2014) and are as follows: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at the place of production and visual inspection of the consignment should be used as part of a system approach. Plants for planting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should originate from areas free from the pest or be grown under insect-proof conditions.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wood commodities should originate from areas free from the pest or undergo heat treatment, irradiation, or chipping (to pieces less than 2.5 cm in all dimensions or 1.5 cm in 2 dimensions). Alternatively, they may be imported for processing at specific times of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Wood packaging material should be treated according to ISPM 15.</w:t>
      </w:r>
    </w:p>
    <w:p>
      <w:pPr>
        <w:widowControl w:val="on"/>
        <w:pBdr/>
        <w:spacing w:before="220" w:after="220" w:line="240" w:lineRule="auto"/>
        <w:ind w:left="0" w:right="0"/>
        <w:jc w:val="both"/>
      </w:pPr>
      <w:r>
        <w:rPr>
          <w:rFonts w:ascii="Calibri" w:hAnsi="Calibri" w:eastAsia="Calibri" w:cs="Calibri"/>
          <w:color w:val="000000"/>
          <w:sz w:val="22"/>
          <w:szCs w:val="22"/>
        </w:rPr>
        <w:t xml:space="preserve">As a general approach, it has also been recommended that when importing plants for planting (except seeds) and wood commodities of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from countries where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occurs, precautions should have been taken to avoid any infestations while the consignments are transported through possibly infested areas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Burmeister EG (2012) Der asiatische moschusbock in Bayern ausgerottet!? Ein Kafer, neu fur Deutschland, im Paragraphendschungel (Coleoptera: Cerambycidae,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(Faldermann, 1835)). </w:t>
      </w:r>
      <w:r>
        <w:rPr>
          <w:rFonts w:ascii="Calibri" w:hAnsi="Calibri" w:eastAsia="Calibri" w:cs="Calibri"/>
          <w:i/>
          <w:iCs/>
          <w:color w:val="000000"/>
          <w:sz w:val="22"/>
          <w:szCs w:val="22"/>
        </w:rPr>
        <w:t xml:space="preserve">Nachrichtenblatt der Bayerischen Entomologen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80–82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Datasheet report for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(red necked longicorn) </w:t>
      </w:r>
      <w:hyperlink r:id="rId19776acb6f2d1bb01" w:history="1">
        <w:r>
          <w:rPr>
            <w:rFonts w:ascii="Calibri" w:hAnsi="Calibri" w:eastAsia="Calibri" w:cs="Calibri"/>
            <w:color w:val="0000CC"/>
            <w:sz w:val="22"/>
            <w:szCs w:val="22"/>
            <w:u w:val="single"/>
          </w:rPr>
          <w:t xml:space="preserve">https://www.cabi.org/ISC/datasheetreport/118984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la Peña E, Schrader G, &amp; Vos S (2019). Pest survey card on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EFSA Supporting Publications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w:t>
      </w:r>
      <w:hyperlink r:id="rId41796acb6f2d1bc8c" w:history="1">
        <w:r>
          <w:rPr>
            <w:rFonts w:ascii="Calibri" w:hAnsi="Calibri" w:eastAsia="Calibri" w:cs="Calibri"/>
            <w:color w:val="0000CC"/>
            <w:sz w:val="22"/>
            <w:szCs w:val="22"/>
            <w:u w:val="single"/>
          </w:rPr>
          <w:t xml:space="preserve">https://doi.org/10.2903/sp.efsa.2019.EN-1731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(1968) A monograph of the immature stages of oriental timber beetles (Cerambycidae). British Museum, Natural History, editor, London: 434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(2012a) First report of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in Germany: addition to the EPPO Alert List.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2012/090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(2012b) First report of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in Italy.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2012-10-01, 2012/204.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found for the first time in Lombardia region, Italy.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2013/187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EWG Expert Working Group for performing a PRA on </w:t>
      </w:r>
      <w:r>
        <w:rPr>
          <w:rFonts w:ascii="Calibri" w:hAnsi="Calibri" w:eastAsia="Calibri" w:cs="Calibri"/>
          <w:i/>
          <w:iCs/>
          <w:color w:val="000000"/>
          <w:sz w:val="22"/>
          <w:szCs w:val="22"/>
        </w:rPr>
        <w:t xml:space="preserve">Aromia bungii</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PRA for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Available at </w:t>
      </w:r>
      <w:hyperlink r:id="rId47436acb6f2d1bf17" w:history="1">
        <w:r>
          <w:rPr>
            <w:rFonts w:ascii="Calibri" w:hAnsi="Calibri" w:eastAsia="Calibri" w:cs="Calibri"/>
            <w:color w:val="0000CC"/>
            <w:sz w:val="22"/>
            <w:szCs w:val="22"/>
            <w:u w:val="single"/>
          </w:rPr>
          <w:t xml:space="preserve">https://gd.eppo.int/taxon/AROMBU/documents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PM 8/7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Standards. Diagnostics. PM 7/156 </w:t>
      </w:r>
      <w:r>
        <w:rPr>
          <w:rFonts w:ascii="Calibri" w:hAnsi="Calibri" w:eastAsia="Calibri" w:cs="Calibri"/>
          <w:i/>
          <w:iCs/>
          <w:color w:val="000000"/>
          <w:sz w:val="22"/>
          <w:szCs w:val="22"/>
        </w:rPr>
        <w:t xml:space="preserve">Aromia bungii.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124-136. </w:t>
      </w:r>
      <w:hyperlink r:id="rId48256acb6f2d1c01f" w:history="1">
        <w:r>
          <w:rPr>
            <w:rFonts w:ascii="Calibri" w:hAnsi="Calibri" w:eastAsia="Calibri" w:cs="Calibri"/>
            <w:color w:val="0000CC"/>
            <w:sz w:val="22"/>
            <w:szCs w:val="22"/>
            <w:u w:val="single"/>
          </w:rPr>
          <w:t xml:space="preserve">https://doi.org/10.1111/epp.13008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Everatt M (2019) Pest specific plant health response plan: Outbreaks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Defra.</w:t>
      </w:r>
    </w:p>
    <w:p>
      <w:pPr>
        <w:widowControl w:val="on"/>
        <w:pBdr/>
        <w:spacing w:before="220" w:after="220" w:line="240" w:lineRule="auto"/>
        <w:ind w:left="0" w:right="0"/>
        <w:jc w:val="left"/>
      </w:pPr>
      <w:r>
        <w:rPr>
          <w:rFonts w:ascii="Calibri" w:hAnsi="Calibri" w:eastAsia="Calibri" w:cs="Calibri"/>
          <w:color w:val="000000"/>
          <w:sz w:val="22"/>
          <w:szCs w:val="22"/>
        </w:rPr>
        <w:t xml:space="preserve">Garonna AP, Nugnes F, Espinosa B (2013)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il nuovo tarlo asiatico ritrovato in Campania.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60-62.</w:t>
      </w:r>
    </w:p>
    <w:p>
      <w:pPr>
        <w:widowControl w:val="on"/>
        <w:pBdr/>
        <w:spacing w:before="220" w:after="220" w:line="240" w:lineRule="auto"/>
        <w:ind w:left="0" w:right="0"/>
        <w:jc w:val="left"/>
      </w:pPr>
      <w:r>
        <w:rPr>
          <w:rFonts w:ascii="Calibri" w:hAnsi="Calibri" w:eastAsia="Calibri" w:cs="Calibri"/>
          <w:color w:val="000000"/>
          <w:sz w:val="22"/>
          <w:szCs w:val="22"/>
        </w:rPr>
        <w:t xml:space="preserve">Gong Q, Huang A, Tang Y &amp; Xiong J (2013) Summary of IPM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Faldermann. Biological Disaster Science,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(4), 430-433.</w:t>
      </w:r>
    </w:p>
    <w:p>
      <w:pPr>
        <w:widowControl w:val="on"/>
        <w:pBdr/>
        <w:spacing w:before="220" w:after="220" w:line="240" w:lineRule="auto"/>
        <w:ind w:left="0" w:right="0"/>
        <w:jc w:val="left"/>
      </w:pPr>
      <w:r>
        <w:rPr>
          <w:rFonts w:ascii="Calibri" w:hAnsi="Calibri" w:eastAsia="Calibri" w:cs="Calibri"/>
          <w:color w:val="000000"/>
          <w:sz w:val="22"/>
          <w:szCs w:val="22"/>
        </w:rPr>
        <w:t xml:space="preserve">Griffo R (2012) Le segnalazioni di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PowerPoint presentation, 26 pp. Available at </w:t>
      </w:r>
      <w:hyperlink r:id="rId76936acb6f2d1c191" w:history="1">
        <w:r>
          <w:rPr>
            <w:rFonts w:ascii="Calibri" w:hAnsi="Calibri" w:eastAsia="Calibri" w:cs="Calibri"/>
            <w:color w:val="0000CC"/>
            <w:sz w:val="22"/>
            <w:szCs w:val="22"/>
            <w:u w:val="single"/>
          </w:rPr>
          <w:t xml:space="preserve">https://www.slideshare.net/ImageLine/raffaele-griffoaromiabungiifmv2012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Horrocks KJ, Zhang J, Haye T, Seehausen ML, Maggini R, Xian X, Chen J, Nugnes F, Collatz J, Gruber A, Gariepy TD (2024) Biology, impact, management and potential distribution of Aromia bungii, a major threat to fruit crops around the world.</w:t>
      </w:r>
      <w:r>
        <w:rPr>
          <w:rFonts w:ascii="Calibri" w:hAnsi="Calibri" w:eastAsia="Calibri" w:cs="Calibri"/>
          <w:i/>
          <w:iCs/>
          <w:color w:val="000000"/>
          <w:sz w:val="22"/>
          <w:szCs w:val="22"/>
        </w:rPr>
        <w:t xml:space="preserve"> Journal of Pest Science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(4), 1725-1747. https://doi.org/10.1007/s10340-024-01767-0  </w:t>
      </w:r>
    </w:p>
    <w:p>
      <w:pPr>
        <w:widowControl w:val="on"/>
        <w:pBdr/>
        <w:spacing w:before="220" w:after="220" w:line="240" w:lineRule="auto"/>
        <w:ind w:left="0" w:right="0"/>
        <w:jc w:val="left"/>
      </w:pPr>
      <w:r>
        <w:rPr>
          <w:rFonts w:ascii="Calibri" w:hAnsi="Calibri" w:eastAsia="Calibri" w:cs="Calibri"/>
          <w:color w:val="000000"/>
          <w:sz w:val="22"/>
          <w:szCs w:val="22"/>
        </w:rPr>
        <w:t xml:space="preserve">Huang P, Yu DY, Yao JA, Wang JM &amp; Fang DL (2012) Identification and damages of three kinds of longicorn as well as their synthetical prevention on plum trees. </w:t>
      </w:r>
      <w:r>
        <w:rPr>
          <w:rFonts w:ascii="Calibri" w:hAnsi="Calibri" w:eastAsia="Calibri" w:cs="Calibri"/>
          <w:i/>
          <w:iCs/>
          <w:color w:val="000000"/>
          <w:sz w:val="22"/>
          <w:szCs w:val="22"/>
        </w:rPr>
        <w:t xml:space="preserve">Biological Disaster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97–101. </w:t>
      </w:r>
    </w:p>
    <w:p>
      <w:pPr>
        <w:widowControl w:val="on"/>
        <w:pBdr/>
        <w:spacing w:before="220" w:after="220" w:line="240" w:lineRule="auto"/>
        <w:ind w:left="0" w:right="0"/>
        <w:jc w:val="left"/>
      </w:pPr>
      <w:r>
        <w:rPr>
          <w:rFonts w:ascii="Calibri" w:hAnsi="Calibri" w:eastAsia="Calibri" w:cs="Calibri"/>
          <w:color w:val="000000"/>
          <w:sz w:val="22"/>
          <w:szCs w:val="22"/>
        </w:rPr>
        <w:t xml:space="preserve">Liu QiZhi, Wang YuZhu &amp; Zhou HaiYing, (1997) Application of entomopathogenic nematodes for controlling larvae of RLB. </w:t>
      </w:r>
      <w:r>
        <w:rPr>
          <w:rFonts w:ascii="Calibri" w:hAnsi="Calibri" w:eastAsia="Calibri" w:cs="Calibri"/>
          <w:i/>
          <w:iCs/>
          <w:color w:val="000000"/>
          <w:sz w:val="22"/>
          <w:szCs w:val="22"/>
        </w:rPr>
        <w:t xml:space="preserve">Acta Agriculturae Boreali-Sinica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97-101.</w:t>
      </w:r>
    </w:p>
    <w:p>
      <w:pPr>
        <w:widowControl w:val="on"/>
        <w:pBdr/>
        <w:spacing w:before="220" w:after="220" w:line="240" w:lineRule="auto"/>
        <w:ind w:left="0" w:right="0"/>
        <w:jc w:val="left"/>
      </w:pPr>
      <w:r>
        <w:rPr>
          <w:rFonts w:ascii="Calibri" w:hAnsi="Calibri" w:eastAsia="Calibri" w:cs="Calibri"/>
          <w:color w:val="000000"/>
          <w:sz w:val="22"/>
          <w:szCs w:val="22"/>
        </w:rPr>
        <w:t xml:space="preserve">Ma W, Sun L, Yu L, Wang J &amp; Chen J (2007) Study on the occurrence and life history in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(Faldermann). </w:t>
      </w:r>
      <w:r>
        <w:rPr>
          <w:rFonts w:ascii="Calibri" w:hAnsi="Calibri" w:eastAsia="Calibri" w:cs="Calibri"/>
          <w:i/>
          <w:iCs/>
          <w:color w:val="000000"/>
          <w:sz w:val="22"/>
          <w:szCs w:val="22"/>
        </w:rPr>
        <w:t xml:space="preserve">Acta Agriculturae Boreali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247–249.</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 </w:t>
      </w:r>
      <w:hyperlink r:id="rId87546acb6f2d1c344" w:history="1">
        <w:r>
          <w:rPr>
            <w:rFonts w:ascii="Calibri" w:hAnsi="Calibri" w:eastAsia="Calibri" w:cs="Calibri"/>
            <w:color w:val="0000CC"/>
            <w:sz w:val="22"/>
            <w:szCs w:val="22"/>
            <w:u w:val="single"/>
          </w:rPr>
          <w:t xml:space="preserve">https://www.regione.lombardia.it/wps/portal/istituzionale/HP/DettaglioRedazionale/servizi-e-informazioni/Imprese/Imprese-agricole/servizio-fitosanitario-regionale/organismi-nocivi/aromia-bungii/aromia-bungii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Russo E, Nugnes F, Vicinanza F, Garonna AP, &amp; Bernardo U (2020) Biological and molecular characterization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(Faldermann, 1835)(Coleoptera: Cerambycidae), an emerging pest of stone fruits in Europe.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1-9.</w:t>
      </w:r>
    </w:p>
    <w:p>
      <w:pPr>
        <w:widowControl w:val="on"/>
        <w:pBdr/>
        <w:spacing w:before="220" w:after="220" w:line="240" w:lineRule="auto"/>
        <w:ind w:left="0" w:right="0"/>
        <w:jc w:val="left"/>
      </w:pPr>
      <w:r>
        <w:rPr>
          <w:rFonts w:ascii="Calibri" w:hAnsi="Calibri" w:eastAsia="Calibri" w:cs="Calibri"/>
          <w:color w:val="000000"/>
          <w:sz w:val="22"/>
          <w:szCs w:val="22"/>
        </w:rPr>
        <w:t xml:space="preserve">Schrader G &amp; Schröder T (2012) </w:t>
      </w:r>
      <w:r>
        <w:rPr>
          <w:rFonts w:ascii="Calibri" w:hAnsi="Calibri" w:eastAsia="Calibri" w:cs="Calibri"/>
          <w:i/>
          <w:iCs/>
          <w:color w:val="000000"/>
          <w:sz w:val="22"/>
          <w:szCs w:val="22"/>
        </w:rPr>
        <w:t xml:space="preserve">Express PRA for Aromia bungii</w:t>
      </w:r>
      <w:r>
        <w:rPr>
          <w:rFonts w:ascii="Calibri" w:hAnsi="Calibri" w:eastAsia="Calibri" w:cs="Calibri"/>
          <w:color w:val="000000"/>
          <w:sz w:val="22"/>
          <w:szCs w:val="22"/>
        </w:rPr>
        <w:t xml:space="preserve">. Translated by E. Vogt-Arndt, 7 pp. Institut für nationale und international Angelegenheiten der Pflanzengesundheit.</w:t>
      </w:r>
    </w:p>
    <w:p>
      <w:pPr>
        <w:widowControl w:val="on"/>
        <w:pBdr/>
        <w:spacing w:before="220" w:after="220" w:line="240" w:lineRule="auto"/>
        <w:ind w:left="0" w:right="0"/>
        <w:jc w:val="left"/>
      </w:pPr>
      <w:r>
        <w:rPr>
          <w:rFonts w:ascii="Calibri" w:hAnsi="Calibri" w:eastAsia="Calibri" w:cs="Calibri"/>
          <w:color w:val="000000"/>
          <w:sz w:val="22"/>
          <w:szCs w:val="22"/>
        </w:rPr>
        <w:t xml:space="preserve">Shandong Ecological Afforestation Project (SEAP) (2009) </w:t>
      </w:r>
      <w:r>
        <w:rPr>
          <w:rFonts w:ascii="Calibri" w:hAnsi="Calibri" w:eastAsia="Calibri" w:cs="Calibri"/>
          <w:i/>
          <w:iCs/>
          <w:color w:val="000000"/>
          <w:sz w:val="22"/>
          <w:szCs w:val="22"/>
        </w:rPr>
        <w:t xml:space="preserve">Integrated pest management plan</w:t>
      </w:r>
      <w:r>
        <w:rPr>
          <w:rFonts w:ascii="Calibri" w:hAnsi="Calibri" w:eastAsia="Calibri" w:cs="Calibri"/>
          <w:color w:val="000000"/>
          <w:sz w:val="22"/>
          <w:szCs w:val="22"/>
        </w:rPr>
        <w:t xml:space="preserve">, E2221 v2, 40 pp. Shandong Academy of Environmental Science.</w:t>
      </w:r>
    </w:p>
    <w:p>
      <w:pPr>
        <w:widowControl w:val="on"/>
        <w:pBdr/>
        <w:spacing w:before="220" w:after="220" w:line="240" w:lineRule="auto"/>
        <w:ind w:left="0" w:right="0"/>
        <w:jc w:val="left"/>
      </w:pPr>
      <w:r>
        <w:rPr>
          <w:rFonts w:ascii="Calibri" w:hAnsi="Calibri" w:eastAsia="Calibri" w:cs="Calibri"/>
          <w:color w:val="000000"/>
          <w:sz w:val="22"/>
          <w:szCs w:val="22"/>
        </w:rPr>
        <w:t xml:space="preserve">Shi Y, Shi Y, &amp; Lu Q (2009) Isolation and identification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for adult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Inner Mongolia Forestry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40-41.</w:t>
      </w:r>
    </w:p>
    <w:p>
      <w:pPr>
        <w:widowControl w:val="on"/>
        <w:pBdr/>
        <w:spacing w:before="220" w:after="220" w:line="240" w:lineRule="auto"/>
        <w:ind w:left="0" w:right="0"/>
        <w:jc w:val="left"/>
      </w:pPr>
      <w:r>
        <w:rPr>
          <w:rFonts w:ascii="Calibri" w:hAnsi="Calibri" w:eastAsia="Calibri" w:cs="Calibri"/>
          <w:color w:val="000000"/>
          <w:sz w:val="22"/>
          <w:szCs w:val="22"/>
        </w:rPr>
        <w:t xml:space="preserve">Smith JW (2009) NPAG report: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(Faldermann): Redneck longhorned beetle Coleoptera/Cerambycidae. New Pest Advisory Group (NPAG), Plant Epidemiology and Risk Analysis Laboratory, Center for Plant Health Science &amp; Technology, APHIS, USDA.</w:t>
      </w:r>
    </w:p>
    <w:p>
      <w:pPr>
        <w:widowControl w:val="on"/>
        <w:pBdr/>
        <w:spacing w:before="220" w:after="220" w:line="240" w:lineRule="auto"/>
        <w:ind w:left="0" w:right="0"/>
        <w:jc w:val="left"/>
      </w:pPr>
      <w:r>
        <w:rPr>
          <w:rFonts w:ascii="Calibri" w:hAnsi="Calibri" w:eastAsia="Calibri" w:cs="Calibri"/>
          <w:color w:val="000000"/>
          <w:sz w:val="22"/>
          <w:szCs w:val="22"/>
        </w:rPr>
        <w:t xml:space="preserve">Vicinanza F, Garonna PA &amp; Griffo R (2017)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il cerambice che in Campania insidia le drupacee. Supplemento a Vita in campagna, 27-29.</w:t>
      </w:r>
    </w:p>
    <w:p>
      <w:pPr>
        <w:widowControl w:val="on"/>
        <w:pBdr/>
        <w:spacing w:before="220" w:after="220" w:line="240" w:lineRule="auto"/>
        <w:ind w:left="0" w:right="0"/>
        <w:jc w:val="left"/>
      </w:pPr>
      <w:r>
        <w:rPr>
          <w:rFonts w:ascii="Calibri" w:hAnsi="Calibri" w:eastAsia="Calibri" w:cs="Calibri"/>
          <w:color w:val="000000"/>
          <w:sz w:val="22"/>
          <w:szCs w:val="22"/>
        </w:rPr>
        <w:t xml:space="preserve">Wen HR, Yu SY &amp; Chu JY (2010) Technology of prevention and control of major pests and diseases of stone economic forests. </w:t>
      </w:r>
      <w:r>
        <w:rPr>
          <w:rFonts w:ascii="Calibri" w:hAnsi="Calibri" w:eastAsia="Calibri" w:cs="Calibri"/>
          <w:i/>
          <w:iCs/>
          <w:color w:val="000000"/>
          <w:sz w:val="22"/>
          <w:szCs w:val="22"/>
        </w:rPr>
        <w:t xml:space="preserve">Journal of Liaoning Forestry Science &amp;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54-55</w:t>
      </w:r>
    </w:p>
    <w:p>
      <w:pPr>
        <w:widowControl w:val="on"/>
        <w:pBdr/>
        <w:spacing w:before="220" w:after="220" w:line="240" w:lineRule="auto"/>
        <w:ind w:left="0" w:right="0"/>
        <w:jc w:val="left"/>
      </w:pPr>
      <w:r>
        <w:rPr>
          <w:rFonts w:ascii="Calibri" w:hAnsi="Calibri" w:eastAsia="Calibri" w:cs="Calibri"/>
          <w:color w:val="000000"/>
          <w:sz w:val="22"/>
          <w:szCs w:val="22"/>
        </w:rPr>
        <w:t xml:space="preserve">Wu J &amp; Li Y (2005) </w:t>
      </w:r>
      <w:r>
        <w:rPr>
          <w:rFonts w:ascii="Calibri" w:hAnsi="Calibri" w:eastAsia="Calibri" w:cs="Calibri"/>
          <w:i/>
          <w:iCs/>
          <w:color w:val="000000"/>
          <w:sz w:val="22"/>
          <w:szCs w:val="22"/>
        </w:rPr>
        <w:t xml:space="preserve">Chapter 14. Branch borers: China Teaching syllabus of Northwest A &amp; F University</w:t>
      </w:r>
      <w:r>
        <w:rPr>
          <w:rFonts w:ascii="Calibri" w:hAnsi="Calibri" w:eastAsia="Calibri" w:cs="Calibri"/>
          <w:color w:val="000000"/>
          <w:sz w:val="22"/>
          <w:szCs w:val="22"/>
        </w:rPr>
        <w:t xml:space="preserve">. A &amp; F University, Yangling, Shaanxi Province.</w:t>
      </w:r>
    </w:p>
    <w:p>
      <w:pPr>
        <w:widowControl w:val="on"/>
        <w:pBdr/>
        <w:spacing w:before="220" w:after="220" w:line="240" w:lineRule="auto"/>
        <w:ind w:left="0" w:right="0"/>
        <w:jc w:val="left"/>
      </w:pPr>
      <w:r>
        <w:rPr>
          <w:rFonts w:ascii="Calibri" w:hAnsi="Calibri" w:eastAsia="Calibri" w:cs="Calibri"/>
          <w:color w:val="000000"/>
          <w:sz w:val="22"/>
          <w:szCs w:val="22"/>
        </w:rPr>
        <w:t xml:space="preserve">Yang HW &amp; Chen S (1999) Utilization of entomogenous nematodes for control of insect pests.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103–109.</w:t>
      </w:r>
    </w:p>
    <w:p>
      <w:pPr>
        <w:widowControl w:val="on"/>
        <w:pBdr/>
        <w:spacing w:before="220" w:after="220" w:line="240" w:lineRule="auto"/>
        <w:ind w:left="0" w:right="0"/>
        <w:jc w:val="left"/>
      </w:pPr>
      <w:r>
        <w:rPr>
          <w:rFonts w:ascii="Calibri" w:hAnsi="Calibri" w:eastAsia="Calibri" w:cs="Calibri"/>
          <w:color w:val="000000"/>
          <w:sz w:val="22"/>
          <w:szCs w:val="22"/>
        </w:rPr>
        <w:t xml:space="preserve">Yu GP &amp; Gao BN (2005) Bionomics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 and Disease</w:t>
      </w:r>
      <w:r>
        <w:rPr>
          <w:rFonts w:ascii="Calibri" w:hAnsi="Calibri" w:eastAsia="Calibri" w:cs="Calibri"/>
          <w:color w:val="000000"/>
          <w:sz w:val="22"/>
          <w:szCs w:val="22"/>
        </w:rPr>
        <w:t xml:space="preserve">, 15–16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Zhang X, Zeng C &amp; Zhang JL (2000) Bionomics and control techniques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 and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Zou Y, Hansen L, Xu T, Teale SA, Hao D &amp; Millar JG (2019) Optimizing pheromone-based lures for the invasive red-necked longhorn beetle,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92 </w:t>
      </w:r>
      <w:r>
        <w:rPr>
          <w:rFonts w:ascii="Calibri" w:hAnsi="Calibri" w:eastAsia="Calibri" w:cs="Calibri"/>
          <w:color w:val="000000"/>
          <w:sz w:val="22"/>
          <w:szCs w:val="22"/>
        </w:rPr>
        <w:t xml:space="preserve">(3), 1217–1225. </w:t>
      </w:r>
      <w:hyperlink r:id="rId90426acb6f2d1c7f4" w:history="1">
        <w:r>
          <w:rPr>
            <w:rFonts w:ascii="Calibri" w:hAnsi="Calibri" w:eastAsia="Calibri" w:cs="Calibri"/>
            <w:color w:val="0000CC"/>
            <w:sz w:val="22"/>
            <w:szCs w:val="22"/>
            <w:u w:val="single"/>
          </w:rPr>
          <w:t xml:space="preserve">https://doi.org/10.1007/s10340-019-01108-6</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Mariangela Ciampitti (Regione Lombardia).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EPPO datasheets on pests recommended for regulation. Available online. </w:t>
      </w:r>
      <w:hyperlink r:id="rId25086acb6f2d1c8b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(2015)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4-8. </w:t>
      </w:r>
      <w:hyperlink r:id="rId66246acb6f2d1c97c" w:history="1">
        <w:r>
          <w:rPr>
            <w:rFonts w:ascii="Calibri" w:hAnsi="Calibri" w:eastAsia="Calibri" w:cs="Calibri"/>
            <w:color w:val="0000CC"/>
            <w:sz w:val="22"/>
            <w:szCs w:val="22"/>
            <w:u w:val="single"/>
          </w:rPr>
          <w:t xml:space="preserve">https://doi.org/10.1111/epp.12173</w:t>
        </w:r>
      </w:hyperlink>
      <w:r>
        <w:rPr>
          <w:rFonts w:ascii="Calibri" w:hAnsi="Calibri" w:eastAsia="Calibri" w:cs="Calibri"/>
          <w:color w:val="000000"/>
          <w:sz w:val="22"/>
          <w:szCs w:val="22"/>
        </w:rPr>
        <w:t xml:space="preserve"> </w:t>
      </w:r>
    </w:p>
    <w:p>
      <w:r>
        <w:drawing>
          <wp:inline distT="0" distB="0" distL="0" distR="0">
            <wp:extent cx="1800000" cy="604800"/>
            <wp:docPr id="69966148" name="name23576acb6f2d1ca1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6786acb6f2d1ca1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29390">
    <w:multiLevelType w:val="hybridMultilevel"/>
    <w:lvl w:ilvl="0" w:tplc="17419292">
      <w:start w:val="1"/>
      <w:numFmt w:val="decimal"/>
      <w:lvlText w:val="%1."/>
      <w:lvlJc w:val="left"/>
      <w:pPr>
        <w:ind w:left="720" w:hanging="360"/>
      </w:pPr>
    </w:lvl>
    <w:lvl w:ilvl="1" w:tplc="17419292" w:tentative="1">
      <w:start w:val="1"/>
      <w:numFmt w:val="lowerLetter"/>
      <w:lvlText w:val="%2."/>
      <w:lvlJc w:val="left"/>
      <w:pPr>
        <w:ind w:left="1440" w:hanging="360"/>
      </w:pPr>
    </w:lvl>
    <w:lvl w:ilvl="2" w:tplc="17419292" w:tentative="1">
      <w:start w:val="1"/>
      <w:numFmt w:val="lowerRoman"/>
      <w:lvlText w:val="%3."/>
      <w:lvlJc w:val="right"/>
      <w:pPr>
        <w:ind w:left="2160" w:hanging="180"/>
      </w:pPr>
    </w:lvl>
    <w:lvl w:ilvl="3" w:tplc="17419292" w:tentative="1">
      <w:start w:val="1"/>
      <w:numFmt w:val="decimal"/>
      <w:lvlText w:val="%4."/>
      <w:lvlJc w:val="left"/>
      <w:pPr>
        <w:ind w:left="2880" w:hanging="360"/>
      </w:pPr>
    </w:lvl>
    <w:lvl w:ilvl="4" w:tplc="17419292" w:tentative="1">
      <w:start w:val="1"/>
      <w:numFmt w:val="lowerLetter"/>
      <w:lvlText w:val="%5."/>
      <w:lvlJc w:val="left"/>
      <w:pPr>
        <w:ind w:left="3600" w:hanging="360"/>
      </w:pPr>
    </w:lvl>
    <w:lvl w:ilvl="5" w:tplc="17419292" w:tentative="1">
      <w:start w:val="1"/>
      <w:numFmt w:val="lowerRoman"/>
      <w:lvlText w:val="%6."/>
      <w:lvlJc w:val="right"/>
      <w:pPr>
        <w:ind w:left="4320" w:hanging="180"/>
      </w:pPr>
    </w:lvl>
    <w:lvl w:ilvl="6" w:tplc="17419292" w:tentative="1">
      <w:start w:val="1"/>
      <w:numFmt w:val="decimal"/>
      <w:lvlText w:val="%7."/>
      <w:lvlJc w:val="left"/>
      <w:pPr>
        <w:ind w:left="5040" w:hanging="360"/>
      </w:pPr>
    </w:lvl>
    <w:lvl w:ilvl="7" w:tplc="17419292" w:tentative="1">
      <w:start w:val="1"/>
      <w:numFmt w:val="lowerLetter"/>
      <w:lvlText w:val="%8."/>
      <w:lvlJc w:val="left"/>
      <w:pPr>
        <w:ind w:left="5760" w:hanging="360"/>
      </w:pPr>
    </w:lvl>
    <w:lvl w:ilvl="8" w:tplc="17419292" w:tentative="1">
      <w:start w:val="1"/>
      <w:numFmt w:val="lowerRoman"/>
      <w:lvlText w:val="%9."/>
      <w:lvlJc w:val="right"/>
      <w:pPr>
        <w:ind w:left="6480" w:hanging="180"/>
      </w:pPr>
    </w:lvl>
  </w:abstractNum>
  <w:abstractNum w:abstractNumId="42429389">
    <w:multiLevelType w:val="hybridMultilevel"/>
    <w:lvl w:ilvl="0" w:tplc="37981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29389">
    <w:abstractNumId w:val="42429389"/>
  </w:num>
  <w:num w:numId="42429390">
    <w:abstractNumId w:val="424293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9745941" Type="http://schemas.microsoft.com/office/2011/relationships/commentsExtended" Target="commentsExtended.xml"/><Relationship Id="rId597762438" Type="http://schemas.microsoft.com/office/2011/relationships/people" Target="people.xml"/><Relationship Id="rId69176acb6f2d16c57" Type="http://schemas.openxmlformats.org/officeDocument/2006/relationships/hyperlink" Target="https://gd.eppo.int/taxon/AROMBU/" TargetMode="External"/><Relationship Id="rId67246acb6f2d16cc6" Type="http://schemas.openxmlformats.org/officeDocument/2006/relationships/hyperlink" Target="https://gd.eppo.int/taxon/AROMBU/categorization" TargetMode="External"/><Relationship Id="rId37096acb6f2d1775f" Type="http://schemas.openxmlformats.org/officeDocument/2006/relationships/hyperlink" Target="https://gd.eppo.int/taxon/AROMBU/photos" TargetMode="External"/><Relationship Id="rId19776acb6f2d1bb01" Type="http://schemas.openxmlformats.org/officeDocument/2006/relationships/hyperlink" Target="https://www.cabi.org/ISC/datasheetreport/118984" TargetMode="External"/><Relationship Id="rId41796acb6f2d1bc8c" Type="http://schemas.openxmlformats.org/officeDocument/2006/relationships/hyperlink" Target="https://doi.org/10.2903/sp.efsa.2019.EN-1731" TargetMode="External"/><Relationship Id="rId47436acb6f2d1bf17" Type="http://schemas.openxmlformats.org/officeDocument/2006/relationships/hyperlink" Target="https://gd.eppo.int/taxon/AROMBU/documents" TargetMode="External"/><Relationship Id="rId48256acb6f2d1c01f" Type="http://schemas.openxmlformats.org/officeDocument/2006/relationships/hyperlink" Target="https://doi.org/10.1111/epp.13008" TargetMode="External"/><Relationship Id="rId76936acb6f2d1c191" Type="http://schemas.openxmlformats.org/officeDocument/2006/relationships/hyperlink" Target="https://www.slideshare.net/ImageLine/raffaele-griffoaromiabungiifmv2012" TargetMode="External"/><Relationship Id="rId87546acb6f2d1c344" Type="http://schemas.openxmlformats.org/officeDocument/2006/relationships/hyperlink" Target="https://www.regione.lombardia.it/wps/portal/istituzionale/HP/DettaglioRedazionale/servizi-e-informazioni/Imprese/Imprese-agricole/servizio-fitosanitario-regionale/organismi-nocivi/aromia-bungii/aromia-bungii" TargetMode="External"/><Relationship Id="rId90426acb6f2d1c7f4" Type="http://schemas.openxmlformats.org/officeDocument/2006/relationships/hyperlink" Target="https://doi.org/10.1007/s10340-019-01108-6" TargetMode="External"/><Relationship Id="rId25086acb6f2d1c8b1" Type="http://schemas.openxmlformats.org/officeDocument/2006/relationships/hyperlink" Target="https://gd.eppo.int" TargetMode="External"/><Relationship Id="rId66246acb6f2d1c97c" Type="http://schemas.openxmlformats.org/officeDocument/2006/relationships/hyperlink" Target="https://doi.org/10.1111/epp.12173" TargetMode="External"/><Relationship Id="rId90286acb6f2d1748c" Type="http://schemas.openxmlformats.org/officeDocument/2006/relationships/image" Target="media/imgrId90286acb6f2d1748c.jpg"/><Relationship Id="rId60986acb6f2d18f0b" Type="http://schemas.openxmlformats.org/officeDocument/2006/relationships/image" Target="media/imgrId60986acb6f2d18f0b.jpg"/><Relationship Id="rId86786acb6f2d1ca11" Type="http://schemas.openxmlformats.org/officeDocument/2006/relationships/image" Target="media/imgrId86786acb6f2d1ca1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