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Arceuthobium abietinum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Arceuthobium abietinum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(Engelmann) Engelmann ex Munz</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Santalales: Santalaceae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fir dwarf mistletoe</w:t>
            </w:r>
            <w:hyperlink r:id="rId72036aaf4b9ae1ad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8476aaf4b9ae1b0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AREAB</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Mathiasen and Kenaley (2019) have recombined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The species consists of three subspecies, which are morphologically distinct and exhibit a high degree of host specificity: (1)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(formerly f.sp.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(white fir dwarf mistletoe), (2)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(formerly f.sp.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(red fir dwarf mistletoe), (3)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wiensii </w:t>
      </w:r>
      <w:r>
        <w:rPr>
          <w:rFonts w:ascii="Calibri" w:hAnsi="Calibri" w:eastAsia="Calibri" w:cs="Calibri"/>
          <w:color w:val="000000"/>
          <w:sz w:val="22"/>
          <w:szCs w:val="22"/>
        </w:rPr>
        <w:t xml:space="preserve">(Wiens' dwarf mistletoe). The new designations from Mathiasen and Kenaley (2019) are used in the datasheet. Recently, Kenaley (2020) proposed two further subspecies, namely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mathiasenii</w:t>
      </w:r>
      <w:r>
        <w:rPr>
          <w:rFonts w:ascii="Calibri" w:hAnsi="Calibri" w:eastAsia="Calibri" w:cs="Calibri"/>
          <w:color w:val="000000"/>
          <w:sz w:val="22"/>
          <w:szCs w:val="22"/>
        </w:rPr>
        <w:t xml:space="preserve"> (Mathiasen’s dwarf mistletoe), and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grandae</w:t>
      </w:r>
      <w:r>
        <w:rPr>
          <w:rFonts w:ascii="Calibri" w:hAnsi="Calibri" w:eastAsia="Calibri" w:cs="Calibri"/>
          <w:color w:val="000000"/>
          <w:sz w:val="22"/>
          <w:szCs w:val="22"/>
        </w:rPr>
        <w:t xml:space="preserve"> (grand fir dwarf mistletoe).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abietinum </w:t>
      </w:r>
      <w:r>
        <w:rPr>
          <w:rFonts w:ascii="Calibri" w:hAnsi="Calibri" w:eastAsia="Calibri" w:cs="Calibri"/>
          <w:color w:val="000000"/>
          <w:sz w:val="22"/>
          <w:szCs w:val="22"/>
        </w:rPr>
        <w:t xml:space="preserve">is a common plant parasite of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(Douglas ex D. Don) Lindl. (grand fir), </w:t>
      </w:r>
      <w:r>
        <w:rPr>
          <w:rFonts w:ascii="Calibri" w:hAnsi="Calibri" w:eastAsia="Calibri" w:cs="Calibri"/>
          <w:i/>
          <w:iCs/>
          <w:color w:val="000000"/>
          <w:sz w:val="22"/>
          <w:szCs w:val="22"/>
        </w:rPr>
        <w:t xml:space="preserve">Abies lowiana</w:t>
      </w:r>
      <w:r>
        <w:rPr>
          <w:rFonts w:ascii="Calibri" w:hAnsi="Calibri" w:eastAsia="Calibri" w:cs="Calibri"/>
          <w:color w:val="000000"/>
          <w:sz w:val="22"/>
          <w:szCs w:val="22"/>
        </w:rPr>
        <w:t xml:space="preserve"> (Gordon) A. Murray bis (Sierra white fir),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(Gord. et Glend.) Lindl. ex Hildebr. (Rocky Mountain white fir), and the hybrid populations of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in the Pacific Northwest and California, USA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Mathiasen, 2019; Mathiasen and Kenaley, 2019). It also parasitizes </w:t>
      </w:r>
      <w:r>
        <w:rPr>
          <w:rFonts w:ascii="Calibri" w:hAnsi="Calibri" w:eastAsia="Calibri" w:cs="Calibri"/>
          <w:i/>
          <w:iCs/>
          <w:color w:val="000000"/>
          <w:sz w:val="22"/>
          <w:szCs w:val="22"/>
        </w:rPr>
        <w:t xml:space="preserve">Abies durangensis</w:t>
      </w:r>
      <w:r>
        <w:rPr>
          <w:rFonts w:ascii="Calibri" w:hAnsi="Calibri" w:eastAsia="Calibri" w:cs="Calibri"/>
          <w:color w:val="000000"/>
          <w:sz w:val="22"/>
          <w:szCs w:val="22"/>
        </w:rPr>
        <w:t xml:space="preserve"> Martínez (Durango fir) in Durango and Chihuahua, Mexico (Mathiasen, 2010; Quiñonez Barraza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produces heavy infections on </w:t>
      </w:r>
      <w:r>
        <w:rPr>
          <w:rFonts w:ascii="Calibri" w:hAnsi="Calibri" w:eastAsia="Calibri" w:cs="Calibri"/>
          <w:i/>
          <w:iCs/>
          <w:color w:val="000000"/>
          <w:sz w:val="22"/>
          <w:szCs w:val="22"/>
        </w:rPr>
        <w:t xml:space="preserve">Picea breweriana </w:t>
      </w:r>
      <w:r>
        <w:rPr>
          <w:rFonts w:ascii="Calibri" w:hAnsi="Calibri" w:eastAsia="Calibri" w:cs="Calibri"/>
          <w:color w:val="000000"/>
          <w:sz w:val="22"/>
          <w:szCs w:val="22"/>
        </w:rPr>
        <w:t xml:space="preserve">Watson (Brewer spruce)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was also reported on </w:t>
      </w:r>
      <w:r>
        <w:rPr>
          <w:rFonts w:ascii="Calibri" w:hAnsi="Calibri" w:eastAsia="Calibri" w:cs="Calibri"/>
          <w:i/>
          <w:iCs/>
          <w:color w:val="000000"/>
          <w:sz w:val="22"/>
          <w:szCs w:val="22"/>
        </w:rPr>
        <w:t xml:space="preserve">Tsuga mertensiana</w:t>
      </w:r>
      <w:r>
        <w:rPr>
          <w:rFonts w:ascii="Calibri" w:hAnsi="Calibri" w:eastAsia="Calibri" w:cs="Calibri"/>
          <w:color w:val="000000"/>
          <w:sz w:val="22"/>
          <w:szCs w:val="22"/>
        </w:rPr>
        <w:t xml:space="preserve"> (Bong.) Carrière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Oregon, USA. These trees were growing among severely infected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(Mathiasen, 2002). The white fir dwarf mistletoe was found to be parasitizing </w:t>
      </w:r>
      <w:r>
        <w:rPr>
          <w:rFonts w:ascii="Calibri" w:hAnsi="Calibri" w:eastAsia="Calibri" w:cs="Calibri"/>
          <w:i/>
          <w:iCs/>
          <w:color w:val="000000"/>
          <w:sz w:val="22"/>
          <w:szCs w:val="22"/>
        </w:rPr>
        <w:t xml:space="preserve">Pinus mexicana</w:t>
      </w:r>
      <w:r>
        <w:rPr>
          <w:rFonts w:ascii="Calibri" w:hAnsi="Calibri" w:eastAsia="Calibri" w:cs="Calibri"/>
          <w:color w:val="000000"/>
          <w:sz w:val="22"/>
          <w:szCs w:val="22"/>
        </w:rPr>
        <w:t xml:space="preserve"> Martínez in Southern Chihuahua, Mexico (Mathiasen, 2010). Infected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Parry ex Engelm. has been observed in Oregon, USA by Oblinger (2015).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reported that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(Hook.) Nutt. is occasionally parasitized where this tree grows in association with infected </w:t>
      </w:r>
      <w:r>
        <w:rPr>
          <w:rFonts w:ascii="Calibri" w:hAnsi="Calibri" w:eastAsia="Calibri" w:cs="Calibri"/>
          <w:i/>
          <w:iCs/>
          <w:color w:val="000000"/>
          <w:sz w:val="22"/>
          <w:szCs w:val="22"/>
        </w:rPr>
        <w:t xml:space="preserve">Abies lowiana</w:t>
      </w:r>
      <w:r>
        <w:rPr>
          <w:rFonts w:ascii="Calibri" w:hAnsi="Calibri" w:eastAsia="Calibri" w:cs="Calibri"/>
          <w:color w:val="000000"/>
          <w:sz w:val="22"/>
          <w:szCs w:val="22"/>
        </w:rPr>
        <w:t xml:space="preserve"> (Arizona, USA). Moreover, the authors stated that </w:t>
      </w:r>
      <w:r>
        <w:rPr>
          <w:rFonts w:ascii="Calibri" w:hAnsi="Calibri" w:eastAsia="Calibri" w:cs="Calibri"/>
          <w:i/>
          <w:iCs/>
          <w:color w:val="000000"/>
          <w:sz w:val="22"/>
          <w:szCs w:val="22"/>
        </w:rPr>
        <w:t xml:space="preserve">Abies amabilis</w:t>
      </w:r>
      <w:r>
        <w:rPr>
          <w:rFonts w:ascii="Calibri" w:hAnsi="Calibri" w:eastAsia="Calibri" w:cs="Calibri"/>
          <w:color w:val="000000"/>
          <w:sz w:val="22"/>
          <w:szCs w:val="22"/>
        </w:rPr>
        <w:t xml:space="preserve"> (Douglas ex Loudon) J. Forbes is a rare host (Oregon, USA) as well as different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Pinus ayacahuite </w:t>
      </w:r>
      <w:r>
        <w:rPr>
          <w:rFonts w:ascii="Calibri" w:hAnsi="Calibri" w:eastAsia="Calibri" w:cs="Calibri"/>
          <w:color w:val="000000"/>
          <w:sz w:val="22"/>
          <w:szCs w:val="22"/>
        </w:rPr>
        <w:t xml:space="preserve">Ehrenb. ex Schltdl.,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murayama</w:t>
      </w:r>
      <w:r>
        <w:rPr>
          <w:rFonts w:ascii="Calibri" w:hAnsi="Calibri" w:eastAsia="Calibri" w:cs="Calibri"/>
          <w:color w:val="000000"/>
          <w:sz w:val="22"/>
          <w:szCs w:val="22"/>
        </w:rPr>
        <w:t xml:space="preserve"> (Balf.) S.Watson,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Douglas, and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Douglas ex D. Don).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Abies magnifica </w:t>
      </w:r>
      <w:r>
        <w:rPr>
          <w:rFonts w:ascii="Calibri" w:hAnsi="Calibri" w:eastAsia="Calibri" w:cs="Calibri"/>
          <w:color w:val="000000"/>
          <w:sz w:val="22"/>
          <w:szCs w:val="22"/>
        </w:rPr>
        <w:t xml:space="preserve">(red fir)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its varieties </w:t>
      </w:r>
      <w:r>
        <w:rPr>
          <w:rFonts w:ascii="Calibri" w:hAnsi="Calibri" w:eastAsia="Calibri" w:cs="Calibri"/>
          <w:i/>
          <w:iCs/>
          <w:color w:val="000000"/>
          <w:sz w:val="22"/>
          <w:szCs w:val="22"/>
        </w:rPr>
        <w:t xml:space="preserve">crutchfieldii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shastensis</w:t>
      </w:r>
      <w:r>
        <w:rPr>
          <w:rFonts w:ascii="Calibri" w:hAnsi="Calibri" w:eastAsia="Calibri" w:cs="Calibri"/>
          <w:color w:val="000000"/>
          <w:sz w:val="22"/>
          <w:szCs w:val="22"/>
        </w:rPr>
        <w:t xml:space="preserv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Mathiasen,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is a severe parasite on </w:t>
      </w:r>
      <w:r>
        <w:rPr>
          <w:rFonts w:ascii="Calibri" w:hAnsi="Calibri" w:eastAsia="Calibri" w:cs="Calibri"/>
          <w:i/>
          <w:iCs/>
          <w:color w:val="000000"/>
          <w:sz w:val="22"/>
          <w:szCs w:val="22"/>
        </w:rPr>
        <w:t xml:space="preserve">Picea breweriana</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Abies magnifica </w:t>
      </w:r>
      <w:r>
        <w:rPr>
          <w:rFonts w:ascii="Calibri" w:hAnsi="Calibri" w:eastAsia="Calibri" w:cs="Calibri"/>
          <w:color w:val="000000"/>
          <w:sz w:val="22"/>
          <w:szCs w:val="22"/>
        </w:rPr>
        <w:t xml:space="preserve">and occasionally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It is rarely parasitic on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(Mathiasen and Daugherty, 2009).</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br/>
        <w:t xml:space="preserve">Table: Susceptibility of hosts of </w:t>
      </w:r>
      <w:r>
        <w:rPr>
          <w:rFonts w:ascii="Calibri" w:hAnsi="Calibri" w:eastAsia="Calibri" w:cs="Calibri"/>
          <w:b/>
          <w:bCs/>
          <w:i/>
          <w:iCs/>
          <w:color w:val="000000"/>
          <w:sz w:val="22"/>
          <w:szCs w:val="22"/>
        </w:rPr>
        <w:t xml:space="preserve">Arceuthobium abietinum. </w:t>
      </w:r>
      <w:r>
        <w:rPr>
          <w:rFonts w:ascii="Calibri" w:hAnsi="Calibri" w:eastAsia="Calibri" w:cs="Calibri"/>
          <w:color w:val="000000"/>
          <w:sz w:val="22"/>
          <w:szCs w:val="22"/>
        </w:rPr>
        <w:t xml:space="preserve">Note: for the mistletoes there is a classification system of susceptibility (= rare, occasionally, secondary and principal host) and this is adopted for the three subspecies.</w:t>
      </w:r>
    </w:p>
    <w:tbl>
      <w:tblPr>
        <w:tblStyle w:val="TableGridPHPDOCX"/>
        <w:tblCellMar>
          <w:left w:type="dxa" w:w="0"/>
          <w:right w:type="dxa" w:w="0"/>
        </w:tblCellMar>
        <w:tblW w:w="0" w:type="auto"/>
        <w:tblCellSpacing w:w="30" w:type="dxa"/>
        <w:tblInd w:w="0" w:type="auto"/>
        <w:tblBorders>
          <w:top w:val="outset" w:color="808080" w:sz="5"/>
          <w:left w:val="outset" w:color="808080" w:sz="5"/>
          <w:bottom w:val="outset" w:color="808080" w:sz="5"/>
          <w:right w:val="outset" w:color="808080" w:sz="5"/>
        </w:tblBorders>
      </w:tblPr>
      <w:tblGrid>
        <w:gridCol w:w="1741.5730337079"/>
        <w:gridCol w:w="1292.1348314607"/>
        <w:gridCol w:w="1966.2921348315"/>
      </w:tblGrid>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p>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b/>
                <w:bCs/>
                <w:color w:val="000000"/>
                <w:position w:val="0"/>
                <w:sz w:val="22"/>
                <w:szCs w:val="22"/>
              </w:rPr>
              <w:t xml:space="preserve">  Principal hosts</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b/>
                <w:bCs/>
                <w:color w:val="000000"/>
                <w:position w:val="0"/>
                <w:sz w:val="22"/>
                <w:szCs w:val="22"/>
              </w:rPr>
              <w:t xml:space="preserve">  Secondary [s], Occasional [o], </w:t>
            </w:r>
            <w:r>
              <w:rPr>
                <w:rFonts w:ascii="Calibri" w:hAnsi="Calibri" w:eastAsia="Calibri" w:cs="Calibri"/>
                <w:b/>
                <w:bCs/>
                <w:color w:val="000000"/>
                <w:position w:val="0"/>
                <w:sz w:val="22"/>
                <w:szCs w:val="22"/>
              </w:rPr>
              <w:br/>
              <w:t xml:space="preserve">  Rare [r] hosts</w:t>
            </w:r>
          </w:p>
        </w:tc>
      </w:tr>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 abietinum </w:t>
            </w:r>
            <w:r>
              <w:rPr>
                <w:rFonts w:ascii="Calibri" w:hAnsi="Calibri" w:eastAsia="Calibri" w:cs="Calibri"/>
                <w:color w:val="000000"/>
                <w:position w:val="0"/>
                <w:sz w:val="22"/>
                <w:szCs w:val="22"/>
              </w:rPr>
              <w:t xml:space="preserve">subsp. </w:t>
            </w:r>
            <w:r>
              <w:rPr>
                <w:rFonts w:ascii="Calibri" w:hAnsi="Calibri" w:eastAsia="Calibri" w:cs="Calibri"/>
                <w:i/>
                <w:iCs/>
                <w:color w:val="000000"/>
                <w:position w:val="0"/>
                <w:sz w:val="22"/>
                <w:szCs w:val="22"/>
              </w:rPr>
              <w:t xml:space="preserve">abietinum</w:t>
            </w:r>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w:t>
            </w:r>
            <w:r>
              <w:rPr>
                <w:rFonts w:ascii="Calibri" w:hAnsi="Calibri" w:eastAsia="Calibri" w:cs="Calibri"/>
                <w:color w:val="000000"/>
                <w:position w:val="0"/>
                <w:sz w:val="22"/>
                <w:szCs w:val="22"/>
              </w:rPr>
              <w:t xml:space="preserve"> </w:t>
            </w:r>
            <w:r>
              <w:rPr>
                <w:rFonts w:ascii="Calibri" w:hAnsi="Calibri" w:eastAsia="Calibri" w:cs="Calibri"/>
                <w:i/>
                <w:iCs/>
                <w:color w:val="000000"/>
                <w:position w:val="0"/>
                <w:sz w:val="22"/>
                <w:szCs w:val="22"/>
              </w:rPr>
              <w:t xml:space="preserve">lowiana</w:t>
            </w:r>
            <w:r>
              <w:rPr>
                <w:rFonts w:ascii="Calibri" w:hAnsi="Calibri" w:eastAsia="Calibri" w:cs="Calibri"/>
                <w:color w:val="000000"/>
                <w:position w:val="0"/>
                <w:sz w:val="22"/>
                <w:szCs w:val="22"/>
              </w:rPr>
              <w:t xml:space="preserve"> </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grandis</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durangensis</w:t>
            </w:r>
            <w:r>
              <w:rPr>
                <w:rFonts w:ascii="Calibri" w:hAnsi="Calibri" w:eastAsia="Calibri" w:cs="Calibri"/>
                <w:color w:val="000000"/>
                <w:position w:val="0"/>
                <w:sz w:val="22"/>
                <w:szCs w:val="22"/>
              </w:rPr>
              <w:t xml:space="preserve"> </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concolor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concolor x A. grandis</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breweriana </w:t>
            </w:r>
            <w:r>
              <w:rPr>
                <w:rFonts w:ascii="Calibri" w:hAnsi="Calibri" w:eastAsia="Calibri" w:cs="Calibri"/>
                <w:color w:val="000000"/>
                <w:position w:val="0"/>
                <w:sz w:val="22"/>
                <w:szCs w:val="22"/>
              </w:rPr>
              <w:t xml:space="preserve">(s)</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engelmannii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mexicana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Tsuga mertensiana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lasiocarpa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amabilis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ayacahuite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contorta </w:t>
            </w:r>
            <w:r>
              <w:rPr>
                <w:rFonts w:ascii="Calibri" w:hAnsi="Calibri" w:eastAsia="Calibri" w:cs="Calibri"/>
                <w:color w:val="000000"/>
                <w:position w:val="0"/>
                <w:sz w:val="22"/>
                <w:szCs w:val="22"/>
              </w:rPr>
              <w:t xml:space="preserve">var.</w:t>
            </w:r>
            <w:r>
              <w:rPr>
                <w:rFonts w:ascii="Calibri" w:hAnsi="Calibri" w:eastAsia="Calibri" w:cs="Calibri"/>
                <w:i/>
                <w:iCs/>
                <w:color w:val="000000"/>
                <w:position w:val="0"/>
                <w:sz w:val="22"/>
                <w:szCs w:val="22"/>
              </w:rPr>
              <w:t xml:space="preserve"> murrayana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lambertiana </w:t>
            </w:r>
            <w:r>
              <w:rPr>
                <w:rFonts w:ascii="Calibri" w:hAnsi="Calibri" w:eastAsia="Calibri" w:cs="Calibri"/>
                <w:color w:val="000000"/>
                <w:position w:val="0"/>
                <w:sz w:val="22"/>
                <w:szCs w:val="22"/>
              </w:rPr>
              <w:t xml:space="preserve">(r)</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monticola </w:t>
            </w:r>
            <w:r>
              <w:rPr>
                <w:rFonts w:ascii="Calibri" w:hAnsi="Calibri" w:eastAsia="Calibri" w:cs="Calibri"/>
                <w:color w:val="000000"/>
                <w:position w:val="0"/>
                <w:sz w:val="22"/>
                <w:szCs w:val="22"/>
              </w:rPr>
              <w:t xml:space="preserve">(r)</w:t>
            </w:r>
          </w:p>
        </w:tc>
      </w:tr>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 abietinum </w:t>
            </w:r>
            <w:r>
              <w:rPr>
                <w:rFonts w:ascii="Calibri" w:hAnsi="Calibri" w:eastAsia="Calibri" w:cs="Calibri"/>
                <w:color w:val="000000"/>
                <w:position w:val="0"/>
                <w:sz w:val="22"/>
                <w:szCs w:val="22"/>
              </w:rPr>
              <w:t xml:space="preserve">subsp. </w:t>
            </w:r>
            <w:r>
              <w:rPr>
                <w:rFonts w:ascii="Calibri" w:hAnsi="Calibri" w:eastAsia="Calibri" w:cs="Calibri"/>
                <w:i/>
                <w:iCs/>
                <w:color w:val="000000"/>
                <w:position w:val="0"/>
                <w:sz w:val="22"/>
                <w:szCs w:val="22"/>
              </w:rPr>
              <w:t xml:space="preserve">magnificae</w:t>
            </w:r>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magnifica</w:t>
            </w:r>
            <w:r>
              <w:rPr>
                <w:rFonts w:ascii="Calibri" w:hAnsi="Calibri" w:eastAsia="Calibri" w:cs="Calibri"/>
                <w:i/>
                <w:iCs/>
                <w:color w:val="000000"/>
                <w:position w:val="0"/>
                <w:sz w:val="22"/>
                <w:szCs w:val="22"/>
              </w:rPr>
              <w:t xml:space="preserve"> </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  -</w:t>
            </w:r>
          </w:p>
        </w:tc>
      </w:tr>
      <w:tr>
        <w:trPr>
          <w:trHeight w:val="0" w:hRule="atLeast"/>
        </w:trPr>
        <w:tc>
          <w:tcPr>
            <w:tcW w:w="1741.5730337079"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 abietinum</w:t>
            </w:r>
            <w:r>
              <w:rPr>
                <w:rFonts w:ascii="Calibri" w:hAnsi="Calibri" w:eastAsia="Calibri" w:cs="Calibri"/>
                <w:color w:val="000000"/>
                <w:position w:val="0"/>
                <w:sz w:val="22"/>
                <w:szCs w:val="22"/>
              </w:rPr>
              <w:t xml:space="preserve"> subsp. </w:t>
            </w:r>
            <w:r>
              <w:rPr>
                <w:rFonts w:ascii="Calibri" w:hAnsi="Calibri" w:eastAsia="Calibri" w:cs="Calibri"/>
                <w:i/>
                <w:iCs/>
                <w:color w:val="000000"/>
                <w:position w:val="0"/>
                <w:sz w:val="22"/>
                <w:szCs w:val="22"/>
              </w:rPr>
              <w:t xml:space="preserve">wiensii</w:t>
            </w:r>
          </w:p>
        </w:tc>
        <w:tc>
          <w:tcPr>
            <w:tcW w:w="1292.1348314607"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Picea breweriana</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magnifica</w:t>
            </w:r>
          </w:p>
        </w:tc>
        <w:tc>
          <w:tcPr>
            <w:tcW w:w="1966.292134831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w:t>
            </w:r>
            <w:r>
              <w:rPr>
                <w:rFonts w:ascii="Calibri" w:hAnsi="Calibri" w:eastAsia="Calibri" w:cs="Calibri"/>
                <w:color w:val="000000"/>
                <w:position w:val="0"/>
                <w:sz w:val="22"/>
                <w:szCs w:val="22"/>
              </w:rPr>
              <w:t xml:space="preserve"> </w:t>
            </w:r>
            <w:r>
              <w:rPr>
                <w:rFonts w:ascii="Calibri" w:hAnsi="Calibri" w:eastAsia="Calibri" w:cs="Calibri"/>
                <w:i/>
                <w:iCs/>
                <w:color w:val="000000"/>
                <w:position w:val="0"/>
                <w:sz w:val="22"/>
                <w:szCs w:val="22"/>
              </w:rPr>
              <w:t xml:space="preserve">concolor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Abies lasiocarpa </w:t>
            </w:r>
            <w:r>
              <w:rPr>
                <w:rFonts w:ascii="Calibri" w:hAnsi="Calibri" w:eastAsia="Calibri" w:cs="Calibri"/>
                <w:color w:val="000000"/>
                <w:position w:val="0"/>
                <w:sz w:val="22"/>
                <w:szCs w:val="22"/>
              </w:rPr>
              <w:t xml:space="preserve">(o)</w:t>
            </w:r>
          </w:p>
          <w:p>
            <w:pPr>
              <w:widowControl w:val="on"/>
              <w:pBdr/>
              <w:spacing w:before="220" w:after="220" w:line="240" w:lineRule="auto"/>
              <w:ind w:left="0" w:right="0"/>
              <w:jc w:val="left"/>
              <w:textAlignment w:val="top"/>
            </w:pPr>
            <w:r>
              <w:rPr>
                <w:rFonts w:ascii="Calibri" w:hAnsi="Calibri" w:eastAsia="Calibri" w:cs="Calibri"/>
                <w:i/>
                <w:iCs/>
                <w:color w:val="000000"/>
                <w:position w:val="0"/>
                <w:sz w:val="22"/>
                <w:szCs w:val="22"/>
              </w:rPr>
              <w:t xml:space="preserve">  Pinus monticola </w:t>
            </w:r>
            <w:r>
              <w:rPr>
                <w:rFonts w:ascii="Calibri" w:hAnsi="Calibri" w:eastAsia="Calibri" w:cs="Calibri"/>
                <w:color w:val="000000"/>
                <w:position w:val="0"/>
                <w:sz w:val="22"/>
                <w:szCs w:val="22"/>
              </w:rPr>
              <w:t xml:space="preserve">(r)</w:t>
            </w:r>
          </w:p>
        </w:tc>
      </w:tr>
    </w:tbl>
    <w:p>
      <w:pPr>
        <w:widowControl w:val="on"/>
        <w:pBdr/>
        <w:spacing w:before="220" w:after="220" w:line="240" w:lineRule="auto"/>
        <w:ind w:left="0" w:right="0"/>
        <w:jc w:val="left"/>
      </w:pPr>
    </w:p>
    <w:p>
      <w:pPr>
        <w:widowControl w:val="on"/>
        <w:pBdr/>
        <w:spacing w:before="0" w:after="0" w:line="240" w:lineRule="auto"/>
        <w:ind w:left="0" w:right="0"/>
        <w:jc w:val="left"/>
      </w:pPr>
      <w:r>
        <w:rPr>
          <w:rFonts w:ascii="Calibri" w:hAnsi="Calibri" w:eastAsia="Calibri" w:cs="Calibri"/>
          <w:b/>
          <w:bCs/>
          <w:color w:val="000000"/>
          <w:sz w:val="22"/>
          <w:szCs w:val="22"/>
        </w:rPr>
        <w:b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amabilis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 var. 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durangensis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breweriana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 subsp.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murrayana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mertensiana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occurs in the Western United States and Mexico. A detailed description of its distribution and maps can be found in Mathiasen and Daugherty (2009) and Mathiasen and Kenaley, respectively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encompasses Southern Washington southward to Southern California. Isolated populations are present in Nevada, Utah and Arizona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species has also been found in Mexico (Southern Chihuahua, Durango) (Mathiasen, 2010; Quiñonez Barraza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It occurs from near sea level along the coast to over 2 650 m ASL (Southern Nevada).</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occurs in Southwestern Oregon to the Southern Sierra Nevada in California (close to the border of Nevada) (Hawksworth and Wiens, 1996;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Its elevational range is from 1 500 to 2 400 m ASL.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wiensii </w:t>
      </w:r>
      <w:r>
        <w:rPr>
          <w:rFonts w:ascii="Calibri" w:hAnsi="Calibri" w:eastAsia="Calibri" w:cs="Calibri"/>
          <w:color w:val="000000"/>
          <w:sz w:val="22"/>
          <w:szCs w:val="22"/>
        </w:rPr>
        <w:t xml:space="preserve">has been found in the Klamath–Siskiyou Mountains in Northwestern California and Southwestern Oregon (Mathiasen, 2010).</w:t>
      </w:r>
    </w:p>
    <w:p>
      <w:r>
        <w:drawing>
          <wp:inline distT="0" distB="0" distL="0" distR="0">
            <wp:extent cx="6120000" cy="3067200"/>
            <wp:docPr id="99502602" name="name86066aaf4b9ae3d24" descr="AREA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B_distribution_map.jpg"/>
                    <pic:cNvPicPr/>
                  </pic:nvPicPr>
                  <pic:blipFill>
                    <a:blip r:embed="rId21606aaf4b9ae3d2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Nevada, Oregon, Utah,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 AND ECOLOGY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Information on the biology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can be found in Hawksworth and Wiens (1996) and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life cycle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is distinctive because of two features: (1) obligate parasitism (i.e. an endophytic 'root' system ramifies within the host branch) and (2) hydrostatically controlled, explosive seed dispersal. General aspects of the biology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(with a focus on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are summarized below.</w:t>
      </w:r>
    </w:p>
    <w:p>
      <w:pPr>
        <w:widowControl w:val="on"/>
        <w:pBdr/>
        <w:spacing w:before="220" w:after="220" w:line="240" w:lineRule="auto"/>
        <w:ind w:left="0" w:right="0"/>
        <w:jc w:val="both"/>
      </w:pP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peak anthesis usually occurs from early-July to mid-September peaking in late-July to late August. Seed dispersal is from late August to late October peaking in late September to early October (Mathiasen and Daugherty, 2009; Mathiasen and Kenaley, 2019).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is dioecious with populations usually exhibiting a 50/50 pistillate/staminate plant ratio. Pollination appears to be predominantly by generalist insects (especially ants and flies), but may also occur by wind. However, no true seeds are formed. The “seed” is an embryo that is embedded in chlorophyllous endosperm, surrounded by viscin (referred to seed hereafter). Dispersal of the seed is involves an explosive process, which expulses the seed with a force that could carry it for up to 10 m. Most seeds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however, are intercepted within 2 to 4 m by host needles by means of its viscin coating. Seed interception rates, however, are highly variable depending on variation in crown density, position of the dwarf mistletoe on the host, and needle characteristics. Many intercepted seeds are lost to disease, predation, or removal by rain. Less than 5% of intercepted seed establish new infections. The number of seeds produced on trees is variable and controlled by variation in the size of the endophytic system, host–parasite physiology, activity by pathogens and insects, and environmental conditions. Once an infection is established, the dwarf mistletoe develops a system of haustoria. After a period of a few years (approx. 2 to 5) from infection, initial shoots develop, and flowering occurs 1 to 2 years after shoot development.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external symptom is usually a swelling of the host tissues at the infection site, which eventually becomes fusiform (tapered at the ends). Shoots are the best indication that a tree is infected by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In the absence of shoots, examination with a hand lens of the affected bark, or of a cross section of it, will reveal yellowish, wedge-shaped sinkers, which were the small basal cups in which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shoots were inserted. Other obvious field symptoms of an infection are dying branches (flagging), crown thinning and forming of distorted host branches (witches’ brooms). Once the crown is heavily parasitized, growth rate declines rapidly and the height and diameter of trees is reduced, foliage yellows and becomes sparse, with a subsequent top dieback and eventual death (illustrative images of symptoms can be found in Worrall and Geils, 2006). Particularly in early stages of infection, however, symptoms may be subtle or absent.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is a dioecious and obligate parasite with an endophytic ‘root’ system ramifying within the host branch. Plants are quite small (max. 25 cm), glabrous, and ‘the staminate buds [have the] same color as the subtending bracts’ (Hawksworth and Wiens 1996). The detailed description of the subspecies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follows Mathiasen and Daugherty (2009) and Mathiasen and Kenaley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can be 3.1 to 24.5 cm in height, with a mean of 11 cm. The basal diameter of dominate plants is 1.7 to 6.8 mm (mean 3.1 mm). The staminate plants are yellow-green, while pistillate plants are primarily yellow-green to green-brown. Staminate flowers are 3- or 4-partite and 2.9 mm and 3.8 mm in diameter (mean), respectively. Fruits are 3.2 to 6.2 mm (4.7 mm) long and 2.2 to 4.1 mm (3.0 mm) wide. Seed are 1.3 to 3.4 mm (2.5 mm) long and 0.8 to 1.6 mm (1.2 mm) wide.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can reach 6.0 to 25.1 cm in height, with a mean of 12 cm. The basal diameter of dominate plants is 1.9 to 7.6 mm (mean 3.5 mm). The staminate plants are yellow-green, while pistillate plants are primarily yellow-green to brown-green. Staminate flowers are 3- or 4-partite and 2.6 mm and 3.8 mm in diameter (mean), respectively. Fruits are 3.4 to 5.9 mm (4.7 mm) long and 2.2 to 3.9 mm (3.0 mm) wide. Seed are 1.8 to 3.3 mm (2.5 mm) long and 0.8 to 1.6 mm (1.2 mm) wide.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can reach 3.8 to 16.1 cm in height, with a mean of 9 cm. The basal diameter of dominate plants is 1.8 to 5.8 mm (mean 3.1 mm). The staminate plants are green-brown to red-brown, while pistillate plants are primarily green-brown to red-brown to yellow-brown. Staminate flowers are 3- or 4-partite and 2.8 mm in diameter (mean). Fruits are 3.1 to 5.0 mm (4.2 mm) long and 2.2 to 3.5 mm (3.0 mm) wide. Seed are 1.9 to 2.9 mm (2.4 mm) long and 0.9 to 1.5 mm (1.1 mm) wide.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subspecies exhibit extreme host specificity often together with an occurrence only in certain geographical regions. They can be further separated by a few, but significantly different, morphological characters (e.g. shoot colour, plant height, basal diameter of male plants). Another difference between the subspecies is that they have slightly different flowering and seed dispersal periods (Mathiasen and Kenaley, 2019, Kenaley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At the initial stage of infection,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grows within the host tissue and cannot be detected by visual inspection. Mature</w:t>
      </w:r>
      <w:r>
        <w:rPr>
          <w:rFonts w:ascii="Calibri" w:hAnsi="Calibri" w:eastAsia="Calibri" w:cs="Calibri"/>
          <w:i/>
          <w:iCs/>
          <w:color w:val="000000"/>
          <w:sz w:val="22"/>
          <w:szCs w:val="22"/>
        </w:rPr>
        <w:t xml:space="preserve"> Arceuthobium abietinum</w:t>
      </w:r>
      <w:r>
        <w:rPr>
          <w:rFonts w:ascii="Calibri" w:hAnsi="Calibri" w:eastAsia="Calibri" w:cs="Calibri"/>
          <w:color w:val="000000"/>
          <w:sz w:val="22"/>
          <w:szCs w:val="22"/>
        </w:rPr>
        <w:t xml:space="preserve"> on infected host tress are conspicuous and can be easily noticed. Identification keys to distinguish the different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are accessible (Hawksworth and Wiens, 1996). Molecular detection techniques for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are not available yet, although polymerase chain reaction (PCR) techniques for detecting other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in tissues of their hosts have been developed (Marler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the main mean of dispersal over a short distance. Birds and mammals may be important for the rare long-distance dispersal of seeds to new infection centres. Movement of timber, which has not been completely de-barked, can result in movement of complete plants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and possible transfer of seeds to new sites (Hawksworth and Wiens, 1996; CABI,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host plants are the most likely pathway of accidental international spread. Plants for planting and cut-branches could carry living plants, especially in the prolonged endophytic stage before the external plant develops (Hawksworth and Wiens, 1996; CABI,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reduces growth (diameter, height, volume) of the host trees, increases susceptibility to drought stress, attack by other pathogens (decay fungi, such as </w:t>
      </w:r>
      <w:r>
        <w:rPr>
          <w:rFonts w:ascii="Calibri" w:hAnsi="Calibri" w:eastAsia="Calibri" w:cs="Calibri"/>
          <w:i/>
          <w:iCs/>
          <w:color w:val="000000"/>
          <w:sz w:val="22"/>
          <w:szCs w:val="22"/>
        </w:rPr>
        <w:t xml:space="preserve">Cytospora abietis</w:t>
      </w:r>
      <w:r>
        <w:rPr>
          <w:rFonts w:ascii="Calibri" w:hAnsi="Calibri" w:eastAsia="Calibri" w:cs="Calibri"/>
          <w:color w:val="000000"/>
          <w:sz w:val="22"/>
          <w:szCs w:val="22"/>
        </w:rPr>
        <w:t xml:space="preserve">), insects, and direct or indirect mortality (Hawksworth and Wiens, 1996; Mehl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Mathiasen, 2019). The effects of infections are dependent on multiple interacting factors, such as, physiological status and developmental stage of the host, occurrence of pathogens, stand density and water availability (Hawksworth and Wiens, 1996). Infection rates of the hosts could be very high. In the Sierra Nevada Mountains (USA), Mathiasen (2019) reported that almost 99% of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and 98% of </w:t>
      </w:r>
      <w:r>
        <w:rPr>
          <w:rFonts w:ascii="Calibri" w:hAnsi="Calibri" w:eastAsia="Calibri" w:cs="Calibri"/>
          <w:i/>
          <w:iCs/>
          <w:color w:val="000000"/>
          <w:sz w:val="22"/>
          <w:szCs w:val="22"/>
        </w:rPr>
        <w:t xml:space="preserve">Abies lowiana </w:t>
      </w:r>
      <w:r>
        <w:rPr>
          <w:rFonts w:ascii="Calibri" w:hAnsi="Calibri" w:eastAsia="Calibri" w:cs="Calibri"/>
          <w:color w:val="000000"/>
          <w:sz w:val="22"/>
          <w:szCs w:val="22"/>
        </w:rPr>
        <w:t xml:space="preserve">were infected in stands infested with subspecies </w:t>
      </w:r>
      <w:r>
        <w:rPr>
          <w:rFonts w:ascii="Calibri" w:hAnsi="Calibri" w:eastAsia="Calibri" w:cs="Calibri"/>
          <w:i/>
          <w:iCs/>
          <w:color w:val="000000"/>
          <w:sz w:val="22"/>
          <w:szCs w:val="22"/>
        </w:rPr>
        <w:t xml:space="preserve">magnificae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abietinum</w:t>
      </w:r>
      <w:r>
        <w:rPr>
          <w:rFonts w:ascii="Calibri" w:hAnsi="Calibri" w:eastAsia="Calibri" w:cs="Calibri"/>
          <w:color w:val="000000"/>
          <w:sz w:val="22"/>
          <w:szCs w:val="22"/>
        </w:rPr>
        <w:t xml:space="preserve">, respectively. Mortensen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annual mortality rates in the Sierra Nevada Mountains for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 lowiana</w:t>
      </w:r>
      <w:r>
        <w:rPr>
          <w:rFonts w:ascii="Calibri" w:hAnsi="Calibri" w:eastAsia="Calibri" w:cs="Calibri"/>
          <w:color w:val="000000"/>
          <w:sz w:val="22"/>
          <w:szCs w:val="22"/>
        </w:rPr>
        <w:t xml:space="preserve"> of 1.8% and 3.0%, respectively. The authors stated that the most significant of multiple factors (i.e. drought, pathogens) involved in the mortality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was the presence of the respective dwarf mistletoe.</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figures reveal that</w:t>
      </w:r>
      <w:r>
        <w:rPr>
          <w:rFonts w:ascii="Calibri" w:hAnsi="Calibri" w:eastAsia="Calibri" w:cs="Calibri"/>
          <w:i/>
          <w:iCs/>
          <w:color w:val="000000"/>
          <w:sz w:val="22"/>
          <w:szCs w:val="22"/>
        </w:rPr>
        <w:t xml:space="preserve"> Arceuthobium</w:t>
      </w:r>
      <w:r>
        <w:rPr>
          <w:rFonts w:ascii="Calibri" w:hAnsi="Calibri" w:eastAsia="Calibri" w:cs="Calibri"/>
          <w:color w:val="000000"/>
          <w:sz w:val="22"/>
          <w:szCs w:val="22"/>
        </w:rPr>
        <w:t xml:space="preserve"> spp. are very damaging in North American forests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Losses in terms of timber production have been estimated at 11.3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of wood in Western USA and 3.8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in Western Canada (Worrall and Geils,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strategies for the control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have been developed (e.g. Muir and Geils, 2003; Worrall and Geils, 2006; Hofmann,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w:t>
      </w:r>
      <w:r>
        <w:rPr>
          <w:rFonts w:ascii="Calibri" w:hAnsi="Calibri" w:eastAsia="Calibri" w:cs="Calibri"/>
          <w:i/>
          <w:iCs/>
          <w:color w:val="000000"/>
          <w:sz w:val="22"/>
          <w:szCs w:val="22"/>
        </w:rPr>
        <w:t xml:space="preserve"> Arceuthobium</w:t>
      </w:r>
      <w:r>
        <w:rPr>
          <w:rFonts w:ascii="Calibri" w:hAnsi="Calibri" w:eastAsia="Calibri" w:cs="Calibri"/>
          <w:color w:val="000000"/>
          <w:sz w:val="22"/>
          <w:szCs w:val="22"/>
        </w:rPr>
        <w:t xml:space="preserve"> spp. has a few characteristics that can enhance the success of silvicultural treatments (Muir and Geils, 2002).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are obligate parasites and need a living host in order to survive and reproduce, they have a limited seed dispersal, slow intensification within tree crowns, and an extended life cycle. Infections in both individual trees and stands are generally easy to detect (stem swellings, presence of yellowish shoots of the dwarf mistletoe, witches’ brooms). </w:t>
      </w:r>
    </w:p>
    <w:p>
      <w:pPr>
        <w:widowControl w:val="on"/>
        <w:pBdr/>
        <w:spacing w:before="220" w:after="220" w:line="240" w:lineRule="auto"/>
        <w:ind w:left="0" w:right="0"/>
        <w:jc w:val="both"/>
      </w:pPr>
      <w:r>
        <w:rPr>
          <w:rFonts w:ascii="Calibri" w:hAnsi="Calibri" w:eastAsia="Calibri" w:cs="Calibri"/>
          <w:color w:val="000000"/>
          <w:sz w:val="22"/>
          <w:szCs w:val="22"/>
        </w:rPr>
        <w:t xml:space="preserve">Thus, basic management strategies include (Muir and Geils, 2003; Hofmann, 2010):</w:t>
      </w:r>
    </w:p>
    <w:p>
      <w:pPr>
        <w:widowControl w:val="on"/>
        <w:pBdr/>
        <w:spacing w:before="220" w:after="220" w:line="240" w:lineRule="auto"/>
        <w:ind w:left="0" w:right="0"/>
        <w:jc w:val="left"/>
      </w:pPr>
      <w:r>
        <w:rPr>
          <w:rFonts w:ascii="Calibri" w:hAnsi="Calibri" w:eastAsia="Calibri" w:cs="Calibri"/>
          <w:color w:val="000000"/>
          <w:sz w:val="22"/>
          <w:szCs w:val="22"/>
        </w:rPr>
        <w:t xml:space="preserve">- Roguing infested tress or pruning brooms and infected branches. </w:t>
      </w:r>
    </w:p>
    <w:p>
      <w:pPr>
        <w:widowControl w:val="on"/>
        <w:pBdr/>
        <w:spacing w:before="220" w:after="220" w:line="240" w:lineRule="auto"/>
        <w:ind w:left="0" w:right="0"/>
        <w:jc w:val="left"/>
      </w:pPr>
      <w:r>
        <w:rPr>
          <w:rFonts w:ascii="Calibri" w:hAnsi="Calibri" w:eastAsia="Calibri" w:cs="Calibri"/>
          <w:color w:val="000000"/>
          <w:sz w:val="22"/>
          <w:szCs w:val="22"/>
        </w:rPr>
        <w:t xml:space="preserve">- Replacing affected stands with mistletoe-free regeneration.</w:t>
      </w:r>
    </w:p>
    <w:p>
      <w:pPr>
        <w:widowControl w:val="on"/>
        <w:pBdr/>
        <w:spacing w:before="220" w:after="220" w:line="240" w:lineRule="auto"/>
        <w:ind w:left="0" w:right="0"/>
        <w:jc w:val="left"/>
      </w:pPr>
      <w:r>
        <w:rPr>
          <w:rFonts w:ascii="Calibri" w:hAnsi="Calibri" w:eastAsia="Calibri" w:cs="Calibri"/>
          <w:color w:val="000000"/>
          <w:sz w:val="22"/>
          <w:szCs w:val="22"/>
        </w:rPr>
        <w:t xml:space="preserve">- Precommercial thinning: promoting overall tree vigor, stimulating host height.</w:t>
      </w:r>
    </w:p>
    <w:p>
      <w:pPr>
        <w:widowControl w:val="on"/>
        <w:pBdr/>
        <w:spacing w:before="220" w:after="220" w:line="240" w:lineRule="auto"/>
        <w:ind w:left="0" w:right="0"/>
        <w:jc w:val="left"/>
      </w:pPr>
      <w:r>
        <w:rPr>
          <w:rFonts w:ascii="Calibri" w:hAnsi="Calibri" w:eastAsia="Calibri" w:cs="Calibri"/>
          <w:color w:val="000000"/>
          <w:sz w:val="22"/>
          <w:szCs w:val="22"/>
        </w:rPr>
        <w:t xml:space="preserve">- Commercial thinning: select trees for removal in a stand that have a dwarf mistletoe rating (DMR) &gt; 3. DMR is a scale for determining the relative population status of a dwarf mistletoe infestation in a stand. Trees with DMR of 3 and less, especially those with infections limited to the lower third of the crown, will most likely not suffer from significant growth losses. </w:t>
      </w:r>
    </w:p>
    <w:p>
      <w:pPr>
        <w:widowControl w:val="on"/>
        <w:pBdr/>
        <w:spacing w:before="220" w:after="220" w:line="240" w:lineRule="auto"/>
        <w:ind w:left="0" w:right="0"/>
        <w:jc w:val="left"/>
      </w:pPr>
      <w:r>
        <w:rPr>
          <w:rFonts w:ascii="Calibri" w:hAnsi="Calibri" w:eastAsia="Calibri" w:cs="Calibri"/>
          <w:color w:val="000000"/>
          <w:sz w:val="22"/>
          <w:szCs w:val="22"/>
        </w:rPr>
        <w:t xml:space="preserve">- Controlled use of fire: it can reduce the abundance of dwarf mistletoes, as heavily affected trees are less likely to survive ground fire than less affected trees.</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and biological control options appear to be inadequate (Shamoun and DeWald, 2002). A chemical option is the application of ethephon (2-chloroethyl phosphoric acid). It works like a natural growth-regulator causing early abscission of flowers, fruits, and shoots of </w:t>
      </w:r>
      <w:r>
        <w:rPr>
          <w:rFonts w:ascii="Calibri" w:hAnsi="Calibri" w:eastAsia="Calibri" w:cs="Calibri"/>
          <w:i/>
          <w:iCs/>
          <w:color w:val="000000"/>
          <w:sz w:val="22"/>
          <w:szCs w:val="22"/>
        </w:rPr>
        <w:t xml:space="preserve">Arceuthobium </w:t>
      </w:r>
      <w:r>
        <w:rPr>
          <w:rFonts w:ascii="Calibri" w:hAnsi="Calibri" w:eastAsia="Calibri" w:cs="Calibri"/>
          <w:color w:val="000000"/>
          <w:sz w:val="22"/>
          <w:szCs w:val="22"/>
        </w:rPr>
        <w:t xml:space="preserve">spp. It has been evaluated for numerous mistletoe–host combinations, but not for any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-host species, yet. Moreover, ethephon does not affect the endophytic system, thus new shoots and fruits develop soon after application. A variety of insects and pathogens attack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but none has been yet developed sufficiently for practical application.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EFSA PLH Panel (2018) concluded that impacts on coniferous woodlands, plantations, ornamental trees and nurseries can be expected, if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are introduced into the European Union. </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include species of the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Though the principal hosts of the species presented in this data sheet are indigenous to North America, they are cultivated in the EPPO region to some extent (e.g.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breweriana </w:t>
      </w:r>
      <w:r>
        <w:rPr>
          <w:rFonts w:ascii="Calibri" w:hAnsi="Calibri" w:eastAsia="Calibri" w:cs="Calibri"/>
          <w:color w:val="000000"/>
          <w:sz w:val="22"/>
          <w:szCs w:val="22"/>
        </w:rPr>
        <w:t xml:space="preserve">in horticulture and landscaping). Once accidentally introduced, there is a risk that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would find hosts on which to multiply, and cause damage in central, eastern and northern European conifer forests.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EPPO (2018) the specific phytosanitary measures include that plants for planting (except seeds) and cut branches (including cut Christmas trees without roots or soil) of the genera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should originate from pest-free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Bragard C, Di Serio F, Gonthier P, Jacques M-A, Jaques Miret JA, Justesen AF, MacLeod A, Magnusson CS, Milonas P, Navas-Cortes JA, Parnell S, Potting R, Reignault PL, Thulke H-H, Van der Werf W, Vicent A, Yuen J, Zappala L, Boberg J, Pautasso M and Dehnen-Schmutz K (2018) Scientific Opinion on the pest categorisation of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5384, 23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FG, Wiens D (1996) </w:t>
      </w:r>
      <w:r>
        <w:rPr>
          <w:rFonts w:ascii="Calibri" w:hAnsi="Calibri" w:eastAsia="Calibri" w:cs="Calibri"/>
          <w:i/>
          <w:iCs/>
          <w:color w:val="000000"/>
          <w:sz w:val="22"/>
          <w:szCs w:val="22"/>
        </w:rPr>
        <w:t xml:space="preserve">Dwarf mistletoes: Biology, pathology, and systematics</w:t>
      </w:r>
      <w:r>
        <w:rPr>
          <w:rFonts w:ascii="Calibri" w:hAnsi="Calibri" w:eastAsia="Calibri" w:cs="Calibri"/>
          <w:color w:val="000000"/>
          <w:sz w:val="22"/>
          <w:szCs w:val="22"/>
        </w:rPr>
        <w:t xml:space="preserve">. Agriculture Handbook 709, USDA Forest Service, Washington, DC, USA. </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FG, Wiens D, Geils BW (2002) </w:t>
      </w:r>
      <w:r>
        <w:rPr>
          <w:rFonts w:ascii="Calibri" w:hAnsi="Calibri" w:eastAsia="Calibri" w:cs="Calibri"/>
          <w:i/>
          <w:iCs/>
          <w:color w:val="000000"/>
          <w:sz w:val="22"/>
          <w:szCs w:val="22"/>
        </w:rPr>
        <w:t xml:space="preserve">Arceuthobium</w:t>
      </w:r>
      <w:r>
        <w:rPr>
          <w:rFonts w:ascii="Calibri" w:hAnsi="Calibri" w:eastAsia="Calibri" w:cs="Calibri"/>
          <w:color w:val="000000"/>
          <w:sz w:val="22"/>
          <w:szCs w:val="22"/>
        </w:rPr>
        <w:t xml:space="preserve"> in North America. In: Mistletoes of North American conifers, eds. BW Geils, J Cibrian-Tovar, B Moody, Chapter 4, pp. 29–56,  U.S. Department of Agriculture, Forest Service, Rocky Mountain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Hofmann JT (2010) </w:t>
      </w:r>
      <w:r>
        <w:rPr>
          <w:rFonts w:ascii="Calibri" w:hAnsi="Calibri" w:eastAsia="Calibri" w:cs="Calibri"/>
          <w:i/>
          <w:iCs/>
          <w:color w:val="000000"/>
          <w:sz w:val="22"/>
          <w:szCs w:val="22"/>
        </w:rPr>
        <w:t xml:space="preserve">Management Guide for Dwarf Mistletoe</w:t>
      </w:r>
      <w:r>
        <w:rPr>
          <w:rFonts w:ascii="Calibri" w:hAnsi="Calibri" w:eastAsia="Calibri" w:cs="Calibri"/>
          <w:color w:val="000000"/>
          <w:sz w:val="22"/>
          <w:szCs w:val="22"/>
        </w:rPr>
        <w:t xml:space="preserve">. US Forest Service. Accessed September 2020, </w:t>
      </w:r>
      <w:hyperlink r:id="rId80726aaf4b9ae4922" w:history="1">
        <w:r>
          <w:rPr>
            <w:rFonts w:ascii="Calibri" w:hAnsi="Calibri" w:eastAsia="Calibri" w:cs="Calibri"/>
            <w:color w:val="0000CC"/>
            <w:sz w:val="22"/>
            <w:szCs w:val="22"/>
            <w:u w:val="single"/>
          </w:rPr>
          <w:t xml:space="preserve">https://www.fs.usda.gov/Internet/FSE_DOCUMENTS/stelprdb5187427.pdf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Kenaley SC (2020) New subspecies of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Viscaceae) from the western United States and northern Mexico. </w:t>
      </w:r>
      <w:r>
        <w:rPr>
          <w:rFonts w:ascii="Calibri" w:hAnsi="Calibri" w:eastAsia="Calibri" w:cs="Calibri"/>
          <w:i/>
          <w:iCs/>
          <w:color w:val="000000"/>
          <w:sz w:val="22"/>
          <w:szCs w:val="22"/>
        </w:rPr>
        <w:t xml:space="preserve">Journal of 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Botanical Research Institute of Texas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27–45.</w:t>
      </w:r>
    </w:p>
    <w:p>
      <w:pPr>
        <w:widowControl w:val="on"/>
        <w:pBdr/>
        <w:spacing w:before="220" w:after="220" w:line="240" w:lineRule="auto"/>
        <w:ind w:left="0" w:right="0"/>
        <w:jc w:val="left"/>
      </w:pPr>
      <w:r>
        <w:rPr>
          <w:rFonts w:ascii="Calibri" w:hAnsi="Calibri" w:eastAsia="Calibri" w:cs="Calibri"/>
          <w:color w:val="000000"/>
          <w:sz w:val="22"/>
          <w:szCs w:val="22"/>
        </w:rPr>
        <w:t xml:space="preserve">Marler M, Pedersen D, Mitchell-Olds T, Callaway RM (1999) A polymerase chain reaction method for detecting dwarf mistletoe infection in Douglas-fir and western larch.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1317–1321.</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 (2002) First report of white fir dwarf mistletoe on mountain hemlock.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1274.</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(2010) First report of white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on Mexican Spruce (</w:t>
      </w:r>
      <w:r>
        <w:rPr>
          <w:rFonts w:ascii="Calibri" w:hAnsi="Calibri" w:eastAsia="Calibri" w:cs="Calibri"/>
          <w:i/>
          <w:iCs/>
          <w:color w:val="000000"/>
          <w:sz w:val="22"/>
          <w:szCs w:val="22"/>
        </w:rPr>
        <w:t xml:space="preserve">Picea mexicana</w:t>
      </w:r>
      <w:r>
        <w:rPr>
          <w:rFonts w:ascii="Calibri" w:hAnsi="Calibri" w:eastAsia="Calibri" w:cs="Calibri"/>
          <w:color w:val="000000"/>
          <w:sz w:val="22"/>
          <w:szCs w:val="22"/>
        </w:rPr>
        <w:t xml:space="preserve">) in Northern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635.</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(2019) Susceptibility of red fir and white fir to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California.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e12516.</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Daugherty CM (2009)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wiensii</w:t>
      </w:r>
      <w:r>
        <w:rPr>
          <w:rFonts w:ascii="Calibri" w:hAnsi="Calibri" w:eastAsia="Calibri" w:cs="Calibri"/>
          <w:color w:val="000000"/>
          <w:sz w:val="22"/>
          <w:szCs w:val="22"/>
        </w:rPr>
        <w:t xml:space="preserve">, a new subspecies of fir dwarf mistletoe (Viscaceae) from northern California and southern Oregon. </w:t>
      </w:r>
      <w:r>
        <w:rPr>
          <w:rFonts w:ascii="Calibri" w:hAnsi="Calibri" w:eastAsia="Calibri" w:cs="Calibri"/>
          <w:i/>
          <w:iCs/>
          <w:color w:val="000000"/>
          <w:sz w:val="22"/>
          <w:szCs w:val="22"/>
        </w:rPr>
        <w:t xml:space="preserve">Madroño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118–126.</w:t>
      </w:r>
    </w:p>
    <w:p>
      <w:pPr>
        <w:widowControl w:val="on"/>
        <w:pBdr/>
        <w:spacing w:before="220" w:after="220" w:line="240" w:lineRule="auto"/>
        <w:ind w:left="0" w:right="0"/>
        <w:jc w:val="left"/>
      </w:pPr>
      <w:r>
        <w:rPr>
          <w:rFonts w:ascii="Calibri" w:hAnsi="Calibri" w:eastAsia="Calibri" w:cs="Calibri"/>
          <w:color w:val="000000"/>
          <w:sz w:val="22"/>
          <w:szCs w:val="22"/>
        </w:rPr>
        <w:t xml:space="preserve">Mathiasen RL, Kenaley SC (2019) A morphological comparison of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campylopodum</w:t>
      </w:r>
      <w:r>
        <w:rPr>
          <w:rFonts w:ascii="Calibri" w:hAnsi="Calibri" w:eastAsia="Calibri" w:cs="Calibri"/>
          <w:color w:val="000000"/>
          <w:sz w:val="22"/>
          <w:szCs w:val="22"/>
        </w:rPr>
        <w:t xml:space="preserve"> (Viscaceae) and nomenclatural changes for </w:t>
      </w:r>
      <w:r>
        <w:rPr>
          <w:rFonts w:ascii="Calibri" w:hAnsi="Calibri" w:eastAsia="Calibri" w:cs="Calibri"/>
          <w:i/>
          <w:iCs/>
          <w:color w:val="000000"/>
          <w:sz w:val="22"/>
          <w:szCs w:val="22"/>
        </w:rPr>
        <w:t xml:space="preserve">A. abietinum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Botanical Research Institute of Texas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83–101.</w:t>
      </w:r>
    </w:p>
    <w:p>
      <w:pPr>
        <w:widowControl w:val="on"/>
        <w:pBdr/>
        <w:spacing w:before="220" w:after="220" w:line="240" w:lineRule="auto"/>
        <w:ind w:left="0" w:right="0"/>
        <w:jc w:val="left"/>
      </w:pPr>
      <w:r>
        <w:rPr>
          <w:rFonts w:ascii="Calibri" w:hAnsi="Calibri" w:eastAsia="Calibri" w:cs="Calibri"/>
          <w:color w:val="000000"/>
          <w:sz w:val="22"/>
          <w:szCs w:val="22"/>
        </w:rPr>
        <w:t xml:space="preserve">Mehl HK, Mori S R, Frankel SJ, Rizzo DM (2013) Mortality and growth of dwarf mistletoe‐infected red and white fir and the efficacy of thinning for reducing associated losses.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193–203.</w:t>
      </w:r>
    </w:p>
    <w:p>
      <w:pPr>
        <w:widowControl w:val="on"/>
        <w:pBdr/>
        <w:spacing w:before="220" w:after="220" w:line="240" w:lineRule="auto"/>
        <w:ind w:left="0" w:right="0"/>
        <w:jc w:val="left"/>
      </w:pPr>
      <w:r>
        <w:rPr>
          <w:rFonts w:ascii="Calibri" w:hAnsi="Calibri" w:eastAsia="Calibri" w:cs="Calibri"/>
          <w:color w:val="000000"/>
          <w:sz w:val="22"/>
          <w:szCs w:val="22"/>
        </w:rPr>
        <w:t xml:space="preserve">Mortenson LA, Gray AN, Shaw DC (2015) A forest health inventory assessment of red fir (</w:t>
      </w:r>
      <w:r>
        <w:rPr>
          <w:rFonts w:ascii="Calibri" w:hAnsi="Calibri" w:eastAsia="Calibri" w:cs="Calibri"/>
          <w:i/>
          <w:iCs/>
          <w:color w:val="000000"/>
          <w:sz w:val="22"/>
          <w:szCs w:val="22"/>
        </w:rPr>
        <w:t xml:space="preserve">Abies magnifica</w:t>
      </w:r>
      <w:r>
        <w:rPr>
          <w:rFonts w:ascii="Calibri" w:hAnsi="Calibri" w:eastAsia="Calibri" w:cs="Calibri"/>
          <w:color w:val="000000"/>
          <w:sz w:val="22"/>
          <w:szCs w:val="22"/>
        </w:rPr>
        <w:t xml:space="preserve">) in upper montane California. </w:t>
      </w:r>
      <w:r>
        <w:rPr>
          <w:rFonts w:ascii="Calibri" w:hAnsi="Calibri" w:eastAsia="Calibri" w:cs="Calibri"/>
          <w:i/>
          <w:iCs/>
          <w:color w:val="000000"/>
          <w:sz w:val="22"/>
          <w:szCs w:val="22"/>
        </w:rPr>
        <w:t xml:space="preserve">Écoscience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47–58.</w:t>
      </w:r>
    </w:p>
    <w:p>
      <w:pPr>
        <w:widowControl w:val="on"/>
        <w:pBdr/>
        <w:spacing w:before="220" w:after="220" w:line="240" w:lineRule="auto"/>
        <w:ind w:left="0" w:right="0"/>
        <w:jc w:val="left"/>
      </w:pPr>
      <w:r>
        <w:rPr>
          <w:rFonts w:ascii="Calibri" w:hAnsi="Calibri" w:eastAsia="Calibri" w:cs="Calibri"/>
          <w:color w:val="000000"/>
          <w:sz w:val="22"/>
          <w:szCs w:val="22"/>
        </w:rPr>
        <w:t xml:space="preserve">Muir JA and Geils BW (2002) Management strategies for dwarf mistletoe: Silviculture. In: Mistletoes of North American conifers, eds. BW Geils, J Cibrian-Tovar, B Moody, Chapter 8, pp. 83–94,  U.S. Department of Agriculture, Forest Service, Rocky Mountain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Oblinger BW (2015) First report of white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on Engelmann spruce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from Oregon.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1041.</w:t>
      </w:r>
    </w:p>
    <w:p>
      <w:pPr>
        <w:widowControl w:val="on"/>
        <w:pBdr/>
        <w:spacing w:before="220" w:after="220" w:line="240" w:lineRule="auto"/>
        <w:ind w:left="0" w:right="0"/>
        <w:jc w:val="left"/>
      </w:pPr>
      <w:r>
        <w:rPr>
          <w:rFonts w:ascii="Calibri" w:hAnsi="Calibri" w:eastAsia="Calibri" w:cs="Calibri"/>
          <w:color w:val="000000"/>
          <w:sz w:val="22"/>
          <w:szCs w:val="22"/>
        </w:rPr>
        <w:t xml:space="preserve">Quiñonez Barraza S, Mathiasen R, Gonzalez-Elizondo S (2013) First report of white fir dwarf mistletoe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concoloris</w:t>
      </w:r>
      <w:r>
        <w:rPr>
          <w:rFonts w:ascii="Calibri" w:hAnsi="Calibri" w:eastAsia="Calibri" w:cs="Calibri"/>
          <w:color w:val="000000"/>
          <w:sz w:val="22"/>
          <w:szCs w:val="22"/>
        </w:rPr>
        <w:t xml:space="preserve">) on Durango fir (</w:t>
      </w:r>
      <w:r>
        <w:rPr>
          <w:rFonts w:ascii="Calibri" w:hAnsi="Calibri" w:eastAsia="Calibri" w:cs="Calibri"/>
          <w:i/>
          <w:iCs/>
          <w:color w:val="000000"/>
          <w:sz w:val="22"/>
          <w:szCs w:val="22"/>
        </w:rPr>
        <w:t xml:space="preserve">Abies durangensis</w:t>
      </w:r>
      <w:r>
        <w:rPr>
          <w:rFonts w:ascii="Calibri" w:hAnsi="Calibri" w:eastAsia="Calibri" w:cs="Calibri"/>
          <w:color w:val="000000"/>
          <w:sz w:val="22"/>
          <w:szCs w:val="22"/>
        </w:rPr>
        <w:t xml:space="preserve">) from Durango,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431–432.</w:t>
      </w:r>
    </w:p>
    <w:p>
      <w:pPr>
        <w:widowControl w:val="on"/>
        <w:pBdr/>
        <w:spacing w:before="220" w:after="220" w:line="240" w:lineRule="auto"/>
        <w:ind w:left="0" w:right="0"/>
        <w:jc w:val="left"/>
      </w:pPr>
      <w:r>
        <w:rPr>
          <w:rFonts w:ascii="Calibri" w:hAnsi="Calibri" w:eastAsia="Calibri" w:cs="Calibri"/>
          <w:color w:val="000000"/>
          <w:sz w:val="22"/>
          <w:szCs w:val="22"/>
        </w:rPr>
        <w:t xml:space="preserve">Shamoun SF, DeWald LE (2002) Management strategies for dwarf mistletoes: Biological, chemical, and genetic approaches. In: Mistletoes of North American conifers, eds. BW Geils, J Cibrian-Tovar, B Moody, Chapter 7, pp. 75–82,  U.S. Department of Agriculture, Forest Service, Rocky Mountain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Worrall J, Geils B (2006). Dwarf mistletoes. The Plant Health Instructor. Accessed September 2020. </w:t>
      </w:r>
      <w:hyperlink r:id="rId86496aaf4b9ae4e0a" w:history="1">
        <w:r>
          <w:rPr>
            <w:rFonts w:ascii="Calibri" w:hAnsi="Calibri" w:eastAsia="Calibri" w:cs="Calibri"/>
            <w:color w:val="0000CC"/>
            <w:sz w:val="22"/>
            <w:szCs w:val="22"/>
            <w:u w:val="single"/>
          </w:rPr>
          <w:t xml:space="preserve">https://www.apsnet.org/edcenter/disandpath/parasiticplants/pdlessons/Pages/Dwarfmistletoes.aspx</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(fir dwarf mistletoe). Accessed September 2020, </w:t>
      </w:r>
      <w:hyperlink r:id="rId12046aaf4b9ae4e62" w:history="1">
        <w:r>
          <w:rPr>
            <w:rFonts w:ascii="Calibri" w:hAnsi="Calibri" w:eastAsia="Calibri" w:cs="Calibri"/>
            <w:color w:val="0000CC"/>
            <w:sz w:val="22"/>
            <w:szCs w:val="22"/>
            <w:u w:val="single"/>
          </w:rPr>
          <w:t xml:space="preserve">https://www.cabi.org/isc/datasheet/6823#1793906A-A18F-4B19-AB5E-F68B7962DA63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Swen Follak.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Arceuthobium abietinum</w:t>
      </w:r>
      <w:r>
        <w:rPr>
          <w:rFonts w:ascii="Calibri" w:hAnsi="Calibri" w:eastAsia="Calibri" w:cs="Calibri"/>
          <w:color w:val="000000"/>
          <w:sz w:val="22"/>
          <w:szCs w:val="22"/>
        </w:rPr>
        <w:t xml:space="preserve">. EPPO datasheets on pests recommended for regulation. Available online. </w:t>
      </w:r>
      <w:hyperlink r:id="rId65236aaf4b9ae4ee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40, </w:t>
      </w:r>
      <w:r>
        <w:rPr>
          <w:rFonts w:ascii="Calibri" w:hAnsi="Calibri" w:eastAsia="Calibri" w:cs="Calibri"/>
          <w:i/>
          <w:iCs/>
          <w:color w:val="000000"/>
          <w:sz w:val="22"/>
          <w:szCs w:val="22"/>
        </w:rPr>
        <w:t xml:space="preserve">Arceuthobium </w:t>
      </w:r>
      <w:r>
        <w:rPr>
          <w:rFonts w:ascii="Calibri" w:hAnsi="Calibri" w:eastAsia="Calibri" w:cs="Calibri"/>
          <w:color w:val="000000"/>
          <w:sz w:val="22"/>
          <w:szCs w:val="22"/>
        </w:rPr>
        <w:t xml:space="preserve">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33-39. </w:t>
      </w:r>
      <w:hyperlink r:id="rId98826aaf4b9ae4ff8" w:history="1">
        <w:r>
          <w:rPr>
            <w:rFonts w:ascii="Calibri" w:hAnsi="Calibri" w:eastAsia="Calibri" w:cs="Calibri"/>
            <w:color w:val="0000CC"/>
            <w:sz w:val="22"/>
            <w:szCs w:val="22"/>
            <w:u w:val="single"/>
          </w:rPr>
          <w:t xml:space="preserve">https://doi.org/10.1111/j.1365-2338.1980.tb02691.x</w:t>
        </w:r>
      </w:hyperlink>
      <w:r>
        <w:rPr>
          <w:rFonts w:ascii="Calibri" w:hAnsi="Calibri" w:eastAsia="Calibri" w:cs="Calibri"/>
          <w:color w:val="000000"/>
          <w:sz w:val="22"/>
          <w:szCs w:val="22"/>
        </w:rPr>
        <w:t xml:space="preserve"> </w:t>
      </w:r>
    </w:p>
    <w:p>
      <w:r>
        <w:drawing>
          <wp:inline distT="0" distB="0" distL="0" distR="0">
            <wp:extent cx="1800000" cy="604800"/>
            <wp:docPr id="84260236" name="name43266aaf4b9ae506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906aaf4b9ae506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40000">
    <w:multiLevelType w:val="hybridMultilevel"/>
    <w:lvl w:ilvl="0" w:tplc="90436966">
      <w:start w:val="1"/>
      <w:numFmt w:val="decimal"/>
      <w:lvlText w:val="%1."/>
      <w:lvlJc w:val="left"/>
      <w:pPr>
        <w:ind w:left="720" w:hanging="360"/>
      </w:pPr>
    </w:lvl>
    <w:lvl w:ilvl="1" w:tplc="90436966" w:tentative="1">
      <w:start w:val="1"/>
      <w:numFmt w:val="lowerLetter"/>
      <w:lvlText w:val="%2."/>
      <w:lvlJc w:val="left"/>
      <w:pPr>
        <w:ind w:left="1440" w:hanging="360"/>
      </w:pPr>
    </w:lvl>
    <w:lvl w:ilvl="2" w:tplc="90436966" w:tentative="1">
      <w:start w:val="1"/>
      <w:numFmt w:val="lowerRoman"/>
      <w:lvlText w:val="%3."/>
      <w:lvlJc w:val="right"/>
      <w:pPr>
        <w:ind w:left="2160" w:hanging="180"/>
      </w:pPr>
    </w:lvl>
    <w:lvl w:ilvl="3" w:tplc="90436966" w:tentative="1">
      <w:start w:val="1"/>
      <w:numFmt w:val="decimal"/>
      <w:lvlText w:val="%4."/>
      <w:lvlJc w:val="left"/>
      <w:pPr>
        <w:ind w:left="2880" w:hanging="360"/>
      </w:pPr>
    </w:lvl>
    <w:lvl w:ilvl="4" w:tplc="90436966" w:tentative="1">
      <w:start w:val="1"/>
      <w:numFmt w:val="lowerLetter"/>
      <w:lvlText w:val="%5."/>
      <w:lvlJc w:val="left"/>
      <w:pPr>
        <w:ind w:left="3600" w:hanging="360"/>
      </w:pPr>
    </w:lvl>
    <w:lvl w:ilvl="5" w:tplc="90436966" w:tentative="1">
      <w:start w:val="1"/>
      <w:numFmt w:val="lowerRoman"/>
      <w:lvlText w:val="%6."/>
      <w:lvlJc w:val="right"/>
      <w:pPr>
        <w:ind w:left="4320" w:hanging="180"/>
      </w:pPr>
    </w:lvl>
    <w:lvl w:ilvl="6" w:tplc="90436966" w:tentative="1">
      <w:start w:val="1"/>
      <w:numFmt w:val="decimal"/>
      <w:lvlText w:val="%7."/>
      <w:lvlJc w:val="left"/>
      <w:pPr>
        <w:ind w:left="5040" w:hanging="360"/>
      </w:pPr>
    </w:lvl>
    <w:lvl w:ilvl="7" w:tplc="90436966" w:tentative="1">
      <w:start w:val="1"/>
      <w:numFmt w:val="lowerLetter"/>
      <w:lvlText w:val="%8."/>
      <w:lvlJc w:val="left"/>
      <w:pPr>
        <w:ind w:left="5760" w:hanging="360"/>
      </w:pPr>
    </w:lvl>
    <w:lvl w:ilvl="8" w:tplc="90436966" w:tentative="1">
      <w:start w:val="1"/>
      <w:numFmt w:val="lowerRoman"/>
      <w:lvlText w:val="%9."/>
      <w:lvlJc w:val="right"/>
      <w:pPr>
        <w:ind w:left="6480" w:hanging="180"/>
      </w:pPr>
    </w:lvl>
  </w:abstractNum>
  <w:abstractNum w:abstractNumId="35939999">
    <w:multiLevelType w:val="hybridMultilevel"/>
    <w:lvl w:ilvl="0" w:tplc="47326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39999">
    <w:abstractNumId w:val="35939999"/>
  </w:num>
  <w:num w:numId="35940000">
    <w:abstractNumId w:val="359400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2588975" Type="http://schemas.microsoft.com/office/2011/relationships/commentsExtended" Target="commentsExtended.xml"/><Relationship Id="rId173143778" Type="http://schemas.microsoft.com/office/2011/relationships/people" Target="people.xml"/><Relationship Id="rId72036aaf4b9ae1ad2" Type="http://schemas.openxmlformats.org/officeDocument/2006/relationships/hyperlink" Target="https://gd.eppo.int/taxon/AREAB/" TargetMode="External"/><Relationship Id="rId78476aaf4b9ae1b05" Type="http://schemas.openxmlformats.org/officeDocument/2006/relationships/hyperlink" Target="https://gd.eppo.int/taxon/AREAB/categorization" TargetMode="External"/><Relationship Id="rId80726aaf4b9ae4922" Type="http://schemas.openxmlformats.org/officeDocument/2006/relationships/hyperlink" Target="https://www.fs.usda.gov/Internet/FSE_DOCUMENTS/stelprdb5187427.pdf" TargetMode="External"/><Relationship Id="rId86496aaf4b9ae4e0a" Type="http://schemas.openxmlformats.org/officeDocument/2006/relationships/hyperlink" Target="https://www.apsnet.org/edcenter/disandpath/parasiticplants/pdlessons/Pages/Dwarfmistletoes.aspx" TargetMode="External"/><Relationship Id="rId12046aaf4b9ae4e62" Type="http://schemas.openxmlformats.org/officeDocument/2006/relationships/hyperlink" Target="https://www.cabi.org/isc/datasheet/6823#1793906A-A18F-4B19-AB5E-F68B7962DA63" TargetMode="External"/><Relationship Id="rId65236aaf4b9ae4eea" Type="http://schemas.openxmlformats.org/officeDocument/2006/relationships/hyperlink" Target="https://gd.eppo.int" TargetMode="External"/><Relationship Id="rId98826aaf4b9ae4ff8" Type="http://schemas.openxmlformats.org/officeDocument/2006/relationships/hyperlink" Target="https://doi.org/10.1111/j.1365-2338.1980.tb02691.x" TargetMode="External"/><Relationship Id="rId21606aaf4b9ae3d22" Type="http://schemas.openxmlformats.org/officeDocument/2006/relationships/image" Target="media/imgrId21606aaf4b9ae3d22.jpg"/><Relationship Id="rId85906aaf4b9ae5066" Type="http://schemas.openxmlformats.org/officeDocument/2006/relationships/image" Target="media/imgrId85906aaf4b9ae506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