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occidentalis occidentalis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2021-12-07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occidentalis occidentalis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Freeman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freemani</w:t>
            </w:r>
            <w:r>
              <w:rPr>
                <w:rFonts w:ascii="Calibri" w:hAnsi="Calibri" w:eastAsia="Calibri" w:cs="Calibri"/>
                <w:color w:val="000000"/>
                <w:position w:val="-3"/>
                <w:sz w:val="22"/>
                <w:szCs w:val="22"/>
              </w:rPr>
              <w:t xml:space="preserve"> Razowski, </w:t>
            </w:r>
            <w:r>
              <w:rPr>
                <w:rFonts w:ascii="Calibri" w:hAnsi="Calibri" w:eastAsia="Calibri" w:cs="Calibri"/>
                <w:i/>
                <w:iCs/>
                <w:color w:val="000000"/>
                <w:position w:val="-3"/>
                <w:sz w:val="22"/>
                <w:szCs w:val="22"/>
              </w:rPr>
              <w:t xml:space="preserve">Choristoneura occidentalis</w:t>
            </w:r>
            <w:r>
              <w:rPr>
                <w:rFonts w:ascii="Calibri" w:hAnsi="Calibri" w:eastAsia="Calibri" w:cs="Calibri"/>
                <w:color w:val="000000"/>
                <w:position w:val="-3"/>
                <w:sz w:val="22"/>
                <w:szCs w:val="22"/>
              </w:rPr>
              <w:t xml:space="preserve"> Freeman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Western spruce budworm</w:t>
            </w:r>
            <w:hyperlink r:id="rId27446a11dd87a3a2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4756a11dd87a3a9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ARCHOC</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taxonomy and nomenclature of </w:t>
      </w:r>
      <w:r>
        <w:rPr>
          <w:rFonts w:ascii="Calibri" w:hAnsi="Calibri" w:eastAsia="Calibri" w:cs="Calibri"/>
          <w:i/>
          <w:iCs/>
          <w:color w:val="000000"/>
          <w:sz w:val="22"/>
          <w:szCs w:val="22"/>
        </w:rPr>
        <w:t xml:space="preserve">Choristoneura occidentalis occidentalis</w:t>
      </w:r>
      <w:r>
        <w:rPr>
          <w:rFonts w:ascii="Calibri" w:hAnsi="Calibri" w:eastAsia="Calibri" w:cs="Calibri"/>
          <w:color w:val="000000"/>
          <w:sz w:val="22"/>
          <w:szCs w:val="22"/>
        </w:rPr>
        <w:t xml:space="preserve"> Freeman, 1967 has been the subject of some controversy in recent years. Freeman (1967) first described this species based on the examination of specimens from extensive collections of conifer-feeding budworms across North America. Razowski (2008) proposed </w:t>
      </w:r>
      <w:r>
        <w:rPr>
          <w:rFonts w:ascii="Calibri" w:hAnsi="Calibri" w:eastAsia="Calibri" w:cs="Calibri"/>
          <w:i/>
          <w:iCs/>
          <w:color w:val="000000"/>
          <w:sz w:val="22"/>
          <w:szCs w:val="22"/>
        </w:rPr>
        <w:t xml:space="preserve">C. freemani</w:t>
      </w:r>
      <w:r>
        <w:rPr>
          <w:rFonts w:ascii="Calibri" w:hAnsi="Calibri" w:eastAsia="Calibri" w:cs="Calibri"/>
          <w:color w:val="000000"/>
          <w:sz w:val="22"/>
          <w:szCs w:val="22"/>
        </w:rPr>
        <w:t xml:space="preserve"> as a replacement name after moving the West African species </w:t>
      </w:r>
      <w:r>
        <w:rPr>
          <w:rFonts w:ascii="Calibri" w:hAnsi="Calibri" w:eastAsia="Calibri" w:cs="Calibri"/>
          <w:i/>
          <w:iCs/>
          <w:color w:val="000000"/>
          <w:sz w:val="22"/>
          <w:szCs w:val="22"/>
        </w:rPr>
        <w:t xml:space="preserve">Cacoecia occidentalis</w:t>
      </w:r>
      <w:r>
        <w:rPr>
          <w:rFonts w:ascii="Calibri" w:hAnsi="Calibri" w:eastAsia="Calibri" w:cs="Calibri"/>
          <w:color w:val="000000"/>
          <w:sz w:val="22"/>
          <w:szCs w:val="22"/>
        </w:rPr>
        <w:t xml:space="preserve"> Walsingham, 1981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This new name was largely ignored until Gilligan &amp; Brown (2014) discussed the taxonomic issues created by Razowski’s (2008) generic reassignment, but provisionally accepted the new name until further evidence was published or a formal challenge was made. Brunet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formally challenged Razowski’s 2008 transfer of </w:t>
      </w:r>
      <w:r>
        <w:rPr>
          <w:rFonts w:ascii="Calibri" w:hAnsi="Calibri" w:eastAsia="Calibri" w:cs="Calibri"/>
          <w:i/>
          <w:iCs/>
          <w:color w:val="000000"/>
          <w:sz w:val="22"/>
          <w:szCs w:val="22"/>
        </w:rPr>
        <w:t xml:space="preserve">Cacoecia occidentalis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following a genetic analysis of the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group in western Canada. Additionally, Brunet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demoted the two-year cycle budworm, </w:t>
      </w:r>
      <w:r>
        <w:rPr>
          <w:rFonts w:ascii="Calibri" w:hAnsi="Calibri" w:eastAsia="Calibri" w:cs="Calibri"/>
          <w:i/>
          <w:iCs/>
          <w:color w:val="000000"/>
          <w:sz w:val="22"/>
          <w:szCs w:val="22"/>
        </w:rPr>
        <w:t xml:space="preserve">C. biennis</w:t>
      </w:r>
      <w:r>
        <w:rPr>
          <w:rFonts w:ascii="Calibri" w:hAnsi="Calibri" w:eastAsia="Calibri" w:cs="Calibri"/>
          <w:color w:val="000000"/>
          <w:sz w:val="22"/>
          <w:szCs w:val="22"/>
        </w:rPr>
        <w:t xml:space="preserve">, to a subspecies of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More recently, Fagua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redefined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Lederer, 1859 based on a genetic analysis of 105 species of Archipini and other Tortricidae. They exclude C. </w:t>
      </w:r>
      <w:r>
        <w:rPr>
          <w:rFonts w:ascii="Calibri" w:hAnsi="Calibri" w:eastAsia="Calibri" w:cs="Calibri"/>
          <w:i/>
          <w:iCs/>
          <w:color w:val="000000"/>
          <w:sz w:val="22"/>
          <w:szCs w:val="22"/>
        </w:rPr>
        <w:t xml:space="preserve">freemani</w:t>
      </w:r>
      <w:r>
        <w:rPr>
          <w:rFonts w:ascii="Calibri" w:hAnsi="Calibri" w:eastAsia="Calibri" w:cs="Calibri"/>
          <w:color w:val="000000"/>
          <w:sz w:val="22"/>
          <w:szCs w:val="22"/>
        </w:rPr>
        <w:t xml:space="preserve"> Razowski from </w:t>
      </w:r>
      <w:r>
        <w:rPr>
          <w:rFonts w:ascii="Calibri" w:hAnsi="Calibri" w:eastAsia="Calibri" w:cs="Calibri"/>
          <w:i/>
          <w:iCs/>
          <w:color w:val="000000"/>
          <w:sz w:val="22"/>
          <w:szCs w:val="22"/>
        </w:rPr>
        <w:t xml:space="preserve">Choristoneura.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occurs principally 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also on other forest trees such as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In the EPPO region these host plants can be found in Northern and Central European forests.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concolor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is confined to North America, where outbreaks were first recorded in 1909 in Vancouver Island (British Columbia, Canada), and in Idaho (USA) in 1922.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then established itself as a serious pest throughout the Pacific Coast States, British Columbia and Rocky Mountain States.  Recent molecular studies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in Western Canada have identified populations in southern Alberta and southwest Saskatchewan (Lumley &amp; Sperling, 2011).</w:t>
      </w:r>
    </w:p>
    <w:p>
      <w:r>
        <w:drawing>
          <wp:inline distT="0" distB="0" distL="0" distR="0">
            <wp:extent cx="6120000" cy="3067200"/>
            <wp:docPr id="67627506" name="name53506a11dd87a4d36" descr="ARCHOC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OC_distribution_map.jpg"/>
                    <pic:cNvPicPr/>
                  </pic:nvPicPr>
                  <pic:blipFill>
                    <a:blip r:embed="rId38436a11dd87a4d3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United States of America (Arizona, California, Colorado, Idaho, Montana, New Mexico, Oregon, Utah, Washington,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in summer (July and August) and hatch in about 10 days. The newly hatched larvae do not feed but spin silken shelters among lichens and under bark scales in which they hibernate. In the following spring, they mine old needles until bud swelling, and then bore into the buds and feed upon the growing needles. Later they loosely web the growing tips and feed upon new needles. Pupation takes place after six larval instars. Predictive models of phenology of this pest for use in integrated pest management have been described (Dennis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Kemp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Nealis &amp; Régnière,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occidentalis</w:t>
      </w:r>
      <w:r>
        <w:rPr>
          <w:rFonts w:ascii="Calibri" w:hAnsi="Calibri" w:eastAsia="Calibri" w:cs="Calibri"/>
          <w:color w:val="000000"/>
          <w:sz w:val="22"/>
          <w:szCs w:val="22"/>
        </w:rPr>
        <w:t xml:space="preserve"> feed principally in buds and on foliage of forest trees and heavy attacks can cause complete defoliation in 4-5 years. Infested trees can show a growth reduction, deformity, top killing and may die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Damage to cones and seeds has also been observed on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 occidentalis</w:t>
      </w:r>
      <w:r>
        <w:rPr>
          <w:rFonts w:ascii="Calibri" w:hAnsi="Calibri" w:eastAsia="Calibri" w:cs="Calibri"/>
          <w:color w:val="000000"/>
          <w:sz w:val="22"/>
          <w:szCs w:val="22"/>
        </w:rPr>
        <w:t xml:space="preserve"> in the Rocky Mountains.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light-green, oval, and about 1.2 long. They are laid in masses (like shingles) on the underside of needles with between 30 and 60 eggs per mass (Carolin, 1987).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light-green with brown heads. Head capsules are, on average, 0.27 mm wide in first instar larvae and increase to an average of 1.86 mm wide in sixth instars (Stein, 1981).  Fully-grown larvae are 25-32 mm long with a brownish head, olive and reddish-brown body and prominent ivory spots at the setal bases (Carolin, 1987).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12-16 mm long, broad at the head end but tapering rapidly toward the tail. Colouration is typically reddish brown.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the adults are mottled orange-brown or rust coloured, occasionally grey, approximately 11 mm long with a wing-span of 22-28 mm (Freeman, 1967).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predominantly laid on the underside of needles and due to their cryptic coloration are difficult to see.  Acciavatti &amp; Jennings (1976) found that examining branches under UV light increased the probability of egg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Second-instar larvae overwintering in silken hibernacula can only be reliably detected by washing foliated branches for several hours in a 2% solution of heated sodium hydroxide, followed by sieving and separating the small larvae using hexane floatation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Actively feeding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ssp. larvae can be distinguished from other associated larvae using the key of Stevens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Passive wind dispersal can occur as larvae spin down on long silken threads (Fellin, 1984), and spread is also ensured by moth flight. In international trade,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is liable to be carried by plants for planting and cut foliage of conifer host plants as second-instar hibernating larvae. Egg masses are only laid on live foliage and, as they typically hatch within 10 days, present minimal risk (Carolin, 1987).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is one of the most destructive forest defoliators in Western North America. Heavy and repeated attacks can lead to top-killing of the trees and tree mortality (Alfaro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1985).</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Population control and foliage protection can be achieved through the use of aerial applications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kurstaki</w:t>
      </w:r>
      <w:r>
        <w:rPr>
          <w:rFonts w:ascii="Calibri" w:hAnsi="Calibri" w:eastAsia="Calibri" w:cs="Calibri"/>
          <w:color w:val="000000"/>
          <w:sz w:val="22"/>
          <w:szCs w:val="22"/>
        </w:rPr>
        <w:t xml:space="preserve"> (Cunningham, 1984).  Applications of baculoviruses against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do not appear to be sufficiently effective (Otvos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Natural enemies such as the parasitoids </w:t>
      </w:r>
      <w:r>
        <w:rPr>
          <w:rFonts w:ascii="Calibri" w:hAnsi="Calibri" w:eastAsia="Calibri" w:cs="Calibri"/>
          <w:i/>
          <w:iCs/>
          <w:color w:val="000000"/>
          <w:sz w:val="22"/>
          <w:szCs w:val="22"/>
        </w:rPr>
        <w:t xml:space="preserve">Glypta fumiferanae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Apanteles fumiferanae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Phytodietus fumiferanae</w:t>
      </w:r>
      <w:r>
        <w:rPr>
          <w:rFonts w:ascii="Calibri" w:hAnsi="Calibri" w:eastAsia="Calibri" w:cs="Calibri"/>
          <w:color w:val="000000"/>
          <w:sz w:val="22"/>
          <w:szCs w:val="22"/>
        </w:rPr>
        <w:t xml:space="preserve"> can affect populations of </w:t>
      </w:r>
      <w:r>
        <w:rPr>
          <w:rFonts w:ascii="Calibri" w:hAnsi="Calibri" w:eastAsia="Calibri" w:cs="Calibri"/>
          <w:i/>
          <w:iCs/>
          <w:color w:val="000000"/>
          <w:sz w:val="22"/>
          <w:szCs w:val="22"/>
        </w:rPr>
        <w:t xml:space="preserve">C.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occidentalis</w:t>
      </w:r>
      <w:r>
        <w:rPr>
          <w:rFonts w:ascii="Calibri" w:hAnsi="Calibri" w:eastAsia="Calibri" w:cs="Calibri"/>
          <w:color w:val="000000"/>
          <w:sz w:val="22"/>
          <w:szCs w:val="22"/>
        </w:rPr>
        <w:t xml:space="preserve"> (Furniss &amp; Carolin, 1977), but do not seem to prevent outbreaks and subsequent defoliation in most parts of its range (Nealis, 2016). Silvicultural methods, such as thinning (Carlson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nitrogen fertilization, may have an influence on pest populations, though they do not appear to be predominant environmental factors (Mason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This serious pest of forest trees presents a definite risk for Northern and Central European forests.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Prohibition of the import of plants and cut foliage of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from infested countries can be recommended as appropriate measures to prevent introduction of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occidentalis</w:t>
      </w:r>
      <w:r>
        <w:rPr>
          <w:rFonts w:ascii="Calibri" w:hAnsi="Calibri" w:eastAsia="Calibri" w:cs="Calibri"/>
          <w:i/>
          <w:iCs/>
          <w:color w:val="000000"/>
          <w:sz w:val="22"/>
          <w:szCs w:val="22"/>
        </w:rPr>
        <w:t xml:space="preserve"> occidentalis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Acciavatti RE, Jennings DT, Forest RM &amp; Station RE (1976) Locating western spruce budworm egg masses with ultraviolet light. Research Note RM-313. U.S. Dept. of Agriculture, Forest Service, Rocky Mountain Forest and Range Experiment Station.</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van Sickle GA, Thomson AJ &amp; Wegwitz E (1982) Tree mortality and radial growth losses caused by the western spruce budworm in a Douglas-fir stand in British Columbia.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780-787.</w:t>
      </w:r>
    </w:p>
    <w:p>
      <w:pPr>
        <w:widowControl w:val="on"/>
        <w:pBdr/>
        <w:spacing w:before="220" w:after="220" w:line="240" w:lineRule="auto"/>
        <w:ind w:left="0" w:right="0"/>
        <w:jc w:val="left"/>
      </w:pPr>
      <w:r>
        <w:rPr>
          <w:rFonts w:ascii="Calibri" w:hAnsi="Calibri" w:eastAsia="Calibri" w:cs="Calibri"/>
          <w:color w:val="000000"/>
          <w:sz w:val="22"/>
          <w:szCs w:val="22"/>
        </w:rPr>
        <w:t xml:space="preserve">Alfaro RI, Thomson AJ &amp; van Sickle GA (1985) Quantification of Douglas-fir growth losses caused by western spruce budworm defoliation using stem analysis.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5-9.</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DC, Dorais L &amp; Kettela EG (1984) Survey and detection. In </w:t>
      </w:r>
      <w:r>
        <w:rPr>
          <w:rFonts w:ascii="Calibri" w:hAnsi="Calibri" w:eastAsia="Calibri" w:cs="Calibri"/>
          <w:i/>
          <w:iCs/>
          <w:color w:val="000000"/>
          <w:sz w:val="22"/>
          <w:szCs w:val="22"/>
        </w:rPr>
        <w:t xml:space="preserve">Spruce budworm handbook: managing the spruce budworm in eastern North America</w:t>
      </w:r>
      <w:r>
        <w:rPr>
          <w:rFonts w:ascii="Calibri" w:hAnsi="Calibri" w:eastAsia="Calibri" w:cs="Calibri"/>
          <w:color w:val="000000"/>
          <w:sz w:val="22"/>
          <w:szCs w:val="22"/>
        </w:rPr>
        <w:t xml:space="preserve">. Agricultural Handbook 620, 21-36.</w:t>
      </w:r>
    </w:p>
    <w:p>
      <w:pPr>
        <w:widowControl w:val="on"/>
        <w:pBdr/>
        <w:spacing w:before="220" w:after="220" w:line="240" w:lineRule="auto"/>
        <w:ind w:left="0" w:right="0"/>
        <w:jc w:val="left"/>
      </w:pPr>
      <w:r>
        <w:rPr>
          <w:rFonts w:ascii="Calibri" w:hAnsi="Calibri" w:eastAsia="Calibri" w:cs="Calibri"/>
          <w:color w:val="000000"/>
          <w:sz w:val="22"/>
          <w:szCs w:val="22"/>
        </w:rPr>
        <w:t xml:space="preserve">Brunet BMT, Blackburn GS, Muirhead K, Lumley LM, Boyle B, Lévesque RC, Cusson M &amp; Sperling FAH (2017) Two's company, three's a crowd: new insights on spruce budworm species boundaries using genotyping-by-sequencing in an integrative species assessment (Lepidoptera: Tortricidae).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317-328.</w:t>
      </w:r>
    </w:p>
    <w:p>
      <w:pPr>
        <w:widowControl w:val="on"/>
        <w:pBdr/>
        <w:spacing w:before="220" w:after="220" w:line="240" w:lineRule="auto"/>
        <w:ind w:left="0" w:right="0"/>
        <w:jc w:val="left"/>
      </w:pPr>
      <w:r>
        <w:rPr>
          <w:rFonts w:ascii="Calibri" w:hAnsi="Calibri" w:eastAsia="Calibri" w:cs="Calibri"/>
          <w:color w:val="000000"/>
          <w:sz w:val="22"/>
          <w:szCs w:val="22"/>
        </w:rPr>
        <w:t xml:space="preserve">Carlson CE, Schmidt WC, Fellin DG &amp; Wulf NW (1984) Silvicultural Approaches to Western Spruce Budworm Management in the Northern U.S. Rocky Mountains. In </w:t>
      </w:r>
      <w:r>
        <w:rPr>
          <w:rFonts w:ascii="Calibri" w:hAnsi="Calibri" w:eastAsia="Calibri" w:cs="Calibri"/>
          <w:i/>
          <w:iCs/>
          <w:color w:val="000000"/>
          <w:sz w:val="22"/>
          <w:szCs w:val="22"/>
        </w:rPr>
        <w:t xml:space="preserve">Recent Advances in Spruce Budworms Research</w:t>
      </w:r>
      <w:r>
        <w:rPr>
          <w:rFonts w:ascii="Calibri" w:hAnsi="Calibri" w:eastAsia="Calibri" w:cs="Calibri"/>
          <w:color w:val="000000"/>
          <w:sz w:val="22"/>
          <w:szCs w:val="22"/>
        </w:rPr>
        <w:t xml:space="preserve"> (eds Sanders C, Stark RW, Mullins EJ &amp; Murphy J). Canadian Forest Service,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Carolin VM (1987) Life History and Behavior. In </w:t>
      </w:r>
      <w:r>
        <w:rPr>
          <w:rFonts w:ascii="Calibri" w:hAnsi="Calibri" w:eastAsia="Calibri" w:cs="Calibri"/>
          <w:i/>
          <w:iCs/>
          <w:color w:val="000000"/>
          <w:sz w:val="22"/>
          <w:szCs w:val="22"/>
        </w:rPr>
        <w:t xml:space="preserve">Western Spruce Budworm</w:t>
      </w:r>
      <w:r>
        <w:rPr>
          <w:rFonts w:ascii="Calibri" w:hAnsi="Calibri" w:eastAsia="Calibri" w:cs="Calibri"/>
          <w:color w:val="000000"/>
          <w:sz w:val="22"/>
          <w:szCs w:val="22"/>
        </w:rPr>
        <w:t xml:space="preserve"> (eds Brookes MH, Campbell RW,  Colbert JJ, Mitchell RG &amp; Stark RW), pp. 29-42. United States Department of Agriculture,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Cunningham JC (1984) Biorationales for Control of Spruce Budworms. In </w:t>
      </w:r>
      <w:r>
        <w:rPr>
          <w:rFonts w:ascii="Calibri" w:hAnsi="Calibri" w:eastAsia="Calibri" w:cs="Calibri"/>
          <w:i/>
          <w:iCs/>
          <w:color w:val="000000"/>
          <w:sz w:val="22"/>
          <w:szCs w:val="22"/>
        </w:rPr>
        <w:t xml:space="preserve">Recent Advances in Spruce Budworms Research</w:t>
      </w:r>
      <w:r>
        <w:rPr>
          <w:rFonts w:ascii="Calibri" w:hAnsi="Calibri" w:eastAsia="Calibri" w:cs="Calibri"/>
          <w:color w:val="000000"/>
          <w:sz w:val="22"/>
          <w:szCs w:val="22"/>
        </w:rPr>
        <w:t xml:space="preserve"> (eds Sanders C, Stark RW, Mullins EJ &amp; Murphy J). Canadian Forest Service,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Dennis B, Kemp WP &amp; Beckwith RC (1986) Stochastic model of insect phenology: estimation and testing.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540-546.</w:t>
      </w:r>
    </w:p>
    <w:p>
      <w:pPr>
        <w:widowControl w:val="on"/>
        <w:pBdr/>
        <w:spacing w:before="220" w:after="220" w:line="240" w:lineRule="auto"/>
        <w:ind w:left="0" w:right="0"/>
        <w:jc w:val="left"/>
      </w:pPr>
      <w:r>
        <w:rPr>
          <w:rFonts w:ascii="Calibri" w:hAnsi="Calibri" w:eastAsia="Calibri" w:cs="Calibri"/>
          <w:color w:val="000000"/>
          <w:sz w:val="22"/>
          <w:szCs w:val="22"/>
        </w:rPr>
        <w:t xml:space="preserve">Fagua G, Condamine FL, Dombroskie JJ, Byun BK, De Prins J, Simonsen TJ, Baez M, Brunet BMT &amp; Sperling FAH (2019) Genus delimitation, biogeography and diversification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Lederer (Lepidoptera: Tortricidae) based on molecular evidence.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19-38.</w:t>
      </w:r>
    </w:p>
    <w:p>
      <w:pPr>
        <w:widowControl w:val="on"/>
        <w:pBdr/>
        <w:spacing w:before="220" w:after="220" w:line="240" w:lineRule="auto"/>
        <w:ind w:left="0" w:right="0"/>
        <w:jc w:val="left"/>
      </w:pPr>
      <w:r>
        <w:rPr>
          <w:rFonts w:ascii="Calibri" w:hAnsi="Calibri" w:eastAsia="Calibri" w:cs="Calibri"/>
          <w:color w:val="000000"/>
          <w:sz w:val="22"/>
          <w:szCs w:val="22"/>
        </w:rPr>
        <w:t xml:space="preserve">Fellin, DG (1984) Dispersal of Western Spruce Budworm Larvae and Adults as related to Silvicultural Treatments. In </w:t>
      </w:r>
      <w:r>
        <w:rPr>
          <w:rFonts w:ascii="Calibri" w:hAnsi="Calibri" w:eastAsia="Calibri" w:cs="Calibri"/>
          <w:i/>
          <w:iCs/>
          <w:color w:val="000000"/>
          <w:sz w:val="22"/>
          <w:szCs w:val="22"/>
        </w:rPr>
        <w:t xml:space="preserve">Recent Advances in Spruce Budworms Research</w:t>
      </w:r>
      <w:r>
        <w:rPr>
          <w:rFonts w:ascii="Calibri" w:hAnsi="Calibri" w:eastAsia="Calibri" w:cs="Calibri"/>
          <w:color w:val="000000"/>
          <w:sz w:val="22"/>
          <w:szCs w:val="22"/>
        </w:rPr>
        <w:t xml:space="preserve"> (eds Sanders C, Stark RW, Mullins EJ &amp; Murphy J). Canadian Forest Service, Ottawa.</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   Some new forms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allied to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449-455.</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(1977)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USDA Forest Service,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Brown JW (2014) A new name for the western spruce budworm (Lepidoptera: Tortricidae)?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583-589.</w:t>
      </w:r>
    </w:p>
    <w:p>
      <w:pPr>
        <w:widowControl w:val="on"/>
        <w:pBdr/>
        <w:spacing w:before="220" w:after="220" w:line="240" w:lineRule="auto"/>
        <w:ind w:left="0" w:right="0"/>
        <w:jc w:val="left"/>
      </w:pPr>
      <w:r>
        <w:rPr>
          <w:rFonts w:ascii="Calibri" w:hAnsi="Calibri" w:eastAsia="Calibri" w:cs="Calibri"/>
          <w:color w:val="000000"/>
          <w:sz w:val="22"/>
          <w:szCs w:val="22"/>
        </w:rPr>
        <w:t xml:space="preserve">Kemp WP, Dennis B &amp; Beckwith RC (1986) Stochastic phenology model for the western spruce budworm (Lepidoptera: Tortricidae).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547-554.</w:t>
      </w:r>
    </w:p>
    <w:p>
      <w:pPr>
        <w:widowControl w:val="on"/>
        <w:pBdr/>
        <w:spacing w:before="220" w:after="220" w:line="240" w:lineRule="auto"/>
        <w:ind w:left="0" w:right="0"/>
        <w:jc w:val="left"/>
      </w:pPr>
      <w:r>
        <w:rPr>
          <w:rFonts w:ascii="Calibri" w:hAnsi="Calibri" w:eastAsia="Calibri" w:cs="Calibri"/>
          <w:color w:val="000000"/>
          <w:sz w:val="22"/>
          <w:szCs w:val="22"/>
        </w:rPr>
        <w:t xml:space="preserve">Lumley LM &amp; Sperling FAH (2011) Utility of microsatellites and mitochondrial DNA for species delimitation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 (Lepidoptera: Tortricidae). </w:t>
      </w:r>
      <w:r>
        <w:rPr>
          <w:rFonts w:ascii="Calibri" w:hAnsi="Calibri" w:eastAsia="Calibri" w:cs="Calibri"/>
          <w:i/>
          <w:iCs/>
          <w:color w:val="000000"/>
          <w:sz w:val="22"/>
          <w:szCs w:val="22"/>
        </w:rPr>
        <w:t xml:space="preserve">Molecular Phylogenetics and Evolution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232-243.</w:t>
      </w:r>
    </w:p>
    <w:p>
      <w:pPr>
        <w:widowControl w:val="on"/>
        <w:pBdr/>
        <w:spacing w:before="220" w:after="220" w:line="240" w:lineRule="auto"/>
        <w:ind w:left="0" w:right="0"/>
        <w:jc w:val="left"/>
      </w:pPr>
      <w:r>
        <w:rPr>
          <w:rFonts w:ascii="Calibri" w:hAnsi="Calibri" w:eastAsia="Calibri" w:cs="Calibri"/>
          <w:color w:val="000000"/>
          <w:sz w:val="22"/>
          <w:szCs w:val="22"/>
        </w:rPr>
        <w:t xml:space="preserve">Mason RR, Wickman BE, Beckwith RC &amp; Paul HG (1992) Thinning and nitrogen fertilization in a grand fir stand infested with western spruce budworm. Part I. Insect response.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235-251.</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 &amp; Régnière J (2014) An individual-based phenology model for western spruce budworm (Lepidoptera: Tortricidae).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306-320.</w:t>
      </w:r>
    </w:p>
    <w:p>
      <w:pPr>
        <w:widowControl w:val="on"/>
        <w:pBdr/>
        <w:spacing w:before="220" w:after="220" w:line="240" w:lineRule="auto"/>
        <w:ind w:left="0" w:right="0"/>
        <w:jc w:val="left"/>
      </w:pPr>
      <w:r>
        <w:rPr>
          <w:rFonts w:ascii="Calibri" w:hAnsi="Calibri" w:eastAsia="Calibri" w:cs="Calibri"/>
          <w:color w:val="000000"/>
          <w:sz w:val="22"/>
          <w:szCs w:val="22"/>
        </w:rPr>
        <w:t xml:space="preserve">Nealis VG (2016) Comparative ecology of conifer-feeding spruce budworms (Lepidoptera: Tortricidae).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S33-S57.</w:t>
      </w:r>
    </w:p>
    <w:p>
      <w:pPr>
        <w:widowControl w:val="on"/>
        <w:pBdr/>
        <w:spacing w:before="220" w:after="220" w:line="240" w:lineRule="auto"/>
        <w:ind w:left="0" w:right="0"/>
        <w:jc w:val="left"/>
      </w:pPr>
      <w:r>
        <w:rPr>
          <w:rFonts w:ascii="Calibri" w:hAnsi="Calibri" w:eastAsia="Calibri" w:cs="Calibri"/>
          <w:color w:val="000000"/>
          <w:sz w:val="22"/>
          <w:szCs w:val="22"/>
        </w:rPr>
        <w:t xml:space="preserve">Otvos IS, Cunningham JC &amp; Kaupp WP (1989) Aerial application of two baculoviruses against the western spruce budworm </w:t>
      </w:r>
      <w:r>
        <w:rPr>
          <w:rFonts w:ascii="Calibri" w:hAnsi="Calibri" w:eastAsia="Calibri" w:cs="Calibri"/>
          <w:i/>
          <w:iCs/>
          <w:color w:val="000000"/>
          <w:sz w:val="22"/>
          <w:szCs w:val="22"/>
        </w:rPr>
        <w:t xml:space="preserve">Choristoneura occidentalis</w:t>
      </w:r>
      <w:r>
        <w:rPr>
          <w:rFonts w:ascii="Calibri" w:hAnsi="Calibri" w:eastAsia="Calibri" w:cs="Calibri"/>
          <w:color w:val="000000"/>
          <w:sz w:val="22"/>
          <w:szCs w:val="22"/>
        </w:rPr>
        <w:t xml:space="preserve"> Freeman (Lepidoptera: Tortricidae) in British Columbia.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121</w:t>
      </w:r>
      <w:r>
        <w:rPr>
          <w:rFonts w:ascii="Calibri" w:hAnsi="Calibri" w:eastAsia="Calibri" w:cs="Calibri"/>
          <w:color w:val="000000"/>
          <w:sz w:val="22"/>
          <w:szCs w:val="22"/>
        </w:rPr>
        <w:t xml:space="preserve">, 209-217.</w:t>
      </w:r>
    </w:p>
    <w:p>
      <w:pPr>
        <w:widowControl w:val="on"/>
        <w:pBdr/>
        <w:spacing w:before="220" w:after="220" w:line="240" w:lineRule="auto"/>
        <w:ind w:left="0" w:right="0"/>
        <w:jc w:val="left"/>
      </w:pPr>
      <w:r>
        <w:rPr>
          <w:rFonts w:ascii="Calibri" w:hAnsi="Calibri" w:eastAsia="Calibri" w:cs="Calibri"/>
          <w:color w:val="000000"/>
          <w:sz w:val="22"/>
          <w:szCs w:val="22"/>
        </w:rPr>
        <w:t xml:space="preserve">Razowski J (2008) Tortricidae (Lepidoptera) from South Africa. 6: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Hubner and </w:t>
      </w:r>
      <w:r>
        <w:rPr>
          <w:rFonts w:ascii="Calibri" w:hAnsi="Calibri" w:eastAsia="Calibri" w:cs="Calibri"/>
          <w:i/>
          <w:iCs/>
          <w:color w:val="000000"/>
          <w:sz w:val="22"/>
          <w:szCs w:val="22"/>
        </w:rPr>
        <w:t xml:space="preserve">Procrica</w:t>
      </w:r>
      <w:r>
        <w:rPr>
          <w:rFonts w:ascii="Calibri" w:hAnsi="Calibri" w:eastAsia="Calibri" w:cs="Calibri"/>
          <w:color w:val="000000"/>
          <w:sz w:val="22"/>
          <w:szCs w:val="22"/>
        </w:rPr>
        <w:t xml:space="preserve"> Diakonoff. </w:t>
      </w:r>
      <w:r>
        <w:rPr>
          <w:rFonts w:ascii="Calibri" w:hAnsi="Calibri" w:eastAsia="Calibri" w:cs="Calibri"/>
          <w:i/>
          <w:iCs/>
          <w:color w:val="000000"/>
          <w:sz w:val="22"/>
          <w:szCs w:val="22"/>
        </w:rPr>
        <w:t xml:space="preserve">Polish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245-254.</w:t>
      </w:r>
    </w:p>
    <w:p>
      <w:pPr>
        <w:widowControl w:val="on"/>
        <w:pBdr/>
        <w:spacing w:before="220" w:after="220" w:line="240" w:lineRule="auto"/>
        <w:ind w:left="0" w:right="0"/>
        <w:jc w:val="left"/>
      </w:pPr>
      <w:r>
        <w:rPr>
          <w:rFonts w:ascii="Calibri" w:hAnsi="Calibri" w:eastAsia="Calibri" w:cs="Calibri"/>
          <w:color w:val="000000"/>
          <w:sz w:val="22"/>
          <w:szCs w:val="22"/>
        </w:rPr>
        <w:t xml:space="preserve">Stein JD (1981) Notes on the biology of the western spruce budworm, </w:t>
      </w:r>
      <w:r>
        <w:rPr>
          <w:rFonts w:ascii="Calibri" w:hAnsi="Calibri" w:eastAsia="Calibri" w:cs="Calibri"/>
          <w:i/>
          <w:iCs/>
          <w:color w:val="000000"/>
          <w:sz w:val="22"/>
          <w:szCs w:val="22"/>
        </w:rPr>
        <w:t xml:space="preserve">Choristoneura occidentalis</w:t>
      </w:r>
      <w:r>
        <w:rPr>
          <w:rFonts w:ascii="Calibri" w:hAnsi="Calibri" w:eastAsia="Calibri" w:cs="Calibri"/>
          <w:color w:val="000000"/>
          <w:sz w:val="22"/>
          <w:szCs w:val="22"/>
        </w:rPr>
        <w:t xml:space="preserve"> (Lepidoptera: tortricidae), in north central Washington. </w:t>
      </w:r>
      <w:r>
        <w:rPr>
          <w:rFonts w:ascii="Calibri" w:hAnsi="Calibri" w:eastAsia="Calibri" w:cs="Calibri"/>
          <w:i/>
          <w:iCs/>
          <w:color w:val="000000"/>
          <w:sz w:val="22"/>
          <w:szCs w:val="22"/>
        </w:rPr>
        <w:t xml:space="preserve">Pacific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101-106.</w:t>
      </w:r>
    </w:p>
    <w:p>
      <w:pPr>
        <w:widowControl w:val="on"/>
        <w:pBdr/>
        <w:spacing w:before="220" w:after="220" w:line="240" w:lineRule="auto"/>
        <w:ind w:left="0" w:right="0"/>
        <w:jc w:val="left"/>
      </w:pPr>
      <w:r>
        <w:rPr>
          <w:rFonts w:ascii="Calibri" w:hAnsi="Calibri" w:eastAsia="Calibri" w:cs="Calibri"/>
          <w:color w:val="000000"/>
          <w:sz w:val="22"/>
          <w:szCs w:val="22"/>
        </w:rPr>
        <w:t xml:space="preserve">Stevens RE, Carolin VM &amp; Markin GP (1984) Lepidoptera associated with western spruce budworm. In </w:t>
      </w:r>
      <w:r>
        <w:rPr>
          <w:rFonts w:ascii="Calibri" w:hAnsi="Calibri" w:eastAsia="Calibri" w:cs="Calibri"/>
          <w:i/>
          <w:iCs/>
          <w:color w:val="000000"/>
          <w:sz w:val="22"/>
          <w:szCs w:val="22"/>
        </w:rPr>
        <w:t xml:space="preserve">Spruce budworms handbook</w:t>
      </w:r>
      <w:r>
        <w:rPr>
          <w:rFonts w:ascii="Calibri" w:hAnsi="Calibri" w:eastAsia="Calibri" w:cs="Calibri"/>
          <w:color w:val="000000"/>
          <w:sz w:val="22"/>
          <w:szCs w:val="22"/>
        </w:rPr>
        <w:t xml:space="preserve">. United States Cooperative State Research Service, Canada/United States Spruce Budworms Program. U.S. Department of Agriculture, Forest Service, Cooperative State Research Service, Agricultural Handbook No. 622, p. 5-8.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Brian Van Hezewijk, Natural Resources Canada – Canadian Forest Service.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Choristoneura occidentalis occidentalis</w:t>
      </w:r>
      <w:r>
        <w:rPr>
          <w:rFonts w:ascii="Calibri" w:hAnsi="Calibri" w:eastAsia="Calibri" w:cs="Calibri"/>
          <w:color w:val="000000"/>
          <w:sz w:val="22"/>
          <w:szCs w:val="22"/>
        </w:rPr>
        <w:t xml:space="preserve">. EPPO datasheets on pests recommended for regulation. Available online. </w:t>
      </w:r>
      <w:hyperlink r:id="rId62226a11dd87a61a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7083080" name="name73996a11dd87a641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806a11dd87a640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148656">
    <w:multiLevelType w:val="hybridMultilevel"/>
    <w:lvl w:ilvl="0" w:tplc="35722732">
      <w:start w:val="1"/>
      <w:numFmt w:val="decimal"/>
      <w:lvlText w:val="%1."/>
      <w:lvlJc w:val="left"/>
      <w:pPr>
        <w:ind w:left="720" w:hanging="360"/>
      </w:pPr>
    </w:lvl>
    <w:lvl w:ilvl="1" w:tplc="35722732" w:tentative="1">
      <w:start w:val="1"/>
      <w:numFmt w:val="lowerLetter"/>
      <w:lvlText w:val="%2."/>
      <w:lvlJc w:val="left"/>
      <w:pPr>
        <w:ind w:left="1440" w:hanging="360"/>
      </w:pPr>
    </w:lvl>
    <w:lvl w:ilvl="2" w:tplc="35722732" w:tentative="1">
      <w:start w:val="1"/>
      <w:numFmt w:val="lowerRoman"/>
      <w:lvlText w:val="%3."/>
      <w:lvlJc w:val="right"/>
      <w:pPr>
        <w:ind w:left="2160" w:hanging="180"/>
      </w:pPr>
    </w:lvl>
    <w:lvl w:ilvl="3" w:tplc="35722732" w:tentative="1">
      <w:start w:val="1"/>
      <w:numFmt w:val="decimal"/>
      <w:lvlText w:val="%4."/>
      <w:lvlJc w:val="left"/>
      <w:pPr>
        <w:ind w:left="2880" w:hanging="360"/>
      </w:pPr>
    </w:lvl>
    <w:lvl w:ilvl="4" w:tplc="35722732" w:tentative="1">
      <w:start w:val="1"/>
      <w:numFmt w:val="lowerLetter"/>
      <w:lvlText w:val="%5."/>
      <w:lvlJc w:val="left"/>
      <w:pPr>
        <w:ind w:left="3600" w:hanging="360"/>
      </w:pPr>
    </w:lvl>
    <w:lvl w:ilvl="5" w:tplc="35722732" w:tentative="1">
      <w:start w:val="1"/>
      <w:numFmt w:val="lowerRoman"/>
      <w:lvlText w:val="%6."/>
      <w:lvlJc w:val="right"/>
      <w:pPr>
        <w:ind w:left="4320" w:hanging="180"/>
      </w:pPr>
    </w:lvl>
    <w:lvl w:ilvl="6" w:tplc="35722732" w:tentative="1">
      <w:start w:val="1"/>
      <w:numFmt w:val="decimal"/>
      <w:lvlText w:val="%7."/>
      <w:lvlJc w:val="left"/>
      <w:pPr>
        <w:ind w:left="5040" w:hanging="360"/>
      </w:pPr>
    </w:lvl>
    <w:lvl w:ilvl="7" w:tplc="35722732" w:tentative="1">
      <w:start w:val="1"/>
      <w:numFmt w:val="lowerLetter"/>
      <w:lvlText w:val="%8."/>
      <w:lvlJc w:val="left"/>
      <w:pPr>
        <w:ind w:left="5760" w:hanging="360"/>
      </w:pPr>
    </w:lvl>
    <w:lvl w:ilvl="8" w:tplc="35722732" w:tentative="1">
      <w:start w:val="1"/>
      <w:numFmt w:val="lowerRoman"/>
      <w:lvlText w:val="%9."/>
      <w:lvlJc w:val="right"/>
      <w:pPr>
        <w:ind w:left="6480" w:hanging="180"/>
      </w:pPr>
    </w:lvl>
  </w:abstractNum>
  <w:abstractNum w:abstractNumId="73148655">
    <w:multiLevelType w:val="hybridMultilevel"/>
    <w:lvl w:ilvl="0" w:tplc="902414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148655">
    <w:abstractNumId w:val="73148655"/>
  </w:num>
  <w:num w:numId="73148656">
    <w:abstractNumId w:val="731486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97264517" Type="http://schemas.microsoft.com/office/2011/relationships/commentsExtended" Target="commentsExtended.xml"/><Relationship Id="rId120173383" Type="http://schemas.microsoft.com/office/2011/relationships/people" Target="people.xml"/><Relationship Id="rId27446a11dd87a3a29" Type="http://schemas.openxmlformats.org/officeDocument/2006/relationships/hyperlink" Target="https://gd.eppo.int/taxon/ARCHOC/" TargetMode="External"/><Relationship Id="rId34756a11dd87a3a92" Type="http://schemas.openxmlformats.org/officeDocument/2006/relationships/hyperlink" Target="https://gd.eppo.int/taxon/ARCHOC/categorization" TargetMode="External"/><Relationship Id="rId62226a11dd87a61af" Type="http://schemas.openxmlformats.org/officeDocument/2006/relationships/hyperlink" Target="https://gd.eppo.int" TargetMode="External"/><Relationship Id="rId38436a11dd87a4d32" Type="http://schemas.openxmlformats.org/officeDocument/2006/relationships/image" Target="media/imgrId38436a11dd87a4d32.jpg"/><Relationship Id="rId83806a11dd87a640f" Type="http://schemas.openxmlformats.org/officeDocument/2006/relationships/image" Target="media/imgrId83806a11dd87a640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