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Choristoneura conflictana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2022-04-08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Choristoneura conflictana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(Walker)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Tortricidae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Archips conflictana</w:t>
            </w:r>
            <w:r>
              <w:rPr>
                <w:rFonts w:ascii="Calibri" w:hAnsi="Calibri" w:eastAsia="Calibri" w:cs="Calibri"/>
                <w:color w:val="000000"/>
                <w:position w:val="-3"/>
                <w:sz w:val="22"/>
                <w:szCs w:val="22"/>
              </w:rPr>
              <w:t xml:space="preserve"> (Walker), </w:t>
            </w:r>
            <w:r>
              <w:rPr>
                <w:rFonts w:ascii="Calibri" w:hAnsi="Calibri" w:eastAsia="Calibri" w:cs="Calibri"/>
                <w:i/>
                <w:iCs/>
                <w:color w:val="000000"/>
                <w:position w:val="-3"/>
                <w:sz w:val="22"/>
                <w:szCs w:val="22"/>
              </w:rPr>
              <w:t xml:space="preserve">Cacoecia conflictana</w:t>
            </w:r>
            <w:r>
              <w:rPr>
                <w:rFonts w:ascii="Calibri" w:hAnsi="Calibri" w:eastAsia="Calibri" w:cs="Calibri"/>
                <w:color w:val="000000"/>
                <w:position w:val="-3"/>
                <w:sz w:val="22"/>
                <w:szCs w:val="22"/>
              </w:rPr>
              <w:t xml:space="preserve"> (Walker), </w:t>
            </w:r>
            <w:r>
              <w:rPr>
                <w:rFonts w:ascii="Calibri" w:hAnsi="Calibri" w:eastAsia="Calibri" w:cs="Calibri"/>
                <w:i/>
                <w:iCs/>
                <w:color w:val="000000"/>
                <w:position w:val="-3"/>
                <w:sz w:val="22"/>
                <w:szCs w:val="22"/>
              </w:rPr>
              <w:t xml:space="preserve">Heterognomon conflictana</w:t>
            </w:r>
            <w:r>
              <w:rPr>
                <w:rFonts w:ascii="Calibri" w:hAnsi="Calibri" w:eastAsia="Calibri" w:cs="Calibri"/>
                <w:color w:val="000000"/>
                <w:position w:val="-3"/>
                <w:sz w:val="22"/>
                <w:szCs w:val="22"/>
              </w:rPr>
              <w:t xml:space="preserve"> (Walker), </w:t>
            </w:r>
            <w:r>
              <w:rPr>
                <w:rFonts w:ascii="Calibri" w:hAnsi="Calibri" w:eastAsia="Calibri" w:cs="Calibri"/>
                <w:i/>
                <w:iCs/>
                <w:color w:val="000000"/>
                <w:position w:val="-3"/>
                <w:sz w:val="22"/>
                <w:szCs w:val="22"/>
              </w:rPr>
              <w:t xml:space="preserve">Tortrix conflictana</w:t>
            </w:r>
            <w:r>
              <w:rPr>
                <w:rFonts w:ascii="Calibri" w:hAnsi="Calibri" w:eastAsia="Calibri" w:cs="Calibri"/>
                <w:color w:val="000000"/>
                <w:position w:val="-3"/>
                <w:sz w:val="22"/>
                <w:szCs w:val="22"/>
              </w:rPr>
              <w:t xml:space="preserve"> Walker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aspen borer, large aspen tortrix</w:t>
            </w:r>
            <w:hyperlink r:id="rId52626ad49df65614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36736ad49df6561b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ARCHCO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5283911" name="name32296ad49df656793" descr="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3.jpg"/>
                          <pic:cNvPicPr/>
                        </pic:nvPicPr>
                        <pic:blipFill>
                          <a:blip r:embed="rId22406ad49df656791" cstate="print"/>
                          <a:stretch>
                            <a:fillRect/>
                          </a:stretch>
                        </pic:blipFill>
                        <pic:spPr>
                          <a:xfrm>
                            <a:off x="0" y="0"/>
                            <a:ext cx="2160000" cy="1281600"/>
                          </a:xfrm>
                          <a:prstGeom prst="rect">
                            <a:avLst/>
                          </a:prstGeom>
                          <a:ln w="0">
                            <a:noFill/>
                          </a:ln>
                        </pic:spPr>
                      </pic:pic>
                    </a:graphicData>
                  </a:graphic>
                </wp:inline>
              </w:drawing>
            </w:r>
            <w:hyperlink r:id="rId47426ad49df6568bd"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w:t>
      </w:r>
      <w:r>
        <w:rPr>
          <w:rFonts w:ascii="Calibri" w:hAnsi="Calibri" w:eastAsia="Calibri" w:cs="Calibri"/>
          <w:i/>
          <w:iCs/>
          <w:color w:val="000000"/>
          <w:sz w:val="22"/>
          <w:szCs w:val="22"/>
        </w:rPr>
        <w:t xml:space="preserve">conflictana</w:t>
      </w:r>
      <w:r>
        <w:rPr>
          <w:rFonts w:ascii="Calibri" w:hAnsi="Calibri" w:eastAsia="Calibri" w:cs="Calibri"/>
          <w:color w:val="000000"/>
          <w:sz w:val="22"/>
          <w:szCs w:val="22"/>
        </w:rPr>
        <w:t xml:space="preserve"> was originally described in the genus </w:t>
      </w:r>
      <w:r>
        <w:rPr>
          <w:rFonts w:ascii="Calibri" w:hAnsi="Calibri" w:eastAsia="Calibri" w:cs="Calibri"/>
          <w:i/>
          <w:iCs/>
          <w:color w:val="000000"/>
          <w:sz w:val="22"/>
          <w:szCs w:val="22"/>
        </w:rPr>
        <w:t xml:space="preserve">Tortrix</w:t>
      </w:r>
      <w:r>
        <w:rPr>
          <w:rFonts w:ascii="Calibri" w:hAnsi="Calibri" w:eastAsia="Calibri" w:cs="Calibri"/>
          <w:color w:val="000000"/>
          <w:sz w:val="22"/>
          <w:szCs w:val="22"/>
        </w:rPr>
        <w:t xml:space="preserve"> by Walker (1863). Walsingham (1879) transferred it to </w:t>
      </w:r>
      <w:r>
        <w:rPr>
          <w:rFonts w:ascii="Calibri" w:hAnsi="Calibri" w:eastAsia="Calibri" w:cs="Calibri"/>
          <w:i/>
          <w:iCs/>
          <w:color w:val="000000"/>
          <w:sz w:val="22"/>
          <w:szCs w:val="22"/>
        </w:rPr>
        <w:t xml:space="preserve">Heterognomon</w:t>
      </w:r>
      <w:r>
        <w:rPr>
          <w:rFonts w:ascii="Calibri" w:hAnsi="Calibri" w:eastAsia="Calibri" w:cs="Calibri"/>
          <w:color w:val="000000"/>
          <w:sz w:val="22"/>
          <w:szCs w:val="22"/>
        </w:rPr>
        <w:t xml:space="preserve">, Meyrick (1913) transferred it to </w:t>
      </w:r>
      <w:r>
        <w:rPr>
          <w:rFonts w:ascii="Calibri" w:hAnsi="Calibri" w:eastAsia="Calibri" w:cs="Calibri"/>
          <w:i/>
          <w:iCs/>
          <w:color w:val="000000"/>
          <w:sz w:val="22"/>
          <w:szCs w:val="22"/>
        </w:rPr>
        <w:t xml:space="preserve">Cacoecia</w:t>
      </w:r>
      <w:r>
        <w:rPr>
          <w:rFonts w:ascii="Calibri" w:hAnsi="Calibri" w:eastAsia="Calibri" w:cs="Calibri"/>
          <w:color w:val="000000"/>
          <w:sz w:val="22"/>
          <w:szCs w:val="22"/>
        </w:rPr>
        <w:t xml:space="preserve">, and Forbes (1923) placed it in </w:t>
      </w:r>
      <w:r>
        <w:rPr>
          <w:rFonts w:ascii="Calibri" w:hAnsi="Calibri" w:eastAsia="Calibri" w:cs="Calibri"/>
          <w:i/>
          <w:iCs/>
          <w:color w:val="000000"/>
          <w:sz w:val="22"/>
          <w:szCs w:val="22"/>
        </w:rPr>
        <w:t xml:space="preserve">Archips</w:t>
      </w:r>
      <w:r>
        <w:rPr>
          <w:rFonts w:ascii="Calibri" w:hAnsi="Calibri" w:eastAsia="Calibri" w:cs="Calibri"/>
          <w:color w:val="000000"/>
          <w:sz w:val="22"/>
          <w:szCs w:val="22"/>
        </w:rPr>
        <w:t xml:space="preserve">. Prentice (1955) moved it to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where it has remained for the last 65 years (e.g., Powell 1983, Brown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associated primarily with quaking aspen (</w:t>
      </w:r>
      <w:r>
        <w:rPr>
          <w:rFonts w:ascii="Calibri" w:hAnsi="Calibri" w:eastAsia="Calibri" w:cs="Calibri"/>
          <w:i/>
          <w:iCs/>
          <w:color w:val="000000"/>
          <w:sz w:val="22"/>
          <w:szCs w:val="22"/>
        </w:rPr>
        <w:t xml:space="preserve">Populus tremuloides</w:t>
      </w:r>
      <w:r>
        <w:rPr>
          <w:rFonts w:ascii="Calibri" w:hAnsi="Calibri" w:eastAsia="Calibri" w:cs="Calibri"/>
          <w:color w:val="000000"/>
          <w:sz w:val="22"/>
          <w:szCs w:val="22"/>
        </w:rPr>
        <w:t xml:space="preserve">), the larvae of </w:t>
      </w:r>
      <w:r>
        <w:rPr>
          <w:rFonts w:ascii="Calibri" w:hAnsi="Calibri" w:eastAsia="Calibri" w:cs="Calibri"/>
          <w:i/>
          <w:iCs/>
          <w:color w:val="000000"/>
          <w:sz w:val="22"/>
          <w:szCs w:val="22"/>
        </w:rPr>
        <w:t xml:space="preserve">Choristoneura conflictana</w:t>
      </w:r>
      <w:r>
        <w:rPr>
          <w:rFonts w:ascii="Calibri" w:hAnsi="Calibri" w:eastAsia="Calibri" w:cs="Calibri"/>
          <w:color w:val="000000"/>
          <w:sz w:val="22"/>
          <w:szCs w:val="22"/>
        </w:rPr>
        <w:t xml:space="preserve"> feed commonly on the foliage (buds and leaves) of several Salicaceae (e.g.,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spp.) and Betulaceae (e.g., </w:t>
      </w:r>
      <w:r>
        <w:rPr>
          <w:rFonts w:ascii="Calibri" w:hAnsi="Calibri" w:eastAsia="Calibri" w:cs="Calibri"/>
          <w:i/>
          <w:iCs/>
          <w:color w:val="000000"/>
          <w:sz w:val="22"/>
          <w:szCs w:val="22"/>
        </w:rPr>
        <w:t xml:space="preserve">Alnus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w:t>
      </w:r>
      <w:r>
        <w:rPr>
          <w:rFonts w:ascii="Calibri" w:hAnsi="Calibri" w:eastAsia="Calibri" w:cs="Calibri"/>
          <w:color w:val="000000"/>
          <w:sz w:val="22"/>
          <w:szCs w:val="22"/>
        </w:rPr>
        <w:t xml:space="preserve">spp., and </w:t>
      </w:r>
      <w:r>
        <w:rPr>
          <w:rFonts w:ascii="Calibri" w:hAnsi="Calibri" w:eastAsia="Calibri" w:cs="Calibri"/>
          <w:i/>
          <w:iCs/>
          <w:color w:val="000000"/>
          <w:sz w:val="22"/>
          <w:szCs w:val="22"/>
        </w:rPr>
        <w:t xml:space="preserve">Corylus</w:t>
      </w:r>
      <w:r>
        <w:rPr>
          <w:rFonts w:ascii="Calibri" w:hAnsi="Calibri" w:eastAsia="Calibri" w:cs="Calibri"/>
          <w:color w:val="000000"/>
          <w:sz w:val="22"/>
          <w:szCs w:val="22"/>
        </w:rPr>
        <w:t xml:space="preserve"> sp.), and have been recorded less frequently from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(Aceraceae), </w:t>
      </w:r>
      <w:r>
        <w:rPr>
          <w:rFonts w:ascii="Calibri" w:hAnsi="Calibri" w:eastAsia="Calibri" w:cs="Calibri"/>
          <w:i/>
          <w:iCs/>
          <w:color w:val="000000"/>
          <w:sz w:val="22"/>
          <w:szCs w:val="22"/>
        </w:rPr>
        <w:t xml:space="preserve">Cornus</w:t>
      </w:r>
      <w:r>
        <w:rPr>
          <w:rFonts w:ascii="Calibri" w:hAnsi="Calibri" w:eastAsia="Calibri" w:cs="Calibri"/>
          <w:color w:val="000000"/>
          <w:sz w:val="22"/>
          <w:szCs w:val="22"/>
        </w:rPr>
        <w:t xml:space="preserve"> (Cornaceae),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(Ericaceae),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(Pinaceae),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Sorbus</w:t>
      </w:r>
      <w:r>
        <w:rPr>
          <w:rFonts w:ascii="Calibri" w:hAnsi="Calibri" w:eastAsia="Calibri" w:cs="Calibri"/>
          <w:color w:val="000000"/>
          <w:sz w:val="22"/>
          <w:szCs w:val="22"/>
        </w:rPr>
        <w:t xml:space="preserve"> (Rosaceae) (Schaffner 1950, 1959, MacKay 1962, Powell 1964, Prentice 1966, Beckwith 1973, Furniss &amp; Carolin 1977, Witter &amp; Waisanen 1978).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spp. are cultivated throughout much of Europe for timber and ornamental landscaping. In natural environments,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occurs commonly in riparian forests of Central and Southern Europe; the distribution of </w:t>
      </w:r>
      <w:r>
        <w:rPr>
          <w:rFonts w:ascii="Calibri" w:hAnsi="Calibri" w:eastAsia="Calibri" w:cs="Calibri"/>
          <w:i/>
          <w:iCs/>
          <w:color w:val="000000"/>
          <w:sz w:val="22"/>
          <w:szCs w:val="22"/>
        </w:rPr>
        <w:t xml:space="preserve">Populus nigra</w:t>
      </w:r>
      <w:r>
        <w:rPr>
          <w:rFonts w:ascii="Calibri" w:hAnsi="Calibri" w:eastAsia="Calibri" w:cs="Calibri"/>
          <w:color w:val="000000"/>
          <w:sz w:val="22"/>
          <w:szCs w:val="22"/>
        </w:rPr>
        <w:t xml:space="preserve"> ranges from the British Isles to the Mediterranean coast; and </w:t>
      </w:r>
      <w:r>
        <w:rPr>
          <w:rFonts w:ascii="Calibri" w:hAnsi="Calibri" w:eastAsia="Calibri" w:cs="Calibri"/>
          <w:i/>
          <w:iCs/>
          <w:color w:val="000000"/>
          <w:sz w:val="22"/>
          <w:szCs w:val="22"/>
        </w:rPr>
        <w:t xml:space="preserve">Populus tremula</w:t>
      </w:r>
      <w:r>
        <w:rPr>
          <w:rFonts w:ascii="Calibri" w:hAnsi="Calibri" w:eastAsia="Calibri" w:cs="Calibri"/>
          <w:color w:val="000000"/>
          <w:sz w:val="22"/>
          <w:szCs w:val="22"/>
        </w:rPr>
        <w:t xml:space="preserve"> is found predominantly in Denmark and Sweden.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alleghaniensis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populifolia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alternifolia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balsamifera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grandidentata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tremuloides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trichocarpa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Choristoneura conflictana </w:t>
      </w:r>
      <w:r>
        <w:rPr>
          <w:rFonts w:ascii="Calibri" w:hAnsi="Calibri" w:eastAsia="Calibri" w:cs="Calibri"/>
          <w:color w:val="000000"/>
          <w:sz w:val="22"/>
          <w:szCs w:val="22"/>
        </w:rPr>
        <w:t xml:space="preserve">is broadly distributed across the North America continent, from the Atlantic to the Pacific oceans, from Newfoundland and Labrador, Canada to Alaska, south to California, Arizona and New Mexico (Freeman 1958, Powell 1964).</w:t>
      </w:r>
    </w:p>
    <w:p>
      <w:r>
        <w:drawing>
          <wp:inline distT="0" distB="0" distL="0" distR="0">
            <wp:extent cx="6120000" cy="3067200"/>
            <wp:docPr id="9900674" name="name93836ad49df657c06" descr="ARCHC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HCO_distribution_map.jpg"/>
                    <pic:cNvPicPr/>
                  </pic:nvPicPr>
                  <pic:blipFill>
                    <a:blip r:embed="rId98496ad49df657c0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Ontario, Québec, Saskatchewan, Yukon Territory), United States of America (Alaska, Arizona, Arkansas, California, Colorado, Illinois, Iowa, Kansas, Maine, Michigan, Minnesota, Missouri, Montana, Nebraska, Nevada, New Hampshire, New Jersey, New Mexico, New York, North Dakota, Ohio, Pennsylvania, South Dakota, Utah, Wisconsin,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Choristoneura conflictana</w:t>
      </w:r>
      <w:r>
        <w:rPr>
          <w:rFonts w:ascii="Calibri" w:hAnsi="Calibri" w:eastAsia="Calibri" w:cs="Calibri"/>
          <w:color w:val="000000"/>
          <w:sz w:val="22"/>
          <w:szCs w:val="22"/>
        </w:rPr>
        <w:t xml:space="preserve"> is a univoltine species, completing one generation per year, and overwintering in the larval stage. The flat, scale-like eggs are laid in large clusters of 60-450 on the upper surface of the host leaves from mid-June to early July, and hatch 7‒10 days after oviposition. First-instar larvae are partially gregarious, congregating between leaves that they web together with silk. The larvae skeletonize the foliage, but feeding damage is not conspicuous during this stage. Starting in early August, larvae begin to disperse from foliage to overwintering sites such as bark crevices and other protected places, an activity that is completed by the end of September. Larvae then moult once and spin a white silken chamber in which they overwinter. The following May, these second instar larvae become active, mining new buds and feeding on epidermal leaf tissue, sometimes causing complete defoliation before the buds open. From the third instar until pupation, the larvae roll or fold the host leaves to make a shelter within which they feed, eating all but the larger leaf veins. It is during this period that most foliar damage occurs. Larvae complete their development and pupate from early to mid-June, and adults emerge 7‒14 days following pupation, flying from late June through July.</w:t>
      </w:r>
    </w:p>
    <w:p>
      <w:pPr>
        <w:widowControl w:val="on"/>
        <w:pBdr/>
        <w:spacing w:before="220" w:after="220" w:line="240" w:lineRule="auto"/>
        <w:ind w:left="0" w:right="0"/>
        <w:jc w:val="left"/>
      </w:pPr>
      <w:r>
        <w:rPr>
          <w:rFonts w:ascii="Calibri" w:hAnsi="Calibri" w:eastAsia="Calibri" w:cs="Calibri"/>
          <w:color w:val="000000"/>
          <w:sz w:val="22"/>
          <w:szCs w:val="22"/>
        </w:rPr>
        <w:t xml:space="preserve">Because second and third instar larvae remain in mined buds and developing leaf clusters for a period of 10‒14 days in the spring, sampling at this time may provide an estimate of the potential population, and hence may be used for potential defoliation forecasts. For more detailed information on the biology, see Prentice (1955), Davidson &amp; Prentice (1968), Furniss &amp; Carolin (1977) and USDA (1979).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Evidence of early infestation includes skeletonized foliage and rolled leaves; affected foliage typically has a clumped, irregular appearance (Ciesla &amp; Kruse 2009). As feeding progresses, the crowns of infested trees become thin, and the foliage becomes yellow-brown. During heavy infestations, aspens may be completely defoliated and have a somewhat grey or brown colour. Severely affected trees may be covered with silken webbing from larvae, and understory non-host vegetation may also show evidence of larval webbing (Ciesla &amp; Kruse 2009).</w:t>
      </w:r>
    </w:p>
    <w:p>
      <w:pPr>
        <w:widowControl w:val="on"/>
        <w:pBdr/>
        <w:spacing w:before="220" w:after="220" w:line="240" w:lineRule="auto"/>
        <w:ind w:left="0" w:right="0"/>
        <w:jc w:val="both"/>
      </w:pPr>
      <w:r>
        <w:rPr>
          <w:rFonts w:ascii="Calibri" w:hAnsi="Calibri" w:eastAsia="Calibri" w:cs="Calibri"/>
          <w:color w:val="000000"/>
          <w:sz w:val="22"/>
          <w:szCs w:val="22"/>
        </w:rPr>
        <w:t xml:space="preserve">Infested trees may be completely defoliated for a year or two but normally recover with only loss of growth. Usually, defoliation occurs in early summer, and attacked trees put on new growth in mid- to late summer, but new foliage is sparse, individual leaves are smaller, and tree crowns are thinner. Outbreaks characteristically last 2 or 3 years.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small, ovoid, flat, and pale green, laid in irregularly rounded, imbricate or shingle-like clusters of 60-450 eggs. They are typically found on the upper surface of leaves in June and July.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Early instar larvae are pale yellow with light brown legs and a brown head capsule. Mature larvae are variable from pale grey-green to nearly black, with small, dark brown, spot-like pinacula. The head and anal shield are uniformly reddish-brown to black, and the prothoracic shield is dark amber to black. Last instar larvae are 15‒25 mm in length. The chaetotaxy, or arrangement of setae, is typically tortricine with a trisetose L-group on the first thoracic segment and a dorsal ‘saddle’ on abdominal segment 9, representing the fusion of the SD2 setae on that segment. Below the anal shield is a well-developed anal fork (MacKay, 1962). Detailed drawings of morphological features of the larvae can be found in Prentice (1955) and MacKay (1962), and images may be found in Ciesla &amp; Kruse (2006), among other online publications.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10‒17 mm in length, and pale green when first formed, soon becoming reddish brown or black. Abdominal segments 3‒8 each have two transverse rows of tiny spines on the underside, and segment 10 is produced into a rectangular cremaster with slender, hook-tipped setae. The last larval exuvium (shed skin) is often attached to the base of the pupa.</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 moths have a wing span of 25‒35 mm. The forewings are grey with three indistinct and variable darker brown fasciae: one at the base of the wing, one near the middle of the wing, and one in the apical region; the hindwings are nearly uniformly pale brownish. Although male genitalia are often characteristic for many species of Tortricidae, those of the large aspen tortrix are not particularly suitable as a diagnostic feature. Illustrations may be found in Freeman (1958) and Powell (1964).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in late May and early June may reveal rolled and/or skeletonized leaves with a clumped, irregular appearance (Ciesla &amp; Kruse, 2009), often with webbing and frass. However, small or localized infestations may be difficult to detect. Sex pheromones also may be used to detect the presence/absence of adults during the peak flight period from late June through July. </w:t>
      </w:r>
    </w:p>
    <w:p>
      <w:pPr>
        <w:widowControl w:val="on"/>
        <w:pBdr/>
        <w:spacing w:before="220" w:after="220" w:line="240" w:lineRule="auto"/>
        <w:ind w:left="0" w:right="0"/>
        <w:jc w:val="both"/>
      </w:pPr>
      <w:r>
        <w:rPr>
          <w:rFonts w:ascii="Calibri" w:hAnsi="Calibri" w:eastAsia="Calibri" w:cs="Calibri"/>
          <w:color w:val="000000"/>
          <w:sz w:val="22"/>
          <w:szCs w:val="22"/>
        </w:rPr>
        <w:t xml:space="preserve">Werner &amp; Wheatherston (1980) discovered that the compound cis-11-tetradecenal attracted males of large aspen tortrix in stands of quaking aspen in Alaska. They indicated that the pheromone can be dispersed from polyethylene caps using Pherocon 2 traps placed 1.5 m above the ground. Over two decades later, Evenden and Gries (2006) found that traps baited with (Z)11-14-hexadecanal alone can be used to successfully monitor mated and unmated males of </w:t>
      </w:r>
      <w:r>
        <w:rPr>
          <w:rFonts w:ascii="Calibri" w:hAnsi="Calibri" w:eastAsia="Calibri" w:cs="Calibri"/>
          <w:i/>
          <w:iCs/>
          <w:color w:val="000000"/>
          <w:sz w:val="22"/>
          <w:szCs w:val="22"/>
        </w:rPr>
        <w:t xml:space="preserve">C. conflictana</w:t>
      </w:r>
      <w:r>
        <w:rPr>
          <w:rFonts w:ascii="Calibri" w:hAnsi="Calibri" w:eastAsia="Calibri" w:cs="Calibri"/>
          <w:color w:val="000000"/>
          <w:sz w:val="22"/>
          <w:szCs w:val="22"/>
        </w:rPr>
        <w:t xml:space="preserve"> throughout their flight period. Jones &amp; Evenden (2008) and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provide additional information on the use of pheromones for detection of this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Passive wind dispersal of larvae via ‘ballooning’ can occur, and moths are capable of flight, but probably only over short distances. In international trade, </w:t>
      </w:r>
      <w:r>
        <w:rPr>
          <w:rFonts w:ascii="Calibri" w:hAnsi="Calibri" w:eastAsia="Calibri" w:cs="Calibri"/>
          <w:i/>
          <w:iCs/>
          <w:color w:val="000000"/>
          <w:sz w:val="22"/>
          <w:szCs w:val="22"/>
        </w:rPr>
        <w:t xml:space="preserve">C. conflictana</w:t>
      </w:r>
      <w:r>
        <w:rPr>
          <w:rFonts w:ascii="Calibri" w:hAnsi="Calibri" w:eastAsia="Calibri" w:cs="Calibri"/>
          <w:color w:val="000000"/>
          <w:sz w:val="22"/>
          <w:szCs w:val="22"/>
        </w:rPr>
        <w:t xml:space="preserve"> may be transported in nursery stock and cut foliage of </w:t>
      </w:r>
      <w:r>
        <w:rPr>
          <w:rFonts w:ascii="Calibri" w:hAnsi="Calibri" w:eastAsia="Calibri" w:cs="Calibri"/>
          <w:i/>
          <w:iCs/>
          <w:color w:val="000000"/>
          <w:sz w:val="22"/>
          <w:szCs w:val="22"/>
        </w:rPr>
        <w:t xml:space="preserve">Populus tremuloides</w:t>
      </w:r>
      <w:r>
        <w:rPr>
          <w:rFonts w:ascii="Calibri" w:hAnsi="Calibri" w:eastAsia="Calibri" w:cs="Calibri"/>
          <w:color w:val="000000"/>
          <w:sz w:val="22"/>
          <w:szCs w:val="22"/>
        </w:rPr>
        <w:t xml:space="preserve"> and other host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Defoliators are by far the most important and damaging insect pests of poplars, but the extent of damage depends on the severity and frequency of defoliation, and the time of the year when defoliation occurs. </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Furniss and Carolin (1977), under outbreak conditions, which are rare, </w:t>
      </w:r>
      <w:r>
        <w:rPr>
          <w:rFonts w:ascii="Calibri" w:hAnsi="Calibri" w:eastAsia="Calibri" w:cs="Calibri"/>
          <w:i/>
          <w:iCs/>
          <w:color w:val="000000"/>
          <w:sz w:val="22"/>
          <w:szCs w:val="22"/>
        </w:rPr>
        <w:t xml:space="preserve">C. conflictana</w:t>
      </w:r>
      <w:r>
        <w:rPr>
          <w:rFonts w:ascii="Calibri" w:hAnsi="Calibri" w:eastAsia="Calibri" w:cs="Calibri"/>
          <w:color w:val="000000"/>
          <w:sz w:val="22"/>
          <w:szCs w:val="22"/>
        </w:rPr>
        <w:t xml:space="preserve"> may be considered a pest of spruce, aspen, and birch in the northern part of Western North America. Outbreaks have been reported sporadically in large stands of trembling aspen in the western provinces of Canada (i.e., Alberta, Manitoba, Saskatchewan), and during 1966‒1968, a large outbreak was recorded in Central Alaska (Furniss and Carolin, 1977). Outbreaks usually last 2‒3 years, and although trees may be completely defoliated for a year or two, they typically recover (Cerezke, 1992). Under outbreak conditions on aspen, larva of </w:t>
      </w:r>
      <w:r>
        <w:rPr>
          <w:rFonts w:ascii="Calibri" w:hAnsi="Calibri" w:eastAsia="Calibri" w:cs="Calibri"/>
          <w:i/>
          <w:iCs/>
          <w:color w:val="000000"/>
          <w:sz w:val="22"/>
          <w:szCs w:val="22"/>
        </w:rPr>
        <w:t xml:space="preserve">C. conflictana</w:t>
      </w:r>
      <w:r>
        <w:rPr>
          <w:rFonts w:ascii="Calibri" w:hAnsi="Calibri" w:eastAsia="Calibri" w:cs="Calibri"/>
          <w:color w:val="000000"/>
          <w:sz w:val="22"/>
          <w:szCs w:val="22"/>
        </w:rPr>
        <w:t xml:space="preserve"> feed on other broad-leaved trees growing nearby. Owing to the ability of most host trees to quickly recover, limited economic damage occurs.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severe outbreaks of the large aspen tortrix are sporadic and rare, and aspen is quite tolerant of defoliation, control measures are usually not necessary. Outbreaks tend to be short-lived (2‒3 years) and are usually allowed to run their course without intervention. In addition, under outbreak conditions, large numbers of larvae may starve or move to alternative, less appropriate hosts owing to competition.</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if it is determined that control measures are necessary, owing to severe outbreaks in heavily used recreation sites or home sites in urban-wildland interface areas, application of chemicals such as malathion are effective. Although small-scale control programs have been implemented, the level of damage by the large aspen tortrix rarely warrants the spraying of extensive stands of forest, plantations, or landscaped areas. Holsten &amp; Hard (1985) reported that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provides significant protection of foliage against this species, but indicated that the timing of application was critical for </w:t>
      </w:r>
      <w:r>
        <w:rPr>
          <w:rFonts w:ascii="Calibri" w:hAnsi="Calibri" w:eastAsia="Calibri" w:cs="Calibri"/>
          <w:i/>
          <w:iCs/>
          <w:color w:val="000000"/>
          <w:sz w:val="22"/>
          <w:szCs w:val="22"/>
        </w:rPr>
        <w:t xml:space="preserve">Bacillus</w:t>
      </w:r>
      <w:r>
        <w:rPr>
          <w:rFonts w:ascii="Calibri" w:hAnsi="Calibri" w:eastAsia="Calibri" w:cs="Calibri"/>
          <w:color w:val="000000"/>
          <w:sz w:val="22"/>
          <w:szCs w:val="22"/>
        </w:rPr>
        <w:t xml:space="preserve"> efficacy. </w:t>
      </w:r>
    </w:p>
    <w:p>
      <w:pPr>
        <w:widowControl w:val="on"/>
        <w:pBdr/>
        <w:spacing w:before="220" w:after="220" w:line="240" w:lineRule="auto"/>
        <w:ind w:left="0" w:right="0"/>
        <w:jc w:val="both"/>
      </w:pPr>
      <w:r>
        <w:rPr>
          <w:rFonts w:ascii="Calibri" w:hAnsi="Calibri" w:eastAsia="Calibri" w:cs="Calibri"/>
          <w:color w:val="000000"/>
          <w:sz w:val="22"/>
          <w:szCs w:val="22"/>
        </w:rPr>
        <w:t xml:space="preserve">Sex pheromones have also been investigated for trapping and possible mating disruption (Wheatherston, 1976), and these may be used together with pheromones for control of tent caterpillar (</w:t>
      </w:r>
      <w:r>
        <w:rPr>
          <w:rFonts w:ascii="Calibri" w:hAnsi="Calibri" w:eastAsia="Calibri" w:cs="Calibri"/>
          <w:i/>
          <w:iCs/>
          <w:color w:val="000000"/>
          <w:sz w:val="22"/>
          <w:szCs w:val="22"/>
        </w:rPr>
        <w:t xml:space="preserve">Malacosoma</w:t>
      </w:r>
      <w:r>
        <w:rPr>
          <w:rFonts w:ascii="Calibri" w:hAnsi="Calibri" w:eastAsia="Calibri" w:cs="Calibri"/>
          <w:color w:val="000000"/>
          <w:sz w:val="22"/>
          <w:szCs w:val="22"/>
        </w:rPr>
        <w:t xml:space="preserve"> sp., Lasiocampidae) (Jones &amp; Evenden, 2008;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 2009).</w:t>
      </w:r>
    </w:p>
    <w:p>
      <w:pPr>
        <w:widowControl w:val="on"/>
        <w:pBdr/>
        <w:spacing w:before="220" w:after="220" w:line="240" w:lineRule="auto"/>
        <w:ind w:left="0" w:right="0"/>
        <w:jc w:val="both"/>
      </w:pPr>
      <w:r>
        <w:rPr>
          <w:rFonts w:ascii="Calibri" w:hAnsi="Calibri" w:eastAsia="Calibri" w:cs="Calibri"/>
          <w:color w:val="000000"/>
          <w:sz w:val="22"/>
          <w:szCs w:val="22"/>
        </w:rPr>
        <w:t xml:space="preserve">Under natural conditions, an array of native predators and parasitoids help keep large aspen tortrix populations in check (e.g., Prentice, 1955; Cranshaw, 2016), with over 20 species of insects reported to attack eggs, larvae, and pupae, notably tachinid flies and parasitic wasps, such as </w:t>
      </w:r>
      <w:r>
        <w:rPr>
          <w:rFonts w:ascii="Calibri" w:hAnsi="Calibri" w:eastAsia="Calibri" w:cs="Calibri"/>
          <w:i/>
          <w:iCs/>
          <w:color w:val="000000"/>
          <w:sz w:val="22"/>
          <w:szCs w:val="22"/>
        </w:rPr>
        <w:t xml:space="preserve">Omotoma fumiferanae</w:t>
      </w:r>
      <w:r>
        <w:rPr>
          <w:rFonts w:ascii="Calibri" w:hAnsi="Calibri" w:eastAsia="Calibri" w:cs="Calibri"/>
          <w:color w:val="000000"/>
          <w:sz w:val="22"/>
          <w:szCs w:val="22"/>
        </w:rPr>
        <w:t xml:space="preserve"> (Diptera: Tachinidae) and </w:t>
      </w:r>
      <w:r>
        <w:rPr>
          <w:rFonts w:ascii="Calibri" w:hAnsi="Calibri" w:eastAsia="Calibri" w:cs="Calibri"/>
          <w:i/>
          <w:iCs/>
          <w:color w:val="000000"/>
          <w:sz w:val="22"/>
          <w:szCs w:val="22"/>
        </w:rPr>
        <w:t xml:space="preserve">Glypta</w:t>
      </w:r>
      <w:r>
        <w:rPr>
          <w:rFonts w:ascii="Calibri" w:hAnsi="Calibri" w:eastAsia="Calibri" w:cs="Calibri"/>
          <w:color w:val="000000"/>
          <w:sz w:val="22"/>
          <w:szCs w:val="22"/>
        </w:rPr>
        <w:t xml:space="preserve"> sp. (Hymenoptera: Ichneumonidae) (e.g., Torgersen &amp; Beckwith, 1974). Predaceous insects, such as ants, wasps, and large ground beetles, also attack and feed on larvae; in addition, birds, including chickadees, vireos, and woodpeckers, consume larvae when high densities populations are found (Evenden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Ciesla &amp; Kruse, 2009). Fungi and viral diseases also help control populations; Burke and Percy (1982) identified eight pathogens that contribute to population collapse during </w:t>
      </w:r>
      <w:r>
        <w:rPr>
          <w:rFonts w:ascii="Calibri" w:hAnsi="Calibri" w:eastAsia="Calibri" w:cs="Calibri"/>
          <w:i/>
          <w:iCs/>
          <w:color w:val="000000"/>
          <w:sz w:val="22"/>
          <w:szCs w:val="22"/>
        </w:rPr>
        <w:t xml:space="preserve">C. conflictana</w:t>
      </w:r>
      <w:r>
        <w:rPr>
          <w:rFonts w:ascii="Calibri" w:hAnsi="Calibri" w:eastAsia="Calibri" w:cs="Calibri"/>
          <w:color w:val="000000"/>
          <w:sz w:val="22"/>
          <w:szCs w:val="22"/>
        </w:rPr>
        <w:t xml:space="preserve"> outbreaks (Cerezke, 1992).</w:t>
      </w:r>
    </w:p>
    <w:p>
      <w:pPr>
        <w:widowControl w:val="on"/>
        <w:pBdr/>
        <w:spacing w:before="220" w:after="220" w:line="240" w:lineRule="auto"/>
        <w:ind w:left="0" w:right="0"/>
        <w:jc w:val="both"/>
      </w:pPr>
      <w:r>
        <w:rPr>
          <w:rFonts w:ascii="Calibri" w:hAnsi="Calibri" w:eastAsia="Calibri" w:cs="Calibri"/>
          <w:color w:val="000000"/>
          <w:sz w:val="22"/>
          <w:szCs w:val="22"/>
        </w:rPr>
        <w:t xml:space="preserve">Older aspen forests tend to be more prone to dieback and tree death following defoliation. Therefore, timely harvesting of mature stands encourages development of young, vigorous aspen forests that are more tolerant and resilient to defoliator outbreaks (Ciesla &amp; Kruse, 2009).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Ontario, Canada, </w:t>
      </w:r>
      <w:r>
        <w:rPr>
          <w:rFonts w:ascii="Calibri" w:hAnsi="Calibri" w:eastAsia="Calibri" w:cs="Calibri"/>
          <w:i/>
          <w:iCs/>
          <w:color w:val="000000"/>
          <w:sz w:val="22"/>
          <w:szCs w:val="22"/>
        </w:rPr>
        <w:t xml:space="preserve">C. conflictana</w:t>
      </w:r>
      <w:r>
        <w:rPr>
          <w:rFonts w:ascii="Calibri" w:hAnsi="Calibri" w:eastAsia="Calibri" w:cs="Calibri"/>
          <w:color w:val="000000"/>
          <w:sz w:val="22"/>
          <w:szCs w:val="22"/>
        </w:rPr>
        <w:t xml:space="preserve"> is considered a major defoliator of </w:t>
      </w:r>
      <w:r>
        <w:rPr>
          <w:rFonts w:ascii="Calibri" w:hAnsi="Calibri" w:eastAsia="Calibri" w:cs="Calibri"/>
          <w:i/>
          <w:iCs/>
          <w:color w:val="000000"/>
          <w:sz w:val="22"/>
          <w:szCs w:val="22"/>
        </w:rPr>
        <w:t xml:space="preserve">P. tremuloides</w:t>
      </w:r>
      <w:r>
        <w:rPr>
          <w:rFonts w:ascii="Calibri" w:hAnsi="Calibri" w:eastAsia="Calibri" w:cs="Calibri"/>
          <w:color w:val="000000"/>
          <w:sz w:val="22"/>
          <w:szCs w:val="22"/>
        </w:rPr>
        <w:t xml:space="preserve">, resulting in reduction in growth. However, data on tree mortality from defoliation is rather inconclusive (Thomas, 1978). Hence, although </w:t>
      </w:r>
      <w:r>
        <w:rPr>
          <w:rFonts w:ascii="Calibri" w:hAnsi="Calibri" w:eastAsia="Calibri" w:cs="Calibri"/>
          <w:i/>
          <w:iCs/>
          <w:color w:val="000000"/>
          <w:sz w:val="22"/>
          <w:szCs w:val="22"/>
        </w:rPr>
        <w:t xml:space="preserve">C. conflictana</w:t>
      </w:r>
      <w:r>
        <w:rPr>
          <w:rFonts w:ascii="Calibri" w:hAnsi="Calibri" w:eastAsia="Calibri" w:cs="Calibri"/>
          <w:color w:val="000000"/>
          <w:sz w:val="22"/>
          <w:szCs w:val="22"/>
        </w:rPr>
        <w:t xml:space="preserve"> may present a low risk to plantations of aspen and other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spp. in Europe, it is considerably less significant than other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spp. on conifers.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Prohibition of the import of plants and cut foliage of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from countries where the pest is present (i.e., USA and Canada), is an appropriate measure to prevent the introduction and spread of </w:t>
      </w:r>
      <w:r>
        <w:rPr>
          <w:rFonts w:ascii="Calibri" w:hAnsi="Calibri" w:eastAsia="Calibri" w:cs="Calibri"/>
          <w:i/>
          <w:iCs/>
          <w:color w:val="000000"/>
          <w:sz w:val="22"/>
          <w:szCs w:val="22"/>
        </w:rPr>
        <w:t xml:space="preserve">C. conflictana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Beckwith RC (1973) The large aspen tortrix. USDA Forest Service, </w:t>
      </w:r>
      <w:r>
        <w:rPr>
          <w:rFonts w:ascii="Calibri" w:hAnsi="Calibri" w:eastAsia="Calibri" w:cs="Calibri"/>
          <w:i/>
          <w:iCs/>
          <w:color w:val="000000"/>
          <w:sz w:val="22"/>
          <w:szCs w:val="22"/>
        </w:rPr>
        <w:t xml:space="preserve">Forest Pest Leaflet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139</w:t>
      </w:r>
      <w:r>
        <w:rPr>
          <w:rFonts w:ascii="Calibri" w:hAnsi="Calibri" w:eastAsia="Calibri" w:cs="Calibri"/>
          <w:color w:val="000000"/>
          <w:sz w:val="22"/>
          <w:szCs w:val="22"/>
        </w:rPr>
        <w:t xml:space="preserve">, 6 pp.</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JW (2005) World catalogue of insects. Volume 5: Tortricidae (Lepidoptera). Apollo Books, Stenstrup, 741 pp.</w:t>
      </w:r>
    </w:p>
    <w:p>
      <w:pPr>
        <w:widowControl w:val="on"/>
        <w:pBdr/>
        <w:spacing w:before="220" w:after="220" w:line="240" w:lineRule="auto"/>
        <w:ind w:left="0" w:right="0"/>
        <w:jc w:val="left"/>
      </w:pPr>
      <w:r>
        <w:rPr>
          <w:rFonts w:ascii="Calibri" w:hAnsi="Calibri" w:eastAsia="Calibri" w:cs="Calibri"/>
          <w:color w:val="000000"/>
          <w:sz w:val="22"/>
          <w:szCs w:val="22"/>
        </w:rPr>
        <w:t xml:space="preserve">Burke J, Percy J (1982) Survey of pathogens in the large aspen tortrix, </w:t>
      </w:r>
      <w:r>
        <w:rPr>
          <w:rFonts w:ascii="Calibri" w:hAnsi="Calibri" w:eastAsia="Calibri" w:cs="Calibri"/>
          <w:i/>
          <w:iCs/>
          <w:color w:val="000000"/>
          <w:sz w:val="22"/>
          <w:szCs w:val="22"/>
        </w:rPr>
        <w:t xml:space="preserve">Choristoneura conflictana </w:t>
      </w:r>
      <w:r>
        <w:rPr>
          <w:rFonts w:ascii="Calibri" w:hAnsi="Calibri" w:eastAsia="Calibri" w:cs="Calibri"/>
          <w:color w:val="000000"/>
          <w:sz w:val="22"/>
          <w:szCs w:val="22"/>
        </w:rPr>
        <w:t xml:space="preserve">(Lepidoptera: Tortricidae), in Ontario and Br. Columbia with particular reference to granulosis virus.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 457-459.</w:t>
      </w:r>
    </w:p>
    <w:p>
      <w:pPr>
        <w:widowControl w:val="on"/>
        <w:pBdr/>
        <w:spacing w:before="220" w:after="220" w:line="240" w:lineRule="auto"/>
        <w:ind w:left="0" w:right="0"/>
        <w:jc w:val="left"/>
      </w:pPr>
      <w:r>
        <w:rPr>
          <w:rFonts w:ascii="Calibri" w:hAnsi="Calibri" w:eastAsia="Calibri" w:cs="Calibri"/>
          <w:color w:val="000000"/>
          <w:sz w:val="22"/>
          <w:szCs w:val="22"/>
        </w:rPr>
        <w:t xml:space="preserve">Ciesla WM, Kruse JJ (2009) Large aspen tortrix [revised]. USDA Forest Service, </w:t>
      </w:r>
      <w:r>
        <w:rPr>
          <w:rFonts w:ascii="Calibri" w:hAnsi="Calibri" w:eastAsia="Calibri" w:cs="Calibri"/>
          <w:i/>
          <w:iCs/>
          <w:color w:val="000000"/>
          <w:sz w:val="22"/>
          <w:szCs w:val="22"/>
        </w:rPr>
        <w:t xml:space="preserve">Forest Insect &amp; Disease Leaflet </w:t>
      </w:r>
      <w:r>
        <w:rPr>
          <w:rFonts w:ascii="Calibri" w:hAnsi="Calibri" w:eastAsia="Calibri" w:cs="Calibri"/>
          <w:b/>
          <w:bCs/>
          <w:color w:val="000000"/>
          <w:sz w:val="22"/>
          <w:szCs w:val="22"/>
        </w:rPr>
        <w:t xml:space="preserve">139</w:t>
      </w:r>
      <w:r>
        <w:rPr>
          <w:rFonts w:ascii="Calibri" w:hAnsi="Calibri" w:eastAsia="Calibri" w:cs="Calibri"/>
          <w:color w:val="000000"/>
          <w:sz w:val="22"/>
          <w:szCs w:val="22"/>
        </w:rPr>
        <w:t xml:space="preserve"> (revised), 8 pp.</w:t>
      </w:r>
    </w:p>
    <w:p>
      <w:pPr>
        <w:widowControl w:val="on"/>
        <w:pBdr/>
        <w:spacing w:before="220" w:after="220" w:line="240" w:lineRule="auto"/>
        <w:ind w:left="0" w:right="0"/>
        <w:jc w:val="left"/>
      </w:pPr>
      <w:r>
        <w:rPr>
          <w:rFonts w:ascii="Calibri" w:hAnsi="Calibri" w:eastAsia="Calibri" w:cs="Calibri"/>
          <w:color w:val="000000"/>
          <w:sz w:val="22"/>
          <w:szCs w:val="22"/>
        </w:rPr>
        <w:t xml:space="preserve">Cranshaw W (2016) </w:t>
      </w:r>
      <w:r>
        <w:rPr>
          <w:rFonts w:ascii="Calibri" w:hAnsi="Calibri" w:eastAsia="Calibri" w:cs="Calibri"/>
          <w:i/>
          <w:iCs/>
          <w:color w:val="000000"/>
          <w:sz w:val="22"/>
          <w:szCs w:val="22"/>
        </w:rPr>
        <w:t xml:space="preserve">Choristoneura conflictana</w:t>
      </w:r>
      <w:r>
        <w:rPr>
          <w:rFonts w:ascii="Calibri" w:hAnsi="Calibri" w:eastAsia="Calibri" w:cs="Calibri"/>
          <w:color w:val="000000"/>
          <w:sz w:val="22"/>
          <w:szCs w:val="22"/>
        </w:rPr>
        <w:t xml:space="preserve"> (Walker). High Plains Integrated Pest Management. BugWoodWiki. </w:t>
      </w:r>
      <w:hyperlink r:id="rId98866ad49df6587ad" w:history="1">
        <w:r>
          <w:rPr>
            <w:rFonts w:ascii="Calibri" w:hAnsi="Calibri" w:eastAsia="Calibri" w:cs="Calibri"/>
            <w:color w:val="0000CC"/>
            <w:sz w:val="22"/>
            <w:szCs w:val="22"/>
            <w:u w:val="single"/>
          </w:rPr>
          <w:t xml:space="preserve">https://wiki.bugwood.org/HPIPM:Choristoneura_conflictana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CerezkeHF (1992) Large aspen tortrix. </w:t>
      </w:r>
      <w:r>
        <w:rPr>
          <w:rFonts w:ascii="Calibri" w:hAnsi="Calibri" w:eastAsia="Calibri" w:cs="Calibri"/>
          <w:i/>
          <w:iCs/>
          <w:color w:val="000000"/>
          <w:sz w:val="22"/>
          <w:szCs w:val="22"/>
        </w:rPr>
        <w:t xml:space="preserve">Forest Leaflet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Natural Resources Canada, Canadian Forest Service, Northern Forestry Centre, Edmonton, Alberta.</w:t>
      </w:r>
    </w:p>
    <w:p>
      <w:pPr>
        <w:widowControl w:val="on"/>
        <w:pBdr/>
        <w:spacing w:before="220" w:after="220" w:line="240" w:lineRule="auto"/>
        <w:ind w:left="0" w:right="0"/>
        <w:jc w:val="left"/>
      </w:pPr>
      <w:r>
        <w:rPr>
          <w:rFonts w:ascii="Calibri" w:hAnsi="Calibri" w:eastAsia="Calibri" w:cs="Calibri"/>
          <w:color w:val="000000"/>
          <w:sz w:val="22"/>
          <w:szCs w:val="22"/>
        </w:rPr>
        <w:t xml:space="preserve">Davidson AG, Prentice RM (1968) Chapter VII. Insects and diseases, p. 116‒144. In: Maini JS, Cayford JH (eds.), </w:t>
      </w:r>
      <w:r>
        <w:rPr>
          <w:rFonts w:ascii="Calibri" w:hAnsi="Calibri" w:eastAsia="Calibri" w:cs="Calibri"/>
          <w:i/>
          <w:iCs/>
          <w:color w:val="000000"/>
          <w:sz w:val="22"/>
          <w:szCs w:val="22"/>
        </w:rPr>
        <w:t xml:space="preserve">Growth and utilization of poplars in Canada</w:t>
      </w:r>
      <w:r>
        <w:rPr>
          <w:rFonts w:ascii="Calibri" w:hAnsi="Calibri" w:eastAsia="Calibri" w:cs="Calibri"/>
          <w:color w:val="000000"/>
          <w:sz w:val="22"/>
          <w:szCs w:val="22"/>
        </w:rPr>
        <w:t xml:space="preserve">. Departmental Publication No. </w:t>
      </w:r>
      <w:r>
        <w:rPr>
          <w:rFonts w:ascii="Calibri" w:hAnsi="Calibri" w:eastAsia="Calibri" w:cs="Calibri"/>
          <w:b/>
          <w:bCs/>
          <w:color w:val="000000"/>
          <w:sz w:val="22"/>
          <w:szCs w:val="22"/>
        </w:rPr>
        <w:t xml:space="preserve">1205</w:t>
      </w:r>
      <w:r>
        <w:rPr>
          <w:rFonts w:ascii="Calibri" w:hAnsi="Calibri" w:eastAsia="Calibri" w:cs="Calibri"/>
          <w:color w:val="000000"/>
          <w:sz w:val="22"/>
          <w:szCs w:val="22"/>
        </w:rPr>
        <w:t xml:space="preserve">. Department of Forestry and Rural Development, Ottawa, Canada.</w:t>
      </w:r>
    </w:p>
    <w:p>
      <w:pPr>
        <w:widowControl w:val="on"/>
        <w:pBdr/>
        <w:spacing w:before="220" w:after="220" w:line="240" w:lineRule="auto"/>
        <w:ind w:left="0" w:right="0"/>
        <w:jc w:val="left"/>
      </w:pPr>
      <w:r>
        <w:rPr>
          <w:rFonts w:ascii="Calibri" w:hAnsi="Calibri" w:eastAsia="Calibri" w:cs="Calibri"/>
          <w:color w:val="000000"/>
          <w:sz w:val="22"/>
          <w:szCs w:val="22"/>
        </w:rPr>
        <w:t xml:space="preserve">Evenden ML (2005) Potential for combining sex pheromones for the forest tent caterpillar (Lepidoptera: Lasiocampidae) and the large aspen tortrix (Lepidoptera: Tortricidae) within monitoring traps targeting both species.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137</w:t>
      </w:r>
      <w:r>
        <w:rPr>
          <w:rFonts w:ascii="Calibri" w:hAnsi="Calibri" w:eastAsia="Calibri" w:cs="Calibri"/>
          <w:color w:val="000000"/>
          <w:sz w:val="22"/>
          <w:szCs w:val="22"/>
        </w:rPr>
        <w:t xml:space="preserve">, 615–619.</w:t>
      </w:r>
    </w:p>
    <w:p>
      <w:pPr>
        <w:widowControl w:val="on"/>
        <w:pBdr/>
        <w:spacing w:before="220" w:after="220" w:line="240" w:lineRule="auto"/>
        <w:ind w:left="0" w:right="0"/>
        <w:jc w:val="left"/>
      </w:pPr>
      <w:r>
        <w:rPr>
          <w:rFonts w:ascii="Calibri" w:hAnsi="Calibri" w:eastAsia="Calibri" w:cs="Calibri"/>
          <w:color w:val="000000"/>
          <w:sz w:val="22"/>
          <w:szCs w:val="22"/>
        </w:rPr>
        <w:t xml:space="preserve">Evenden ML, Gries R (2006) Sex pheromone of the large aspen tortrix, </w:t>
      </w:r>
      <w:r>
        <w:rPr>
          <w:rFonts w:ascii="Calibri" w:hAnsi="Calibri" w:eastAsia="Calibri" w:cs="Calibri"/>
          <w:i/>
          <w:iCs/>
          <w:color w:val="000000"/>
          <w:sz w:val="22"/>
          <w:szCs w:val="22"/>
        </w:rPr>
        <w:t xml:space="preserve">Choristoneura conflictana </w:t>
      </w:r>
      <w:r>
        <w:rPr>
          <w:rFonts w:ascii="Calibri" w:hAnsi="Calibri" w:eastAsia="Calibri" w:cs="Calibri"/>
          <w:color w:val="000000"/>
          <w:sz w:val="22"/>
          <w:szCs w:val="22"/>
        </w:rPr>
        <w:t xml:space="preserve">(Lepidoptera: Tortricidae). </w:t>
      </w:r>
      <w:r>
        <w:rPr>
          <w:rFonts w:ascii="Calibri" w:hAnsi="Calibri" w:eastAsia="Calibri" w:cs="Calibri"/>
          <w:i/>
          <w:iCs/>
          <w:color w:val="000000"/>
          <w:sz w:val="22"/>
          <w:szCs w:val="22"/>
        </w:rPr>
        <w:t xml:space="preserve">Chemoecology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,115–122. </w:t>
      </w:r>
      <w:hyperlink r:id="rId51176ad49df65894b" w:history="1">
        <w:r>
          <w:rPr>
            <w:rFonts w:ascii="Calibri" w:hAnsi="Calibri" w:eastAsia="Calibri" w:cs="Calibri"/>
            <w:color w:val="0000CC"/>
            <w:sz w:val="22"/>
            <w:szCs w:val="22"/>
            <w:u w:val="single"/>
          </w:rPr>
          <w:t xml:space="preserve">https://doi.org/10.1007/s00049-006-0336-x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Evenden ML, Lopez MS, Keddie BA (2006) Body size, age, and disease influence female reproductive performance in </w:t>
      </w:r>
      <w:r>
        <w:rPr>
          <w:rFonts w:ascii="Calibri" w:hAnsi="Calibri" w:eastAsia="Calibri" w:cs="Calibri"/>
          <w:i/>
          <w:iCs/>
          <w:color w:val="000000"/>
          <w:sz w:val="22"/>
          <w:szCs w:val="22"/>
        </w:rPr>
        <w:t xml:space="preserve">Choristoneura conflictana </w:t>
      </w:r>
      <w:r>
        <w:rPr>
          <w:rFonts w:ascii="Calibri" w:hAnsi="Calibri" w:eastAsia="Calibri" w:cs="Calibri"/>
          <w:color w:val="000000"/>
          <w:sz w:val="22"/>
          <w:szCs w:val="22"/>
        </w:rPr>
        <w:t xml:space="preserve">(Lepidoptera: Tortricidae).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837–844.</w:t>
      </w:r>
    </w:p>
    <w:p>
      <w:pPr>
        <w:widowControl w:val="on"/>
        <w:pBdr/>
        <w:spacing w:before="220" w:after="220" w:line="240" w:lineRule="auto"/>
        <w:ind w:left="0" w:right="0"/>
        <w:jc w:val="left"/>
      </w:pPr>
      <w:r>
        <w:rPr>
          <w:rFonts w:ascii="Calibri" w:hAnsi="Calibri" w:eastAsia="Calibri" w:cs="Calibri"/>
          <w:color w:val="000000"/>
          <w:sz w:val="22"/>
          <w:szCs w:val="22"/>
        </w:rPr>
        <w:t xml:space="preserve">Forbes WMT (1923) The Lepidoptera of New York and neighboring states. Primitive forms, Microlepidoptera, Pyraloids, Bombyces. Cornell University Agricultural Experimental Station, Memoir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729 pp.</w:t>
      </w:r>
    </w:p>
    <w:p>
      <w:pPr>
        <w:widowControl w:val="on"/>
        <w:pBdr/>
        <w:spacing w:before="220" w:after="220" w:line="240" w:lineRule="auto"/>
        <w:ind w:left="0" w:right="0"/>
        <w:jc w:val="left"/>
      </w:pPr>
      <w:r>
        <w:rPr>
          <w:rFonts w:ascii="Calibri" w:hAnsi="Calibri" w:eastAsia="Calibri" w:cs="Calibri"/>
          <w:color w:val="000000"/>
          <w:sz w:val="22"/>
          <w:szCs w:val="22"/>
        </w:rPr>
        <w:t xml:space="preserve">Freeman TN (1958) The Archipinae of North America (Lepidoptera: Tortricidae).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Supplement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5-89.</w:t>
      </w:r>
    </w:p>
    <w:p>
      <w:pPr>
        <w:widowControl w:val="on"/>
        <w:pBdr/>
        <w:spacing w:before="220" w:after="220" w:line="240" w:lineRule="auto"/>
        <w:ind w:left="0" w:right="0"/>
        <w:jc w:val="left"/>
      </w:pPr>
      <w:r>
        <w:rPr>
          <w:rFonts w:ascii="Calibri" w:hAnsi="Calibri" w:eastAsia="Calibri" w:cs="Calibri"/>
          <w:color w:val="000000"/>
          <w:sz w:val="22"/>
          <w:szCs w:val="22"/>
        </w:rPr>
        <w:t xml:space="preserve">Furniss RL, Carolin VM (1977) </w:t>
      </w:r>
      <w:r>
        <w:rPr>
          <w:rFonts w:ascii="Calibri" w:hAnsi="Calibri" w:eastAsia="Calibri" w:cs="Calibri"/>
          <w:i/>
          <w:iCs/>
          <w:color w:val="000000"/>
          <w:sz w:val="22"/>
          <w:szCs w:val="22"/>
        </w:rPr>
        <w:t xml:space="preserve">Western forest insects</w:t>
      </w:r>
      <w:r>
        <w:rPr>
          <w:rFonts w:ascii="Calibri" w:hAnsi="Calibri" w:eastAsia="Calibri" w:cs="Calibri"/>
          <w:color w:val="000000"/>
          <w:sz w:val="22"/>
          <w:szCs w:val="22"/>
        </w:rPr>
        <w:t xml:space="preserve">. Miscellaneous Publication No. </w:t>
      </w:r>
      <w:r>
        <w:rPr>
          <w:rFonts w:ascii="Calibri" w:hAnsi="Calibri" w:eastAsia="Calibri" w:cs="Calibri"/>
          <w:b/>
          <w:bCs/>
          <w:color w:val="000000"/>
          <w:sz w:val="22"/>
          <w:szCs w:val="22"/>
        </w:rPr>
        <w:t xml:space="preserve">1339</w:t>
      </w:r>
      <w:r>
        <w:rPr>
          <w:rFonts w:ascii="Calibri" w:hAnsi="Calibri" w:eastAsia="Calibri" w:cs="Calibri"/>
          <w:color w:val="000000"/>
          <w:sz w:val="22"/>
          <w:szCs w:val="22"/>
        </w:rPr>
        <w:t xml:space="preserve">. Forest Service, USDA, Washington, USA.</w:t>
      </w:r>
    </w:p>
    <w:p>
      <w:pPr>
        <w:widowControl w:val="on"/>
        <w:pBdr/>
        <w:spacing w:before="220" w:after="220" w:line="240" w:lineRule="auto"/>
        <w:ind w:left="0" w:right="0"/>
        <w:jc w:val="left"/>
      </w:pPr>
      <w:r>
        <w:rPr>
          <w:rFonts w:ascii="Calibri" w:hAnsi="Calibri" w:eastAsia="Calibri" w:cs="Calibri"/>
          <w:color w:val="000000"/>
          <w:sz w:val="22"/>
          <w:szCs w:val="22"/>
        </w:rPr>
        <w:t xml:space="preserve">Holsten EH, Hard J (1985) Efficacy of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Berliner for suppressing populations of large aspen tortrix in Alaska.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117</w:t>
      </w:r>
      <w:r>
        <w:rPr>
          <w:rFonts w:ascii="Calibri" w:hAnsi="Calibri" w:eastAsia="Calibri" w:cs="Calibri"/>
          <w:color w:val="000000"/>
          <w:sz w:val="22"/>
          <w:szCs w:val="22"/>
        </w:rPr>
        <w:t xml:space="preserve">, 587‒591.</w:t>
      </w:r>
    </w:p>
    <w:p>
      <w:pPr>
        <w:widowControl w:val="on"/>
        <w:pBdr/>
        <w:spacing w:before="220" w:after="220" w:line="240" w:lineRule="auto"/>
        <w:ind w:left="0" w:right="0"/>
        <w:jc w:val="left"/>
      </w:pPr>
      <w:r>
        <w:rPr>
          <w:rFonts w:ascii="Calibri" w:hAnsi="Calibri" w:eastAsia="Calibri" w:cs="Calibri"/>
          <w:color w:val="000000"/>
          <w:sz w:val="22"/>
          <w:szCs w:val="22"/>
        </w:rPr>
        <w:t xml:space="preserve">Jones BC, Evenden ML (2008) Ecological applications of pheromone trapping of </w:t>
      </w:r>
      <w:r>
        <w:rPr>
          <w:rFonts w:ascii="Calibri" w:hAnsi="Calibri" w:eastAsia="Calibri" w:cs="Calibri"/>
          <w:i/>
          <w:iCs/>
          <w:color w:val="000000"/>
          <w:sz w:val="22"/>
          <w:szCs w:val="22"/>
        </w:rPr>
        <w:t xml:space="preserve">Malacosoma disstria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Choristoneura conflictana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140</w:t>
      </w:r>
      <w:r>
        <w:rPr>
          <w:rFonts w:ascii="Calibri" w:hAnsi="Calibri" w:eastAsia="Calibri" w:cs="Calibri"/>
          <w:color w:val="000000"/>
          <w:sz w:val="22"/>
          <w:szCs w:val="22"/>
        </w:rPr>
        <w:t xml:space="preserve">(5), 573–581.</w:t>
      </w:r>
    </w:p>
    <w:p>
      <w:pPr>
        <w:widowControl w:val="on"/>
        <w:pBdr/>
        <w:spacing w:before="220" w:after="220" w:line="240" w:lineRule="auto"/>
        <w:ind w:left="0" w:right="0"/>
        <w:jc w:val="left"/>
      </w:pPr>
      <w:r>
        <w:rPr>
          <w:rFonts w:ascii="Calibri" w:hAnsi="Calibri" w:eastAsia="Calibri" w:cs="Calibri"/>
          <w:color w:val="000000"/>
          <w:sz w:val="22"/>
          <w:szCs w:val="22"/>
        </w:rPr>
        <w:t xml:space="preserve">Jones BC, Roland J, Evenden ML (2009) Development of a combined sex pheromone-based monitoring system for </w:t>
      </w:r>
      <w:r>
        <w:rPr>
          <w:rFonts w:ascii="Calibri" w:hAnsi="Calibri" w:eastAsia="Calibri" w:cs="Calibri"/>
          <w:i/>
          <w:iCs/>
          <w:color w:val="000000"/>
          <w:sz w:val="22"/>
          <w:szCs w:val="22"/>
        </w:rPr>
        <w:t xml:space="preserve">Malacosoma disstria </w:t>
      </w:r>
      <w:r>
        <w:rPr>
          <w:rFonts w:ascii="Calibri" w:hAnsi="Calibri" w:eastAsia="Calibri" w:cs="Calibri"/>
          <w:color w:val="000000"/>
          <w:sz w:val="22"/>
          <w:szCs w:val="22"/>
        </w:rPr>
        <w:t xml:space="preserve">(Lepidoptera: Lasiocampidae) and </w:t>
      </w:r>
      <w:r>
        <w:rPr>
          <w:rFonts w:ascii="Calibri" w:hAnsi="Calibri" w:eastAsia="Calibri" w:cs="Calibri"/>
          <w:i/>
          <w:iCs/>
          <w:color w:val="000000"/>
          <w:sz w:val="22"/>
          <w:szCs w:val="22"/>
        </w:rPr>
        <w:t xml:space="preserve">Choristoneura conflictana </w:t>
      </w:r>
      <w:r>
        <w:rPr>
          <w:rFonts w:ascii="Calibri" w:hAnsi="Calibri" w:eastAsia="Calibri" w:cs="Calibri"/>
          <w:color w:val="000000"/>
          <w:sz w:val="22"/>
          <w:szCs w:val="22"/>
        </w:rPr>
        <w:t xml:space="preserve">(Lepidoptera: Tortricidae).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(2), 459–471.</w:t>
      </w:r>
    </w:p>
    <w:p>
      <w:pPr>
        <w:widowControl w:val="on"/>
        <w:pBdr/>
        <w:spacing w:before="220" w:after="220" w:line="240" w:lineRule="auto"/>
        <w:ind w:left="0" w:right="0"/>
        <w:jc w:val="left"/>
      </w:pPr>
      <w:r>
        <w:rPr>
          <w:rFonts w:ascii="Calibri" w:hAnsi="Calibri" w:eastAsia="Calibri" w:cs="Calibri"/>
          <w:color w:val="000000"/>
          <w:sz w:val="22"/>
          <w:szCs w:val="22"/>
        </w:rPr>
        <w:t xml:space="preserve">MacKay MR (1962) Larvae of the North American Tortricinae (Lepidoptera: Tortricinae). </w:t>
      </w:r>
      <w:r>
        <w:rPr>
          <w:rFonts w:ascii="Calibri" w:hAnsi="Calibri" w:eastAsia="Calibri" w:cs="Calibri"/>
          <w:i/>
          <w:iCs/>
          <w:color w:val="000000"/>
          <w:sz w:val="22"/>
          <w:szCs w:val="22"/>
        </w:rPr>
        <w:t xml:space="preserve">Canadian Entomologist Supplement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182 pp.</w:t>
      </w:r>
    </w:p>
    <w:p>
      <w:pPr>
        <w:widowControl w:val="on"/>
        <w:pBdr/>
        <w:spacing w:before="220" w:after="220" w:line="240" w:lineRule="auto"/>
        <w:ind w:left="0" w:right="0"/>
        <w:jc w:val="left"/>
      </w:pPr>
      <w:r>
        <w:rPr>
          <w:rFonts w:ascii="Calibri" w:hAnsi="Calibri" w:eastAsia="Calibri" w:cs="Calibri"/>
          <w:color w:val="000000"/>
          <w:sz w:val="22"/>
          <w:szCs w:val="22"/>
        </w:rPr>
        <w:t xml:space="preserve">Meyrick E (1913) Family Tortricidae. </w:t>
      </w:r>
      <w:r>
        <w:rPr>
          <w:rFonts w:ascii="Calibri" w:hAnsi="Calibri" w:eastAsia="Calibri" w:cs="Calibri"/>
          <w:i/>
          <w:iCs/>
          <w:color w:val="000000"/>
          <w:sz w:val="22"/>
          <w:szCs w:val="22"/>
        </w:rPr>
        <w:t xml:space="preserve">In</w:t>
      </w:r>
      <w:r>
        <w:rPr>
          <w:rFonts w:ascii="Calibri" w:hAnsi="Calibri" w:eastAsia="Calibri" w:cs="Calibri"/>
          <w:color w:val="000000"/>
          <w:sz w:val="22"/>
          <w:szCs w:val="22"/>
        </w:rPr>
        <w:t xml:space="preserve"> P. Wytsman, ed., Genera Insectorum, Lepidoptera, Heterocera 149, 81 pp.</w:t>
      </w:r>
    </w:p>
    <w:p>
      <w:pPr>
        <w:widowControl w:val="on"/>
        <w:pBdr/>
        <w:spacing w:before="220" w:after="220" w:line="240" w:lineRule="auto"/>
        <w:ind w:left="0" w:right="0"/>
        <w:jc w:val="left"/>
      </w:pPr>
      <w:r>
        <w:rPr>
          <w:rFonts w:ascii="Calibri" w:hAnsi="Calibri" w:eastAsia="Calibri" w:cs="Calibri"/>
          <w:color w:val="000000"/>
          <w:sz w:val="22"/>
          <w:szCs w:val="22"/>
        </w:rPr>
        <w:t xml:space="preserve">Powell JA (1964). Biological and taxonomic studies on tortricine moths, with reference to the species in California. </w:t>
      </w:r>
      <w:r>
        <w:rPr>
          <w:rFonts w:ascii="Calibri" w:hAnsi="Calibri" w:eastAsia="Calibri" w:cs="Calibri"/>
          <w:i/>
          <w:iCs/>
          <w:color w:val="000000"/>
          <w:sz w:val="22"/>
          <w:szCs w:val="22"/>
        </w:rPr>
        <w:t xml:space="preserve">University of California Publications in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317 pp.</w:t>
      </w:r>
    </w:p>
    <w:p>
      <w:pPr>
        <w:widowControl w:val="on"/>
        <w:pBdr/>
        <w:spacing w:before="220" w:after="220" w:line="240" w:lineRule="auto"/>
        <w:ind w:left="0" w:right="0"/>
        <w:jc w:val="left"/>
      </w:pPr>
      <w:r>
        <w:rPr>
          <w:rFonts w:ascii="Calibri" w:hAnsi="Calibri" w:eastAsia="Calibri" w:cs="Calibri"/>
          <w:color w:val="000000"/>
          <w:sz w:val="22"/>
          <w:szCs w:val="22"/>
        </w:rPr>
        <w:t xml:space="preserve">Powell JA (1983) Tortricoidea, pp. 31–42. </w:t>
      </w:r>
      <w:r>
        <w:rPr>
          <w:rFonts w:ascii="Calibri" w:hAnsi="Calibri" w:eastAsia="Calibri" w:cs="Calibri"/>
          <w:i/>
          <w:iCs/>
          <w:color w:val="000000"/>
          <w:sz w:val="22"/>
          <w:szCs w:val="22"/>
        </w:rPr>
        <w:t xml:space="preserve">In</w:t>
      </w:r>
      <w:r>
        <w:rPr>
          <w:rFonts w:ascii="Calibri" w:hAnsi="Calibri" w:eastAsia="Calibri" w:cs="Calibri"/>
          <w:color w:val="000000"/>
          <w:sz w:val="22"/>
          <w:szCs w:val="22"/>
        </w:rPr>
        <w:t xml:space="preserve"> R. W. Hodges, ed., Check list of the Lepidoptera of America north of Mexico. E. W. Classey, Ltd., and Wedge Entomological Research Foundation, London.</w:t>
      </w:r>
    </w:p>
    <w:p>
      <w:pPr>
        <w:widowControl w:val="on"/>
        <w:pBdr/>
        <w:spacing w:before="220" w:after="220" w:line="240" w:lineRule="auto"/>
        <w:ind w:left="0" w:right="0"/>
        <w:jc w:val="left"/>
      </w:pPr>
      <w:r>
        <w:rPr>
          <w:rFonts w:ascii="Calibri" w:hAnsi="Calibri" w:eastAsia="Calibri" w:cs="Calibri"/>
          <w:color w:val="000000"/>
          <w:sz w:val="22"/>
          <w:szCs w:val="22"/>
        </w:rPr>
        <w:t xml:space="preserve">Prentice, RM (1955) The life history and some aspects of the ecology of the large aspen tortrix, </w:t>
      </w:r>
      <w:r>
        <w:rPr>
          <w:rFonts w:ascii="Calibri" w:hAnsi="Calibri" w:eastAsia="Calibri" w:cs="Calibri"/>
          <w:i/>
          <w:iCs/>
          <w:color w:val="000000"/>
          <w:sz w:val="22"/>
          <w:szCs w:val="22"/>
        </w:rPr>
        <w:t xml:space="preserve">Choristoneura conflictana</w:t>
      </w:r>
      <w:r>
        <w:rPr>
          <w:rFonts w:ascii="Calibri" w:hAnsi="Calibri" w:eastAsia="Calibri" w:cs="Calibri"/>
          <w:color w:val="000000"/>
          <w:sz w:val="22"/>
          <w:szCs w:val="22"/>
        </w:rPr>
        <w:t xml:space="preserve"> (Wlkr.) (n. comb.) (Lepidoptera: Tortricidae).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461‒473.</w:t>
      </w:r>
    </w:p>
    <w:p>
      <w:pPr>
        <w:widowControl w:val="on"/>
        <w:pBdr/>
        <w:spacing w:before="220" w:after="220" w:line="240" w:lineRule="auto"/>
        <w:ind w:left="0" w:right="0"/>
        <w:jc w:val="left"/>
      </w:pPr>
      <w:r>
        <w:rPr>
          <w:rFonts w:ascii="Calibri" w:hAnsi="Calibri" w:eastAsia="Calibri" w:cs="Calibri"/>
          <w:color w:val="000000"/>
          <w:sz w:val="22"/>
          <w:szCs w:val="22"/>
        </w:rPr>
        <w:t xml:space="preserve">Prentice RM (1966) Volume 4. Microlepidoptera. In: Forest Lepidoptera of Canada recorded by the Forest Insect Survey. Department of Forestry, Canada, Publ. </w:t>
      </w:r>
      <w:r>
        <w:rPr>
          <w:rFonts w:ascii="Calibri" w:hAnsi="Calibri" w:eastAsia="Calibri" w:cs="Calibri"/>
          <w:b/>
          <w:bCs/>
          <w:color w:val="000000"/>
          <w:sz w:val="22"/>
          <w:szCs w:val="22"/>
        </w:rPr>
        <w:t xml:space="preserve">1142</w:t>
      </w:r>
      <w:r>
        <w:rPr>
          <w:rFonts w:ascii="Calibri" w:hAnsi="Calibri" w:eastAsia="Calibri" w:cs="Calibri"/>
          <w:color w:val="000000"/>
          <w:sz w:val="22"/>
          <w:szCs w:val="22"/>
        </w:rPr>
        <w:t xml:space="preserve"> (1965), 543–840.</w:t>
      </w:r>
    </w:p>
    <w:p>
      <w:pPr>
        <w:widowControl w:val="on"/>
        <w:pBdr/>
        <w:spacing w:before="220" w:after="220" w:line="240" w:lineRule="auto"/>
        <w:ind w:left="0" w:right="0"/>
        <w:jc w:val="left"/>
      </w:pPr>
      <w:r>
        <w:rPr>
          <w:rFonts w:ascii="Calibri" w:hAnsi="Calibri" w:eastAsia="Calibri" w:cs="Calibri"/>
          <w:color w:val="000000"/>
          <w:sz w:val="22"/>
          <w:szCs w:val="22"/>
        </w:rPr>
        <w:t xml:space="preserve">Schaffner JV (1950) Butterflies and moths. Order Lepidoptera, p. 343‒505. In: Craighead (ed.), Insect enemies of eastern forests. USDA Miscellaneous Publications </w:t>
      </w:r>
      <w:r>
        <w:rPr>
          <w:rFonts w:ascii="Calibri" w:hAnsi="Calibri" w:eastAsia="Calibri" w:cs="Calibri"/>
          <w:b/>
          <w:bCs/>
          <w:color w:val="000000"/>
          <w:sz w:val="22"/>
          <w:szCs w:val="22"/>
        </w:rPr>
        <w:t xml:space="preserve">657</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Schaffner JV (1959) Microlepidoptera and their parasites reared from field collections in the northeastern United States. USDA Miscellaneous Publications </w:t>
      </w:r>
      <w:r>
        <w:rPr>
          <w:rFonts w:ascii="Calibri" w:hAnsi="Calibri" w:eastAsia="Calibri" w:cs="Calibri"/>
          <w:b/>
          <w:bCs/>
          <w:color w:val="000000"/>
          <w:sz w:val="22"/>
          <w:szCs w:val="22"/>
        </w:rPr>
        <w:t xml:space="preserve">767</w:t>
      </w:r>
      <w:r>
        <w:rPr>
          <w:rFonts w:ascii="Calibri" w:hAnsi="Calibri" w:eastAsia="Calibri" w:cs="Calibri"/>
          <w:color w:val="000000"/>
          <w:sz w:val="22"/>
          <w:szCs w:val="22"/>
        </w:rPr>
        <w:t xml:space="preserve">, 97 p.</w:t>
      </w:r>
    </w:p>
    <w:p>
      <w:pPr>
        <w:widowControl w:val="on"/>
        <w:pBdr/>
        <w:spacing w:before="220" w:after="220" w:line="240" w:lineRule="auto"/>
        <w:ind w:left="0" w:right="0"/>
        <w:jc w:val="left"/>
      </w:pPr>
      <w:r>
        <w:rPr>
          <w:rFonts w:ascii="Calibri" w:hAnsi="Calibri" w:eastAsia="Calibri" w:cs="Calibri"/>
          <w:color w:val="000000"/>
          <w:sz w:val="22"/>
          <w:szCs w:val="22"/>
        </w:rPr>
        <w:t xml:space="preserve">Thomas JB (1978) A review of the economic impact of insects on the genus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in Ontario. </w:t>
      </w:r>
      <w:r>
        <w:rPr>
          <w:rFonts w:ascii="Calibri" w:hAnsi="Calibri" w:eastAsia="Calibri" w:cs="Calibri"/>
          <w:i/>
          <w:iCs/>
          <w:color w:val="000000"/>
          <w:sz w:val="22"/>
          <w:szCs w:val="22"/>
        </w:rPr>
        <w:t xml:space="preserve">Report, Great Lakes Forest Research Centre, Canada</w:t>
      </w:r>
      <w:r>
        <w:rPr>
          <w:rFonts w:ascii="Calibri" w:hAnsi="Calibri" w:eastAsia="Calibri" w:cs="Calibri"/>
          <w:color w:val="000000"/>
          <w:sz w:val="22"/>
          <w:szCs w:val="22"/>
        </w:rPr>
        <w:t xml:space="preserve">, No. O-X-271, 45 pp.</w:t>
      </w:r>
    </w:p>
    <w:p>
      <w:pPr>
        <w:widowControl w:val="on"/>
        <w:pBdr/>
        <w:spacing w:before="220" w:after="220" w:line="240" w:lineRule="auto"/>
        <w:ind w:left="0" w:right="0"/>
        <w:jc w:val="left"/>
      </w:pPr>
      <w:r>
        <w:rPr>
          <w:rFonts w:ascii="Calibri" w:hAnsi="Calibri" w:eastAsia="Calibri" w:cs="Calibri"/>
          <w:color w:val="000000"/>
          <w:sz w:val="22"/>
          <w:szCs w:val="22"/>
        </w:rPr>
        <w:t xml:space="preserve">Torgersen TR, Beckwith RC (1974) Parasitoids associated with the large aspen tortrix, </w:t>
      </w:r>
      <w:r>
        <w:rPr>
          <w:rFonts w:ascii="Calibri" w:hAnsi="Calibri" w:eastAsia="Calibri" w:cs="Calibri"/>
          <w:i/>
          <w:iCs/>
          <w:color w:val="000000"/>
          <w:sz w:val="22"/>
          <w:szCs w:val="22"/>
        </w:rPr>
        <w:t xml:space="preserve">Choristoneura conflictana </w:t>
      </w:r>
      <w:r>
        <w:rPr>
          <w:rFonts w:ascii="Calibri" w:hAnsi="Calibri" w:eastAsia="Calibri" w:cs="Calibri"/>
          <w:color w:val="000000"/>
          <w:sz w:val="22"/>
          <w:szCs w:val="22"/>
        </w:rPr>
        <w:t xml:space="preserve">(Lepidoptera: Tortricidae), in interior Alaska.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1247-1265.</w:t>
      </w:r>
    </w:p>
    <w:p>
      <w:pPr>
        <w:widowControl w:val="on"/>
        <w:pBdr/>
        <w:spacing w:before="220" w:after="220" w:line="240" w:lineRule="auto"/>
        <w:ind w:left="0" w:right="0"/>
        <w:jc w:val="left"/>
      </w:pPr>
      <w:r>
        <w:rPr>
          <w:rFonts w:ascii="Calibri" w:hAnsi="Calibri" w:eastAsia="Calibri" w:cs="Calibri"/>
          <w:color w:val="000000"/>
          <w:sz w:val="22"/>
          <w:szCs w:val="22"/>
        </w:rPr>
        <w:t xml:space="preserve">USDA (1979) </w:t>
      </w:r>
      <w:r>
        <w:rPr>
          <w:rFonts w:ascii="Calibri" w:hAnsi="Calibri" w:eastAsia="Calibri" w:cs="Calibri"/>
          <w:i/>
          <w:iCs/>
          <w:color w:val="000000"/>
          <w:sz w:val="22"/>
          <w:szCs w:val="22"/>
        </w:rPr>
        <w:t xml:space="preserve">A guide to common insects and diseases of forest trees in the </w:t>
      </w:r>
      <w:r>
        <w:rPr>
          <w:rFonts w:ascii="Calibri" w:hAnsi="Calibri" w:eastAsia="Calibri" w:cs="Calibri"/>
          <w:i/>
          <w:iCs/>
          <w:color w:val="000000"/>
          <w:sz w:val="22"/>
          <w:szCs w:val="22"/>
        </w:rPr>
        <w:t xml:space="preserve">Northeastern United States</w:t>
      </w:r>
      <w:r>
        <w:rPr>
          <w:rFonts w:ascii="Calibri" w:hAnsi="Calibri" w:eastAsia="Calibri" w:cs="Calibri"/>
          <w:color w:val="000000"/>
          <w:sz w:val="22"/>
          <w:szCs w:val="22"/>
        </w:rPr>
        <w:t xml:space="preserve">, p. 7. Forest Service, USDA, Washington, USA.</w:t>
      </w:r>
    </w:p>
    <w:p>
      <w:pPr>
        <w:widowControl w:val="on"/>
        <w:pBdr/>
        <w:spacing w:before="220" w:after="220" w:line="240" w:lineRule="auto"/>
        <w:ind w:left="0" w:right="0"/>
        <w:jc w:val="left"/>
      </w:pPr>
      <w:r>
        <w:rPr>
          <w:rFonts w:ascii="Calibri" w:hAnsi="Calibri" w:eastAsia="Calibri" w:cs="Calibri"/>
          <w:color w:val="000000"/>
          <w:sz w:val="22"/>
          <w:szCs w:val="22"/>
        </w:rPr>
        <w:t xml:space="preserve">Walker F (1863) List of specimens of lepidopterous insects in the collection of the British Museum, part. 28, Tortricites and Tineites: 287-561. London.</w:t>
      </w:r>
    </w:p>
    <w:p>
      <w:pPr>
        <w:widowControl w:val="on"/>
        <w:pBdr/>
        <w:spacing w:before="220" w:after="220" w:line="240" w:lineRule="auto"/>
        <w:ind w:left="0" w:right="0"/>
        <w:jc w:val="left"/>
      </w:pPr>
      <w:r>
        <w:rPr>
          <w:rFonts w:ascii="Calibri" w:hAnsi="Calibri" w:eastAsia="Calibri" w:cs="Calibri"/>
          <w:color w:val="000000"/>
          <w:sz w:val="22"/>
          <w:szCs w:val="22"/>
        </w:rPr>
        <w:t xml:space="preserve">Walsingham Lord T. de G (1879) Illustrations of typical specimens of Lepidoptera Heterocera in the collection of the British Museum, vol. 4, North American Tortricidae. British Museum, London, 84 pp.</w:t>
      </w:r>
    </w:p>
    <w:p>
      <w:pPr>
        <w:widowControl w:val="on"/>
        <w:pBdr/>
        <w:spacing w:before="220" w:after="220" w:line="240" w:lineRule="auto"/>
        <w:ind w:left="0" w:right="0"/>
        <w:jc w:val="left"/>
      </w:pPr>
      <w:r>
        <w:rPr>
          <w:rFonts w:ascii="Calibri" w:hAnsi="Calibri" w:eastAsia="Calibri" w:cs="Calibri"/>
          <w:color w:val="000000"/>
          <w:sz w:val="22"/>
          <w:szCs w:val="22"/>
        </w:rPr>
        <w:t xml:space="preserve">Werner RA, Wheatherston J (1980) A synthetic sex pheromone for the large aspen tortrix in Alaska. Research Note PNW-RN-354. Portland, OR, U.S. Department of Agriculture, Forest Service, Pacific Northwest Forest and Range Experiment Station, 4 pp.</w:t>
      </w:r>
    </w:p>
    <w:p>
      <w:pPr>
        <w:widowControl w:val="on"/>
        <w:pBdr/>
        <w:spacing w:before="220" w:after="220" w:line="240" w:lineRule="auto"/>
        <w:ind w:left="0" w:right="0"/>
        <w:jc w:val="left"/>
      </w:pPr>
      <w:r>
        <w:rPr>
          <w:rFonts w:ascii="Calibri" w:hAnsi="Calibri" w:eastAsia="Calibri" w:cs="Calibri"/>
          <w:color w:val="000000"/>
          <w:sz w:val="22"/>
          <w:szCs w:val="22"/>
        </w:rPr>
        <w:t xml:space="preserve">Wheatherston I (1976) Alternatives in forest pest control. Is the use of the sex pheromone a viable method for the control of pest Lepidoptera? In: </w:t>
      </w:r>
      <w:r>
        <w:rPr>
          <w:rFonts w:ascii="Calibri" w:hAnsi="Calibri" w:eastAsia="Calibri" w:cs="Calibri"/>
          <w:i/>
          <w:iCs/>
          <w:color w:val="000000"/>
          <w:sz w:val="22"/>
          <w:szCs w:val="22"/>
        </w:rPr>
        <w:t xml:space="preserve">Les phéromones sexuelles des Lépidoptères</w:t>
      </w:r>
      <w:r>
        <w:rPr>
          <w:rFonts w:ascii="Calibri" w:hAnsi="Calibri" w:eastAsia="Calibri" w:cs="Calibri"/>
          <w:color w:val="000000"/>
          <w:sz w:val="22"/>
          <w:szCs w:val="22"/>
        </w:rPr>
        <w:t xml:space="preserve">, pp. 51-57. INRA, Bordeaux,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Witter JA, Waisanen LA (1978) The effect of differential flushing times among trembling aspen clones on tortricid caterpillar populations.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139-143.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extensively revised in 2022 by John W. Brown, National Museum of Natural History, Smithsonian Institution, Washington, DC, USA.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Choristoneura conflictana</w:t>
      </w:r>
      <w:r>
        <w:rPr>
          <w:rFonts w:ascii="Calibri" w:hAnsi="Calibri" w:eastAsia="Calibri" w:cs="Calibri"/>
          <w:color w:val="000000"/>
          <w:sz w:val="22"/>
          <w:szCs w:val="22"/>
        </w:rPr>
        <w:t xml:space="preserve">. EPPO datasheets on pests recommended for regulation. Available online. </w:t>
      </w:r>
      <w:hyperlink r:id="rId57126ad49df65921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1997 in the second edition of 'Quarantine Pests for Europe',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31282331" name="name70976ad49df6593d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8416ad49df6593c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54527">
    <w:multiLevelType w:val="hybridMultilevel"/>
    <w:lvl w:ilvl="0" w:tplc="89870814">
      <w:start w:val="1"/>
      <w:numFmt w:val="decimal"/>
      <w:lvlText w:val="%1."/>
      <w:lvlJc w:val="left"/>
      <w:pPr>
        <w:ind w:left="720" w:hanging="360"/>
      </w:pPr>
    </w:lvl>
    <w:lvl w:ilvl="1" w:tplc="89870814" w:tentative="1">
      <w:start w:val="1"/>
      <w:numFmt w:val="lowerLetter"/>
      <w:lvlText w:val="%2."/>
      <w:lvlJc w:val="left"/>
      <w:pPr>
        <w:ind w:left="1440" w:hanging="360"/>
      </w:pPr>
    </w:lvl>
    <w:lvl w:ilvl="2" w:tplc="89870814" w:tentative="1">
      <w:start w:val="1"/>
      <w:numFmt w:val="lowerRoman"/>
      <w:lvlText w:val="%3."/>
      <w:lvlJc w:val="right"/>
      <w:pPr>
        <w:ind w:left="2160" w:hanging="180"/>
      </w:pPr>
    </w:lvl>
    <w:lvl w:ilvl="3" w:tplc="89870814" w:tentative="1">
      <w:start w:val="1"/>
      <w:numFmt w:val="decimal"/>
      <w:lvlText w:val="%4."/>
      <w:lvlJc w:val="left"/>
      <w:pPr>
        <w:ind w:left="2880" w:hanging="360"/>
      </w:pPr>
    </w:lvl>
    <w:lvl w:ilvl="4" w:tplc="89870814" w:tentative="1">
      <w:start w:val="1"/>
      <w:numFmt w:val="lowerLetter"/>
      <w:lvlText w:val="%5."/>
      <w:lvlJc w:val="left"/>
      <w:pPr>
        <w:ind w:left="3600" w:hanging="360"/>
      </w:pPr>
    </w:lvl>
    <w:lvl w:ilvl="5" w:tplc="89870814" w:tentative="1">
      <w:start w:val="1"/>
      <w:numFmt w:val="lowerRoman"/>
      <w:lvlText w:val="%6."/>
      <w:lvlJc w:val="right"/>
      <w:pPr>
        <w:ind w:left="4320" w:hanging="180"/>
      </w:pPr>
    </w:lvl>
    <w:lvl w:ilvl="6" w:tplc="89870814" w:tentative="1">
      <w:start w:val="1"/>
      <w:numFmt w:val="decimal"/>
      <w:lvlText w:val="%7."/>
      <w:lvlJc w:val="left"/>
      <w:pPr>
        <w:ind w:left="5040" w:hanging="360"/>
      </w:pPr>
    </w:lvl>
    <w:lvl w:ilvl="7" w:tplc="89870814" w:tentative="1">
      <w:start w:val="1"/>
      <w:numFmt w:val="lowerLetter"/>
      <w:lvlText w:val="%8."/>
      <w:lvlJc w:val="left"/>
      <w:pPr>
        <w:ind w:left="5760" w:hanging="360"/>
      </w:pPr>
    </w:lvl>
    <w:lvl w:ilvl="8" w:tplc="89870814" w:tentative="1">
      <w:start w:val="1"/>
      <w:numFmt w:val="lowerRoman"/>
      <w:lvlText w:val="%9."/>
      <w:lvlJc w:val="right"/>
      <w:pPr>
        <w:ind w:left="6480" w:hanging="180"/>
      </w:pPr>
    </w:lvl>
  </w:abstractNum>
  <w:abstractNum w:abstractNumId="39154526">
    <w:multiLevelType w:val="hybridMultilevel"/>
    <w:lvl w:ilvl="0" w:tplc="700082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54526">
    <w:abstractNumId w:val="39154526"/>
  </w:num>
  <w:num w:numId="39154527">
    <w:abstractNumId w:val="3915452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21216065" Type="http://schemas.microsoft.com/office/2011/relationships/commentsExtended" Target="commentsExtended.xml"/><Relationship Id="rId961702487" Type="http://schemas.microsoft.com/office/2011/relationships/people" Target="people.xml"/><Relationship Id="rId52626ad49df656145" Type="http://schemas.openxmlformats.org/officeDocument/2006/relationships/hyperlink" Target="https://gd.eppo.int/taxon/ARCHCO/" TargetMode="External"/><Relationship Id="rId36736ad49df6561b3" Type="http://schemas.openxmlformats.org/officeDocument/2006/relationships/hyperlink" Target="https://gd.eppo.int/taxon/ARCHCO/categorization" TargetMode="External"/><Relationship Id="rId47426ad49df6568bd" Type="http://schemas.openxmlformats.org/officeDocument/2006/relationships/hyperlink" Target="https://gd.eppo.int/taxon/ARCHCO/photos" TargetMode="External"/><Relationship Id="rId98866ad49df6587ad" Type="http://schemas.openxmlformats.org/officeDocument/2006/relationships/hyperlink" Target="https://wiki.bugwood.org/HPIPM:Choristoneura_conflictana" TargetMode="External"/><Relationship Id="rId51176ad49df65894b" Type="http://schemas.openxmlformats.org/officeDocument/2006/relationships/hyperlink" Target="https://doi.org/10.1007/s00049-006-0336-x" TargetMode="External"/><Relationship Id="rId57126ad49df659210" Type="http://schemas.openxmlformats.org/officeDocument/2006/relationships/hyperlink" Target="https://gd.eppo.int" TargetMode="External"/><Relationship Id="rId22406ad49df656791" Type="http://schemas.openxmlformats.org/officeDocument/2006/relationships/image" Target="media/imgrId22406ad49df656791.jpg"/><Relationship Id="rId98496ad49df657c02" Type="http://schemas.openxmlformats.org/officeDocument/2006/relationships/image" Target="media/imgrId98496ad49df657c02.jpg"/><Relationship Id="rId48416ad49df6593ce" Type="http://schemas.openxmlformats.org/officeDocument/2006/relationships/image" Target="media/imgrId48416ad49df6593c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