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Choristoneura conflictana</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2022-04-08</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Choristoneura conflictana</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Lepidoptera: Tortricidae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Archips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Cacoecia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Heterognomon conflictana</w:t>
            </w:r>
            <w:r>
              <w:rPr>
                <w:rFonts w:ascii="Calibri" w:hAnsi="Calibri" w:eastAsia="Calibri" w:cs="Calibri"/>
                <w:color w:val="000000"/>
                <w:position w:val="-3"/>
                <w:sz w:val="22"/>
                <w:szCs w:val="22"/>
              </w:rPr>
              <w:t xml:space="preserve"> (Walker), </w:t>
            </w:r>
            <w:r>
              <w:rPr>
                <w:rFonts w:ascii="Calibri" w:hAnsi="Calibri" w:eastAsia="Calibri" w:cs="Calibri"/>
                <w:i/>
                <w:iCs/>
                <w:color w:val="000000"/>
                <w:position w:val="-3"/>
                <w:sz w:val="22"/>
                <w:szCs w:val="22"/>
              </w:rPr>
              <w:t xml:space="preserve">Tortrix conflictana</w:t>
            </w:r>
            <w:r>
              <w:rPr>
                <w:rFonts w:ascii="Calibri" w:hAnsi="Calibri" w:eastAsia="Calibri" w:cs="Calibri"/>
                <w:color w:val="000000"/>
                <w:position w:val="-3"/>
                <w:sz w:val="22"/>
                <w:szCs w:val="22"/>
              </w:rPr>
              <w:t xml:space="preserve"> Walker</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aspen borer, large aspen tortrix</w:t>
            </w:r>
            <w:hyperlink r:id="rId5903662baed805e69"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3334662baed805ee5"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ARCHCO</w:t>
            </w:r>
          </w:p>
        </w:tc>
        <w:tc>
          <w:tcPr>
            <w:tcW w:w="2000" w:type="pct"/>
            <w:tcMar>
              <w:top w:w="15" w:type="dxa"/>
              <w:left w:w="15" w:type="dxa"/>
              <w:bottom w:w="15" w:type="dxa"/>
              <w:right w:w="15" w:type="dxa"/>
            </w:tcMar>
            <w:vAlign w:val="center"/>
          </w:tcPr>
          <w:p>
            <w:r>
              <w:rPr>
                <w:position w:val="-96"/>
              </w:rPr>
              <w:drawing>
                <wp:inline distT="0" distB="0" distL="0" distR="0">
                  <wp:extent cx="2160000" cy="1281600"/>
                  <wp:docPr id="24569168" name="name5020662baed806288" descr="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3.jpg"/>
                          <pic:cNvPicPr/>
                        </pic:nvPicPr>
                        <pic:blipFill>
                          <a:blip r:embed="rId7809662baed806286" cstate="print"/>
                          <a:stretch>
                            <a:fillRect/>
                          </a:stretch>
                        </pic:blipFill>
                        <pic:spPr>
                          <a:xfrm>
                            <a:off x="0" y="0"/>
                            <a:ext cx="2160000" cy="1281600"/>
                          </a:xfrm>
                          <a:prstGeom prst="rect">
                            <a:avLst/>
                          </a:prstGeom>
                          <a:ln w="0">
                            <a:noFill/>
                          </a:ln>
                        </pic:spPr>
                      </pic:pic>
                    </a:graphicData>
                  </a:graphic>
                </wp:inline>
              </w:drawing>
            </w:r>
            <w:hyperlink r:id="rId7894662baed806390" w:history="1">
              <w:r>
                <w:rPr>
                  <w:rFonts w:ascii="Calibri" w:hAnsi="Calibri" w:eastAsia="Calibri" w:cs="Calibri"/>
                  <w:color w:val="0000CC"/>
                  <w:position w:val="-3"/>
                  <w:sz w:val="22"/>
                  <w:szCs w:val="22"/>
                  <w:u w:val="single"/>
                </w:rPr>
                <w:br/>
                <w:t xml:space="preserve">more photos...</w:t>
              </w:r>
            </w:hyperlink>
          </w:p>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color w:val="000000"/>
          <w:sz w:val="22"/>
          <w:szCs w:val="22"/>
        </w:rPr>
        <w:t xml:space="preserve">The species </w:t>
      </w:r>
      <w:r>
        <w:rPr>
          <w:rFonts w:ascii="Calibri" w:hAnsi="Calibri" w:eastAsia="Calibri" w:cs="Calibri"/>
          <w:i/>
          <w:iCs/>
          <w:color w:val="000000"/>
          <w:sz w:val="22"/>
          <w:szCs w:val="22"/>
        </w:rPr>
        <w:t xml:space="preserve">conflictana</w:t>
      </w:r>
      <w:r>
        <w:rPr>
          <w:rFonts w:ascii="Calibri" w:hAnsi="Calibri" w:eastAsia="Calibri" w:cs="Calibri"/>
          <w:color w:val="000000"/>
          <w:sz w:val="22"/>
          <w:szCs w:val="22"/>
        </w:rPr>
        <w:t xml:space="preserve"> was originally described in the genus </w:t>
      </w:r>
      <w:r>
        <w:rPr>
          <w:rFonts w:ascii="Calibri" w:hAnsi="Calibri" w:eastAsia="Calibri" w:cs="Calibri"/>
          <w:i/>
          <w:iCs/>
          <w:color w:val="000000"/>
          <w:sz w:val="22"/>
          <w:szCs w:val="22"/>
        </w:rPr>
        <w:t xml:space="preserve">Tortrix</w:t>
      </w:r>
      <w:r>
        <w:rPr>
          <w:rFonts w:ascii="Calibri" w:hAnsi="Calibri" w:eastAsia="Calibri" w:cs="Calibri"/>
          <w:color w:val="000000"/>
          <w:sz w:val="22"/>
          <w:szCs w:val="22"/>
        </w:rPr>
        <w:t xml:space="preserve"> by Walker (1863). Walsingham (1879) transferred it to </w:t>
      </w:r>
      <w:r>
        <w:rPr>
          <w:rFonts w:ascii="Calibri" w:hAnsi="Calibri" w:eastAsia="Calibri" w:cs="Calibri"/>
          <w:i/>
          <w:iCs/>
          <w:color w:val="000000"/>
          <w:sz w:val="22"/>
          <w:szCs w:val="22"/>
        </w:rPr>
        <w:t xml:space="preserve">Heterognomon</w:t>
      </w:r>
      <w:r>
        <w:rPr>
          <w:rFonts w:ascii="Calibri" w:hAnsi="Calibri" w:eastAsia="Calibri" w:cs="Calibri"/>
          <w:color w:val="000000"/>
          <w:sz w:val="22"/>
          <w:szCs w:val="22"/>
        </w:rPr>
        <w:t xml:space="preserve">, Meyrick (1913) transferred it to </w:t>
      </w:r>
      <w:r>
        <w:rPr>
          <w:rFonts w:ascii="Calibri" w:hAnsi="Calibri" w:eastAsia="Calibri" w:cs="Calibri"/>
          <w:i/>
          <w:iCs/>
          <w:color w:val="000000"/>
          <w:sz w:val="22"/>
          <w:szCs w:val="22"/>
        </w:rPr>
        <w:t xml:space="preserve">Cacoecia</w:t>
      </w:r>
      <w:r>
        <w:rPr>
          <w:rFonts w:ascii="Calibri" w:hAnsi="Calibri" w:eastAsia="Calibri" w:cs="Calibri"/>
          <w:color w:val="000000"/>
          <w:sz w:val="22"/>
          <w:szCs w:val="22"/>
        </w:rPr>
        <w:t xml:space="preserve">, and Forbes (1923) placed it in </w:t>
      </w:r>
      <w:r>
        <w:rPr>
          <w:rFonts w:ascii="Calibri" w:hAnsi="Calibri" w:eastAsia="Calibri" w:cs="Calibri"/>
          <w:i/>
          <w:iCs/>
          <w:color w:val="000000"/>
          <w:sz w:val="22"/>
          <w:szCs w:val="22"/>
        </w:rPr>
        <w:t xml:space="preserve">Archips</w:t>
      </w:r>
      <w:r>
        <w:rPr>
          <w:rFonts w:ascii="Calibri" w:hAnsi="Calibri" w:eastAsia="Calibri" w:cs="Calibri"/>
          <w:color w:val="000000"/>
          <w:sz w:val="22"/>
          <w:szCs w:val="22"/>
        </w:rPr>
        <w:t xml:space="preserve">. Prentice (1955) moved it to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where it has remained for the last 65 years (e.g., Powell 1983, Brown 2005).</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color w:val="000000"/>
          <w:sz w:val="22"/>
          <w:szCs w:val="22"/>
        </w:rPr>
        <w:t xml:space="preserve">Although associated primarily with quaking aspen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the larvae of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feed commonly on the foliage (buds and leaves) of several Salicaceae (e.g.,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and </w:t>
      </w:r>
      <w:r>
        <w:rPr>
          <w:rFonts w:ascii="Calibri" w:hAnsi="Calibri" w:eastAsia="Calibri" w:cs="Calibri"/>
          <w:i/>
          <w:iCs/>
          <w:color w:val="000000"/>
          <w:sz w:val="22"/>
          <w:szCs w:val="22"/>
        </w:rPr>
        <w:t xml:space="preserve">Salix</w:t>
      </w:r>
      <w:r>
        <w:rPr>
          <w:rFonts w:ascii="Calibri" w:hAnsi="Calibri" w:eastAsia="Calibri" w:cs="Calibri"/>
          <w:color w:val="000000"/>
          <w:sz w:val="22"/>
          <w:szCs w:val="22"/>
        </w:rPr>
        <w:t xml:space="preserve"> spp.) and Betulaceae (e.g.,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w:t>
      </w:r>
      <w:r>
        <w:rPr>
          <w:rFonts w:ascii="Calibri" w:hAnsi="Calibri" w:eastAsia="Calibri" w:cs="Calibri"/>
          <w:color w:val="000000"/>
          <w:sz w:val="22"/>
          <w:szCs w:val="22"/>
        </w:rPr>
        <w:t xml:space="preserve">spp., and </w:t>
      </w:r>
      <w:r>
        <w:rPr>
          <w:rFonts w:ascii="Calibri" w:hAnsi="Calibri" w:eastAsia="Calibri" w:cs="Calibri"/>
          <w:i/>
          <w:iCs/>
          <w:color w:val="000000"/>
          <w:sz w:val="22"/>
          <w:szCs w:val="22"/>
        </w:rPr>
        <w:t xml:space="preserve">Corylus</w:t>
      </w:r>
      <w:r>
        <w:rPr>
          <w:rFonts w:ascii="Calibri" w:hAnsi="Calibri" w:eastAsia="Calibri" w:cs="Calibri"/>
          <w:color w:val="000000"/>
          <w:sz w:val="22"/>
          <w:szCs w:val="22"/>
        </w:rPr>
        <w:t xml:space="preserve"> sp.), and have been recorded less frequently from </w:t>
      </w:r>
      <w:r>
        <w:rPr>
          <w:rFonts w:ascii="Calibri" w:hAnsi="Calibri" w:eastAsia="Calibri" w:cs="Calibri"/>
          <w:i/>
          <w:iCs/>
          <w:color w:val="000000"/>
          <w:sz w:val="22"/>
          <w:szCs w:val="22"/>
        </w:rPr>
        <w:t xml:space="preserve">Acer</w:t>
      </w:r>
      <w:r>
        <w:rPr>
          <w:rFonts w:ascii="Calibri" w:hAnsi="Calibri" w:eastAsia="Calibri" w:cs="Calibri"/>
          <w:color w:val="000000"/>
          <w:sz w:val="22"/>
          <w:szCs w:val="22"/>
        </w:rPr>
        <w:t xml:space="preserve"> (Aceraceae), </w:t>
      </w:r>
      <w:r>
        <w:rPr>
          <w:rFonts w:ascii="Calibri" w:hAnsi="Calibri" w:eastAsia="Calibri" w:cs="Calibri"/>
          <w:i/>
          <w:iCs/>
          <w:color w:val="000000"/>
          <w:sz w:val="22"/>
          <w:szCs w:val="22"/>
        </w:rPr>
        <w:t xml:space="preserve">Cornus</w:t>
      </w:r>
      <w:r>
        <w:rPr>
          <w:rFonts w:ascii="Calibri" w:hAnsi="Calibri" w:eastAsia="Calibri" w:cs="Calibri"/>
          <w:color w:val="000000"/>
          <w:sz w:val="22"/>
          <w:szCs w:val="22"/>
        </w:rPr>
        <w:t xml:space="preserve"> (Cornaceae), </w:t>
      </w:r>
      <w:r>
        <w:rPr>
          <w:rFonts w:ascii="Calibri" w:hAnsi="Calibri" w:eastAsia="Calibri" w:cs="Calibri"/>
          <w:i/>
          <w:iCs/>
          <w:color w:val="000000"/>
          <w:sz w:val="22"/>
          <w:szCs w:val="22"/>
        </w:rPr>
        <w:t xml:space="preserve">Vaccinium</w:t>
      </w:r>
      <w:r>
        <w:rPr>
          <w:rFonts w:ascii="Calibri" w:hAnsi="Calibri" w:eastAsia="Calibri" w:cs="Calibri"/>
          <w:color w:val="000000"/>
          <w:sz w:val="22"/>
          <w:szCs w:val="22"/>
        </w:rPr>
        <w:t xml:space="preserve"> (Ericaceae), </w:t>
      </w:r>
      <w:r>
        <w:rPr>
          <w:rFonts w:ascii="Calibri" w:hAnsi="Calibri" w:eastAsia="Calibri" w:cs="Calibri"/>
          <w:i/>
          <w:iCs/>
          <w:color w:val="000000"/>
          <w:sz w:val="22"/>
          <w:szCs w:val="22"/>
        </w:rPr>
        <w:t xml:space="preserve">Pinus</w:t>
      </w:r>
      <w:r>
        <w:rPr>
          <w:rFonts w:ascii="Calibri" w:hAnsi="Calibri" w:eastAsia="Calibri" w:cs="Calibri"/>
          <w:color w:val="000000"/>
          <w:sz w:val="22"/>
          <w:szCs w:val="22"/>
        </w:rPr>
        <w:t xml:space="preserve"> (Pinaceae), </w:t>
      </w:r>
      <w:r>
        <w:rPr>
          <w:rFonts w:ascii="Calibri" w:hAnsi="Calibri" w:eastAsia="Calibri" w:cs="Calibri"/>
          <w:i/>
          <w:iCs/>
          <w:color w:val="000000"/>
          <w:sz w:val="22"/>
          <w:szCs w:val="22"/>
        </w:rPr>
        <w:t xml:space="preserve">Prunus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Sorbus</w:t>
      </w:r>
      <w:r>
        <w:rPr>
          <w:rFonts w:ascii="Calibri" w:hAnsi="Calibri" w:eastAsia="Calibri" w:cs="Calibri"/>
          <w:color w:val="000000"/>
          <w:sz w:val="22"/>
          <w:szCs w:val="22"/>
        </w:rPr>
        <w:t xml:space="preserve"> (Rosaceae) (Schaffner 1950, 1959, MacKay 1962, Powell 1964, Prentice 1966, Beckwith 1973, Furniss &amp; Carolin 1977, Witter &amp; Waisanen 1978).</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are cultivated throughout much of Europe for timber and ornamental landscaping. In natural environments,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occurs commonly in riparian forests of Central and Southern Europe; the distribution of </w:t>
      </w:r>
      <w:r>
        <w:rPr>
          <w:rFonts w:ascii="Calibri" w:hAnsi="Calibri" w:eastAsia="Calibri" w:cs="Calibri"/>
          <w:i/>
          <w:iCs/>
          <w:color w:val="000000"/>
          <w:sz w:val="22"/>
          <w:szCs w:val="22"/>
        </w:rPr>
        <w:t xml:space="preserve">Populus nigra</w:t>
      </w:r>
      <w:r>
        <w:rPr>
          <w:rFonts w:ascii="Calibri" w:hAnsi="Calibri" w:eastAsia="Calibri" w:cs="Calibri"/>
          <w:color w:val="000000"/>
          <w:sz w:val="22"/>
          <w:szCs w:val="22"/>
        </w:rPr>
        <w:t xml:space="preserve"> ranges from the British Isles to the Mediterranean coast; and </w:t>
      </w:r>
      <w:r>
        <w:rPr>
          <w:rFonts w:ascii="Calibri" w:hAnsi="Calibri" w:eastAsia="Calibri" w:cs="Calibri"/>
          <w:i/>
          <w:iCs/>
          <w:color w:val="000000"/>
          <w:sz w:val="22"/>
          <w:szCs w:val="22"/>
        </w:rPr>
        <w:t xml:space="preserve">Populus tremula</w:t>
      </w:r>
      <w:r>
        <w:rPr>
          <w:rFonts w:ascii="Calibri" w:hAnsi="Calibri" w:eastAsia="Calibri" w:cs="Calibri"/>
          <w:color w:val="000000"/>
          <w:sz w:val="22"/>
          <w:szCs w:val="22"/>
        </w:rPr>
        <w:t xml:space="preserve"> is found predominantly in Denmark and Sweden.</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negundo</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Acer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Alnus incana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Amelanchier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alleghaniensis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papyrifera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populifolia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Betula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Cornus alternifolia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Corylus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Malus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Picea glauca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banksiana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Pinus strobus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alba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balsamifera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grandidentata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Populus trichocarpa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pensylvanica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Prunus virginiana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Rosa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Salix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Sorbus sp.</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Vaccinium sp.</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is broadly distributed across the North America continent, from the Atlantic to the Pacific oceans, from Newfoundland and Labrador, Canada to Alaska, south to California, Arizona and New Mexico (Freeman 1958, Powell 1964).</w:t>
      </w:r>
    </w:p>
    <w:p>
      <w:r>
        <w:drawing>
          <wp:inline distT="0" distB="0" distL="0" distR="0">
            <wp:extent cx="6120000" cy="3067200"/>
            <wp:docPr id="73843110" name="name8663662baed80720b" descr="ARCHCO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CO_distribution_map.jpg"/>
                    <pic:cNvPicPr/>
                  </pic:nvPicPr>
                  <pic:blipFill>
                    <a:blip r:embed="rId2635662baed807208"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North America:</w:t>
      </w:r>
      <w:r>
        <w:rPr>
          <w:rFonts w:ascii="Calibri" w:hAnsi="Calibri" w:eastAsia="Calibri" w:cs="Calibri"/>
          <w:color w:val="000000"/>
          <w:sz w:val="22"/>
          <w:szCs w:val="22"/>
        </w:rPr>
        <w:t xml:space="preserve"> Canada (Alberta, British Columbia, Manitoba, New Brunswick, Newfoundland, Ontario, Québec, Saskatchewan, Yukon Territory), United States of America (Alaska, Arizona, Arkansas, California, Colorado, Illinois, Iowa, Kansas, Maine, Michigan, Minnesota, Missouri, Montana, Nebraska, Nevada, New Hampshire, New Jersey, New Mexico, New York, North Dakota, Ohio, Pennsylvania, South Dakota, Utah, Wisconsin, Wyoming)</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is a univoltine species, completing one generation per year, and overwintering in the larval stage. The flat, scale-like eggs are laid in large clusters of 60-450 on the upper surface of the host leaves from mid-June to early July, and hatch 7‒10 days after oviposition. First-instar larvae are partially gregarious, congregating between leaves that they web together with silk. The larvae skeletonize the foliage, but feeding damage is not conspicuous during this stage. Starting in early August, larvae begin to disperse from foliage to overwintering sites such as bark crevices and other protected places, an activity that is completed by the end of September. Larvae then moult once and spin a white silken chamber in which they overwinter. The following May, these second instar larvae become active, mining new buds and feeding on epidermal leaf tissue, sometimes causing complete defoliation before the buds open. From the third instar until pupation, the larvae roll or fold the host leaves to make a shelter within which they feed, eating all but the larger leaf veins. It is during this period that most foliar damage occurs. Larvae complete their development and pupate from early to mid-June, and adults emerge 7‒14 days following pupation, flying from late June through July.</w:t>
      </w:r>
    </w:p>
    <w:p>
      <w:pPr>
        <w:widowControl w:val="on"/>
        <w:pBdr/>
        <w:spacing w:before="220" w:after="220" w:line="240" w:lineRule="auto"/>
        <w:ind w:left="0" w:right="0"/>
        <w:jc w:val="left"/>
      </w:pPr>
      <w:r>
        <w:rPr>
          <w:rFonts w:ascii="Calibri" w:hAnsi="Calibri" w:eastAsia="Calibri" w:cs="Calibri"/>
          <w:color w:val="000000"/>
          <w:sz w:val="22"/>
          <w:szCs w:val="22"/>
        </w:rPr>
        <w:t xml:space="preserve">Because second and third instar larvae remain in mined buds and developing leaf clusters for a period of 10‒14 days in the spring, sampling at this time may provide an estimate of the potential population, and hence may be used for potential defoliation forecasts. For more detailed information on the biology, see Prentice (1955), Davidson &amp; Prentice (1968), Furniss &amp; Carolin (1977) and USDA (1979).</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Evidence of early infestation includes skeletonized foliage and rolled leaves; affected foliage typically has a clumped, irregular appearance (Ciesla &amp; Kruse 2009). As feeding progresses, the crowns of infested trees become thin, and the foliage becomes yellow-brown. During heavy infestations, aspens may be completely defoliated and have a somewhat grey or brown colour. Severely affected trees may be covered with silken webbing from larvae, and understory non-host vegetation may also show evidence of larval webbing (Ciesla &amp; Kruse 2009).</w:t>
      </w:r>
    </w:p>
    <w:p>
      <w:pPr>
        <w:widowControl w:val="on"/>
        <w:pBdr/>
        <w:spacing w:before="220" w:after="220" w:line="240" w:lineRule="auto"/>
        <w:ind w:left="0" w:right="0"/>
        <w:jc w:val="both"/>
      </w:pPr>
      <w:r>
        <w:rPr>
          <w:rFonts w:ascii="Calibri" w:hAnsi="Calibri" w:eastAsia="Calibri" w:cs="Calibri"/>
          <w:color w:val="000000"/>
          <w:sz w:val="22"/>
          <w:szCs w:val="22"/>
        </w:rPr>
        <w:t xml:space="preserve">Infested trees may be completely defoliated for a year or two but normally recover with only loss of growth. Usually, defoliation occurs in early summer, and attacked trees put on new growth in mid- to late summer, but new foliage is sparse, individual leaves are smaller, and tree crowns are thinner. Outbreaks characteristically last 2 or 3 years.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Eggs</w:t>
      </w:r>
    </w:p>
    <w:p>
      <w:pPr>
        <w:widowControl w:val="on"/>
        <w:pBdr/>
        <w:spacing w:before="220" w:after="220" w:line="240" w:lineRule="auto"/>
        <w:ind w:left="0" w:right="0"/>
        <w:jc w:val="both"/>
      </w:pPr>
      <w:r>
        <w:rPr>
          <w:rFonts w:ascii="Calibri" w:hAnsi="Calibri" w:eastAsia="Calibri" w:cs="Calibri"/>
          <w:color w:val="000000"/>
          <w:sz w:val="22"/>
          <w:szCs w:val="22"/>
        </w:rPr>
        <w:t xml:space="preserve">Eggs are small, ovoid, flat, and pale green, laid in irregularly rounded, imbricate or shingle-like clusters of 60-450 eggs. They are typically found on the upper surface of leaves in June and July.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Early instar larvae are pale yellow with light brown legs and a brown head capsule. Mature larvae are variable from pale grey-green to nearly black, with small, dark brown, spot-like pinacula. The head and anal shield are uniformly reddish-brown to black, and the prothoracic shield is dark amber to black. Last instar larvae are 15‒25 mm in length. The chaetotaxy, or arrangement of setae, is typically tortricine with a trisetose L-group on the first thoracic segment and a dorsal ‘saddle’ on abdominal segment 9, representing the fusion of the SD2 setae on that segment. Below the anal shield is a well-developed anal fork (MacKay, 1962). Detailed drawings of morphological features of the larvae can be found in Prentice (1955) and MacKay (1962), and images may be found in Ciesla &amp; Kruse (2006), among other online publications.</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Pupa</w:t>
      </w:r>
    </w:p>
    <w:p>
      <w:pPr>
        <w:widowControl w:val="on"/>
        <w:pBdr/>
        <w:spacing w:before="220" w:after="220" w:line="240" w:lineRule="auto"/>
        <w:ind w:left="0" w:right="0"/>
        <w:jc w:val="both"/>
      </w:pPr>
      <w:r>
        <w:rPr>
          <w:rFonts w:ascii="Calibri" w:hAnsi="Calibri" w:eastAsia="Calibri" w:cs="Calibri"/>
          <w:color w:val="000000"/>
          <w:sz w:val="22"/>
          <w:szCs w:val="22"/>
        </w:rPr>
        <w:t xml:space="preserve">Pupae are 10‒17 mm in length, and pale green when first formed, soon becoming reddish brown or black. Abdominal segments 3‒8 each have two transverse rows of tiny spines on the underside, and segment 10 is produced into a rectangular cremaster with slender, hook-tipped setae. The last larval exuvium (shed skin) is often attached to the base of the pupa.</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Adult moths have a wing span of 25‒35 mm. The forewings are grey with three indistinct and variable darker brown fasciae: one at the base of the wing, one near the middle of the wing, and one in the apical region; the hindwings are nearly uniformly pale brownish. Although male genitalia are often characteristic for many species of Tortricidae, those of the large aspen tortrix are not particularly suitable as a diagnostic feature. Illustrations may be found in Freeman (1958) and Powell (1964).</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Visual inspection in late May and early June may reveal rolled and/or skeletonized leaves with a clumped, irregular appearance (Ciesla &amp; Kruse, 2009), often with webbing and frass. However, small or localized infestations may be difficult to detect. Sex pheromones also may be used to detect the presence/absence of adults during the peak flight period from late June through July. </w:t>
      </w:r>
    </w:p>
    <w:p>
      <w:pPr>
        <w:widowControl w:val="on"/>
        <w:pBdr/>
        <w:spacing w:before="220" w:after="220" w:line="240" w:lineRule="auto"/>
        <w:ind w:left="0" w:right="0"/>
        <w:jc w:val="both"/>
      </w:pPr>
      <w:r>
        <w:rPr>
          <w:rFonts w:ascii="Calibri" w:hAnsi="Calibri" w:eastAsia="Calibri" w:cs="Calibri"/>
          <w:color w:val="000000"/>
          <w:sz w:val="22"/>
          <w:szCs w:val="22"/>
        </w:rPr>
        <w:t xml:space="preserve">Werner &amp; Wheatherston (1980) discovered that the compound cis-11-tetradecenal attracted males of large aspen tortrix in stands of quaking aspen in Alaska. They indicated that the pheromone can be dispersed from polyethylene caps using Pherocon 2 traps placed 1.5 m above the ground. Over two decades later, Evenden and Gries (2006) found that traps baited with (Z)11-14-hexadecanal alone can be used to successfully monitor mated and unmated males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throughout their flight period. Jones &amp; Evenden (2008) and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(2009) provide additional information on the use of pheromones for detection of this species.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Passive wind dispersal of larvae via ‘ballooning’ can occur, and moths are capable of flight, but probably only over short distances. In international trade,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transported in nursery stock and cut foliage of </w:t>
      </w:r>
      <w:r>
        <w:rPr>
          <w:rFonts w:ascii="Calibri" w:hAnsi="Calibri" w:eastAsia="Calibri" w:cs="Calibri"/>
          <w:i/>
          <w:iCs/>
          <w:color w:val="000000"/>
          <w:sz w:val="22"/>
          <w:szCs w:val="22"/>
        </w:rPr>
        <w:t xml:space="preserve">Populus tremuloides</w:t>
      </w:r>
      <w:r>
        <w:rPr>
          <w:rFonts w:ascii="Calibri" w:hAnsi="Calibri" w:eastAsia="Calibri" w:cs="Calibri"/>
          <w:color w:val="000000"/>
          <w:sz w:val="22"/>
          <w:szCs w:val="22"/>
        </w:rPr>
        <w:t xml:space="preserve"> and other host plants.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color w:val="000000"/>
          <w:sz w:val="22"/>
          <w:szCs w:val="22"/>
        </w:rPr>
        <w:t xml:space="preserve">Defoliators are by far the most important and damaging insect pests of poplars, but the extent of damage depends on the severity and frequency of defoliation, and the time of the year when defoliation occurs. </w:t>
      </w:r>
    </w:p>
    <w:p>
      <w:pPr>
        <w:widowControl w:val="on"/>
        <w:pBdr/>
        <w:spacing w:before="220" w:after="220" w:line="240" w:lineRule="auto"/>
        <w:ind w:left="0" w:right="0"/>
        <w:jc w:val="both"/>
      </w:pPr>
      <w:r>
        <w:rPr>
          <w:rFonts w:ascii="Calibri" w:hAnsi="Calibri" w:eastAsia="Calibri" w:cs="Calibri"/>
          <w:color w:val="000000"/>
          <w:sz w:val="22"/>
          <w:szCs w:val="22"/>
        </w:rPr>
        <w:t xml:space="preserve">According to Furniss and Carolin (1977), under outbreak conditions, which are rare,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be considered a pest of spruce, aspen, and birch in the northern part of Western North America. Outbreaks have been reported sporadically in large stands of trembling aspen in the western provinces of Canada (i.e., Alberta, Manitoba, Saskatchewan), and during 1966‒1968, a large outbreak was recorded in Central Alaska (Furniss and Carolin, 1977). Outbreaks usually last 2‒3 years, and although trees may be completely defoliated for a year or two, they typically recover (Cerezke, 1992). Under outbreak conditions on aspen, larva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feed on other broad-leaved trees growing nearby. Owing to the ability of most host trees to quickly recover, limited economic damage occurs.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Because severe outbreaks of the large aspen tortrix are sporadic and rare, and aspen is quite tolerant of defoliation, control measures are usually not necessary. Outbreaks tend to be short-lived (2‒3 years) and are usually allowed to run their course without intervention. In addition, under outbreak conditions, large numbers of larvae may starve or move to alternative, less appropriate hosts owing to competition.</w:t>
      </w:r>
    </w:p>
    <w:p>
      <w:pPr>
        <w:widowControl w:val="on"/>
        <w:pBdr/>
        <w:spacing w:before="220" w:after="220" w:line="240" w:lineRule="auto"/>
        <w:ind w:left="0" w:right="0"/>
        <w:jc w:val="both"/>
      </w:pPr>
      <w:r>
        <w:rPr>
          <w:rFonts w:ascii="Calibri" w:hAnsi="Calibri" w:eastAsia="Calibri" w:cs="Calibri"/>
          <w:color w:val="000000"/>
          <w:sz w:val="22"/>
          <w:szCs w:val="22"/>
        </w:rPr>
        <w:t xml:space="preserve">However, if it is determined that control measures are necessary, owing to severe outbreaks in heavily used recreation sites or home sites in urban-wildland interface areas, application of chemicals such as malathion are effective. Although small-scale control programs have been implemented, the level of damage by the large aspen tortrix rarely warrants the spraying of extensive stands of forest, plantations, or landscaped areas. Holsten &amp; Hard (1985) reported that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provides significant protection of foliage against this species, but indicated that the timing of application was critical for </w:t>
      </w:r>
      <w:r>
        <w:rPr>
          <w:rFonts w:ascii="Calibri" w:hAnsi="Calibri" w:eastAsia="Calibri" w:cs="Calibri"/>
          <w:i/>
          <w:iCs/>
          <w:color w:val="000000"/>
          <w:sz w:val="22"/>
          <w:szCs w:val="22"/>
        </w:rPr>
        <w:t xml:space="preserve">Bacillus</w:t>
      </w:r>
      <w:r>
        <w:rPr>
          <w:rFonts w:ascii="Calibri" w:hAnsi="Calibri" w:eastAsia="Calibri" w:cs="Calibri"/>
          <w:color w:val="000000"/>
          <w:sz w:val="22"/>
          <w:szCs w:val="22"/>
        </w:rPr>
        <w:t xml:space="preserve"> efficacy. </w:t>
      </w:r>
    </w:p>
    <w:p>
      <w:pPr>
        <w:widowControl w:val="on"/>
        <w:pBdr/>
        <w:spacing w:before="220" w:after="220" w:line="240" w:lineRule="auto"/>
        <w:ind w:left="0" w:right="0"/>
        <w:jc w:val="both"/>
      </w:pPr>
      <w:r>
        <w:rPr>
          <w:rFonts w:ascii="Calibri" w:hAnsi="Calibri" w:eastAsia="Calibri" w:cs="Calibri"/>
          <w:color w:val="000000"/>
          <w:sz w:val="22"/>
          <w:szCs w:val="22"/>
        </w:rPr>
        <w:t xml:space="preserve">Sex pheromones have also been investigated for trapping and possible mating disruption (Wheatherston, 1976), and these may be used together with pheromones for control of tent caterpillar (</w:t>
      </w:r>
      <w:r>
        <w:rPr>
          <w:rFonts w:ascii="Calibri" w:hAnsi="Calibri" w:eastAsia="Calibri" w:cs="Calibri"/>
          <w:i/>
          <w:iCs/>
          <w:color w:val="000000"/>
          <w:sz w:val="22"/>
          <w:szCs w:val="22"/>
        </w:rPr>
        <w:t xml:space="preserve">Malacosoma</w:t>
      </w:r>
      <w:r>
        <w:rPr>
          <w:rFonts w:ascii="Calibri" w:hAnsi="Calibri" w:eastAsia="Calibri" w:cs="Calibri"/>
          <w:color w:val="000000"/>
          <w:sz w:val="22"/>
          <w:szCs w:val="22"/>
        </w:rPr>
        <w:t xml:space="preserve"> sp., Lasiocampidae) (Jones &amp; Evenden, 2008; Jones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 2009).</w:t>
      </w:r>
    </w:p>
    <w:p>
      <w:pPr>
        <w:widowControl w:val="on"/>
        <w:pBdr/>
        <w:spacing w:before="220" w:after="220" w:line="240" w:lineRule="auto"/>
        <w:ind w:left="0" w:right="0"/>
        <w:jc w:val="both"/>
      </w:pPr>
      <w:r>
        <w:rPr>
          <w:rFonts w:ascii="Calibri" w:hAnsi="Calibri" w:eastAsia="Calibri" w:cs="Calibri"/>
          <w:color w:val="000000"/>
          <w:sz w:val="22"/>
          <w:szCs w:val="22"/>
        </w:rPr>
        <w:t xml:space="preserve">Under natural conditions, an array of native predators and parasitoids help keep large aspen tortrix populations in check (e.g., Prentice, 1955; Cranshaw, 2016), with over 20 species of insects reported to attack eggs, larvae, and pupae, notably tachinid flies and parasitic wasps, such as </w:t>
      </w:r>
      <w:r>
        <w:rPr>
          <w:rFonts w:ascii="Calibri" w:hAnsi="Calibri" w:eastAsia="Calibri" w:cs="Calibri"/>
          <w:i/>
          <w:iCs/>
          <w:color w:val="000000"/>
          <w:sz w:val="22"/>
          <w:szCs w:val="22"/>
        </w:rPr>
        <w:t xml:space="preserve">Omotoma fumiferanae</w:t>
      </w:r>
      <w:r>
        <w:rPr>
          <w:rFonts w:ascii="Calibri" w:hAnsi="Calibri" w:eastAsia="Calibri" w:cs="Calibri"/>
          <w:color w:val="000000"/>
          <w:sz w:val="22"/>
          <w:szCs w:val="22"/>
        </w:rPr>
        <w:t xml:space="preserve"> (Diptera: Tachinidae) and </w:t>
      </w:r>
      <w:r>
        <w:rPr>
          <w:rFonts w:ascii="Calibri" w:hAnsi="Calibri" w:eastAsia="Calibri" w:cs="Calibri"/>
          <w:i/>
          <w:iCs/>
          <w:color w:val="000000"/>
          <w:sz w:val="22"/>
          <w:szCs w:val="22"/>
        </w:rPr>
        <w:t xml:space="preserve">Glypta</w:t>
      </w:r>
      <w:r>
        <w:rPr>
          <w:rFonts w:ascii="Calibri" w:hAnsi="Calibri" w:eastAsia="Calibri" w:cs="Calibri"/>
          <w:color w:val="000000"/>
          <w:sz w:val="22"/>
          <w:szCs w:val="22"/>
        </w:rPr>
        <w:t xml:space="preserve"> sp. (Hymenoptera: Ichneumonidae) (e.g., Torgersen &amp; Beckwith, 1974). Predaceous insects, such as ants, wasps, and large ground beetles, also attack and feed on larvae; in addition, birds, including chickadees, vireos, and woodpeckers, consume larvae when high densities populations are found (Evenden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2006; Ciesla &amp; Kruse, 2009). Fungi and viral diseases also help control populations; Burke and Percy (1982) identified eight pathogens that contribute to population collapse during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outbreaks (Cerezke, 1992).</w:t>
      </w:r>
    </w:p>
    <w:p>
      <w:pPr>
        <w:widowControl w:val="on"/>
        <w:pBdr/>
        <w:spacing w:before="220" w:after="220" w:line="240" w:lineRule="auto"/>
        <w:ind w:left="0" w:right="0"/>
        <w:jc w:val="both"/>
      </w:pPr>
      <w:r>
        <w:rPr>
          <w:rFonts w:ascii="Calibri" w:hAnsi="Calibri" w:eastAsia="Calibri" w:cs="Calibri"/>
          <w:color w:val="000000"/>
          <w:sz w:val="22"/>
          <w:szCs w:val="22"/>
        </w:rPr>
        <w:t xml:space="preserve">Older aspen forests tend to be more prone to dieback and tree death following defoliation. Therefore, timely harvesting of mature stands encourages development of young, vigorous aspen forests that are more tolerant and resilient to defoliator outbreaks (Ciesla &amp; Kruse, 2009).</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color w:val="000000"/>
          <w:sz w:val="22"/>
          <w:szCs w:val="22"/>
        </w:rPr>
        <w:t xml:space="preserve">In Ontario, Canada,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is considered a major defoliator of </w:t>
      </w:r>
      <w:r>
        <w:rPr>
          <w:rFonts w:ascii="Calibri" w:hAnsi="Calibri" w:eastAsia="Calibri" w:cs="Calibri"/>
          <w:i/>
          <w:iCs/>
          <w:color w:val="000000"/>
          <w:sz w:val="22"/>
          <w:szCs w:val="22"/>
        </w:rPr>
        <w:t xml:space="preserve">P. tremuloides</w:t>
      </w:r>
      <w:r>
        <w:rPr>
          <w:rFonts w:ascii="Calibri" w:hAnsi="Calibri" w:eastAsia="Calibri" w:cs="Calibri"/>
          <w:color w:val="000000"/>
          <w:sz w:val="22"/>
          <w:szCs w:val="22"/>
        </w:rPr>
        <w:t xml:space="preserve">, resulting in reduction in growth. However, data on tree mortality from defoliation is rather inconclusive (Thomas, 1978). Hence, although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 may present a low risk to plantations of aspen and other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spp. in Europe, it is considerably less significant than other </w:t>
      </w:r>
      <w:r>
        <w:rPr>
          <w:rFonts w:ascii="Calibri" w:hAnsi="Calibri" w:eastAsia="Calibri" w:cs="Calibri"/>
          <w:i/>
          <w:iCs/>
          <w:color w:val="000000"/>
          <w:sz w:val="22"/>
          <w:szCs w:val="22"/>
        </w:rPr>
        <w:t xml:space="preserve">Choristoneura</w:t>
      </w:r>
      <w:r>
        <w:rPr>
          <w:rFonts w:ascii="Calibri" w:hAnsi="Calibri" w:eastAsia="Calibri" w:cs="Calibri"/>
          <w:color w:val="000000"/>
          <w:sz w:val="22"/>
          <w:szCs w:val="22"/>
        </w:rPr>
        <w:t xml:space="preserve"> spp. on conifers.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Prohibition of the import of plants and cut foliage of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from countries where the pest is present (i.e., USA and Canada), is an appropriate measure to prevent the introduction and spread of </w:t>
      </w:r>
      <w:r>
        <w:rPr>
          <w:rFonts w:ascii="Calibri" w:hAnsi="Calibri" w:eastAsia="Calibri" w:cs="Calibri"/>
          <w:i/>
          <w:iCs/>
          <w:color w:val="000000"/>
          <w:sz w:val="22"/>
          <w:szCs w:val="22"/>
        </w:rPr>
        <w:t xml:space="preserve">C. conflictana</w:t>
      </w:r>
      <w:r>
        <w:rPr>
          <w:rFonts w:ascii="Calibri" w:hAnsi="Calibri" w:eastAsia="Calibri" w:cs="Calibri"/>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Beckwith RC (1973) The large aspen tortrix. USDA Forest Service, </w:t>
      </w:r>
      <w:r>
        <w:rPr>
          <w:rFonts w:ascii="Calibri" w:hAnsi="Calibri" w:eastAsia="Calibri" w:cs="Calibri"/>
          <w:i/>
          <w:iCs/>
          <w:color w:val="000000"/>
          <w:sz w:val="22"/>
          <w:szCs w:val="22"/>
        </w:rPr>
        <w:t xml:space="preserve">Forest Pest Leaflet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6 pp.</w:t>
      </w:r>
    </w:p>
    <w:p>
      <w:pPr>
        <w:widowControl w:val="on"/>
        <w:pBdr/>
        <w:spacing w:before="220" w:after="220" w:line="240" w:lineRule="auto"/>
        <w:ind w:left="0" w:right="0"/>
        <w:jc w:val="left"/>
      </w:pPr>
      <w:r>
        <w:rPr>
          <w:rFonts w:ascii="Calibri" w:hAnsi="Calibri" w:eastAsia="Calibri" w:cs="Calibri"/>
          <w:color w:val="000000"/>
          <w:sz w:val="22"/>
          <w:szCs w:val="22"/>
        </w:rPr>
        <w:t xml:space="preserve">Brown JW (2005) World catalogue of insects. Volume 5: Tortricidae (Lepidoptera). Apollo Books, Stenstrup, 741 pp.</w:t>
      </w:r>
    </w:p>
    <w:p>
      <w:pPr>
        <w:widowControl w:val="on"/>
        <w:pBdr/>
        <w:spacing w:before="220" w:after="220" w:line="240" w:lineRule="auto"/>
        <w:ind w:left="0" w:right="0"/>
        <w:jc w:val="left"/>
      </w:pPr>
      <w:r>
        <w:rPr>
          <w:rFonts w:ascii="Calibri" w:hAnsi="Calibri" w:eastAsia="Calibri" w:cs="Calibri"/>
          <w:color w:val="000000"/>
          <w:sz w:val="22"/>
          <w:szCs w:val="22"/>
        </w:rPr>
        <w:t xml:space="preserve">Burke J, Percy J (1982) Survey of pathogens in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Ontario and Br. Columbia with particular reference to granulosis virus.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114</w:t>
      </w:r>
      <w:r>
        <w:rPr>
          <w:rFonts w:ascii="Calibri" w:hAnsi="Calibri" w:eastAsia="Calibri" w:cs="Calibri"/>
          <w:color w:val="000000"/>
          <w:sz w:val="22"/>
          <w:szCs w:val="22"/>
        </w:rPr>
        <w:t xml:space="preserve">, 457-459.</w:t>
      </w:r>
    </w:p>
    <w:p>
      <w:pPr>
        <w:widowControl w:val="on"/>
        <w:pBdr/>
        <w:spacing w:before="220" w:after="220" w:line="240" w:lineRule="auto"/>
        <w:ind w:left="0" w:right="0"/>
        <w:jc w:val="left"/>
      </w:pPr>
      <w:r>
        <w:rPr>
          <w:rFonts w:ascii="Calibri" w:hAnsi="Calibri" w:eastAsia="Calibri" w:cs="Calibri"/>
          <w:color w:val="000000"/>
          <w:sz w:val="22"/>
          <w:szCs w:val="22"/>
        </w:rPr>
        <w:t xml:space="preserve">Ciesla WM, Kruse JJ (2009) Large aspen tortrix [revised]. USDA Forest Service, </w:t>
      </w:r>
      <w:r>
        <w:rPr>
          <w:rFonts w:ascii="Calibri" w:hAnsi="Calibri" w:eastAsia="Calibri" w:cs="Calibri"/>
          <w:i/>
          <w:iCs/>
          <w:color w:val="000000"/>
          <w:sz w:val="22"/>
          <w:szCs w:val="22"/>
        </w:rPr>
        <w:t xml:space="preserve">Forest Insect &amp; Disease Leaflet </w:t>
      </w:r>
      <w:r>
        <w:rPr>
          <w:rFonts w:ascii="Calibri" w:hAnsi="Calibri" w:eastAsia="Calibri" w:cs="Calibri"/>
          <w:b/>
          <w:bCs/>
          <w:color w:val="000000"/>
          <w:sz w:val="22"/>
          <w:szCs w:val="22"/>
        </w:rPr>
        <w:t xml:space="preserve">139</w:t>
      </w:r>
      <w:r>
        <w:rPr>
          <w:rFonts w:ascii="Calibri" w:hAnsi="Calibri" w:eastAsia="Calibri" w:cs="Calibri"/>
          <w:color w:val="000000"/>
          <w:sz w:val="22"/>
          <w:szCs w:val="22"/>
        </w:rPr>
        <w:t xml:space="preserve"> (revised), 8 pp.</w:t>
      </w:r>
    </w:p>
    <w:p>
      <w:pPr>
        <w:widowControl w:val="on"/>
        <w:pBdr/>
        <w:spacing w:before="220" w:after="220" w:line="240" w:lineRule="auto"/>
        <w:ind w:left="0" w:right="0"/>
        <w:jc w:val="left"/>
      </w:pPr>
      <w:r>
        <w:rPr>
          <w:rFonts w:ascii="Calibri" w:hAnsi="Calibri" w:eastAsia="Calibri" w:cs="Calibri"/>
          <w:color w:val="000000"/>
          <w:sz w:val="22"/>
          <w:szCs w:val="22"/>
        </w:rPr>
        <w:t xml:space="preserve">Cranshaw W (2016)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(Walker). High Plains Integrated Pest Management. BugWoodWiki. </w:t>
      </w:r>
      <w:hyperlink r:id="rId1638662baed807ee8" w:history="1">
        <w:r>
          <w:rPr>
            <w:rFonts w:ascii="Calibri" w:hAnsi="Calibri" w:eastAsia="Calibri" w:cs="Calibri"/>
            <w:color w:val="0000CC"/>
            <w:sz w:val="22"/>
            <w:szCs w:val="22"/>
            <w:u w:val="single"/>
          </w:rPr>
          <w:t xml:space="preserve">https://wiki.bugwood.org/HPIPM:Choristoneura_conflictana</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CerezkeHF (1992) Large aspen tortrix. </w:t>
      </w:r>
      <w:r>
        <w:rPr>
          <w:rFonts w:ascii="Calibri" w:hAnsi="Calibri" w:eastAsia="Calibri" w:cs="Calibri"/>
          <w:i/>
          <w:iCs/>
          <w:color w:val="000000"/>
          <w:sz w:val="22"/>
          <w:szCs w:val="22"/>
        </w:rPr>
        <w:t xml:space="preserve">Forest Leaflet </w:t>
      </w:r>
      <w:r>
        <w:rPr>
          <w:rFonts w:ascii="Calibri" w:hAnsi="Calibri" w:eastAsia="Calibri" w:cs="Calibri"/>
          <w:b/>
          <w:bCs/>
          <w:color w:val="000000"/>
          <w:sz w:val="22"/>
          <w:szCs w:val="22"/>
        </w:rPr>
        <w:t xml:space="preserve">21</w:t>
      </w:r>
      <w:r>
        <w:rPr>
          <w:rFonts w:ascii="Calibri" w:hAnsi="Calibri" w:eastAsia="Calibri" w:cs="Calibri"/>
          <w:color w:val="000000"/>
          <w:sz w:val="22"/>
          <w:szCs w:val="22"/>
        </w:rPr>
        <w:t xml:space="preserve">, Natural Resources Canada, Canadian Forest Service, Northern Forestry Centre, Edmonton, Alberta.</w:t>
      </w:r>
    </w:p>
    <w:p>
      <w:pPr>
        <w:widowControl w:val="on"/>
        <w:pBdr/>
        <w:spacing w:before="220" w:after="220" w:line="240" w:lineRule="auto"/>
        <w:ind w:left="0" w:right="0"/>
        <w:jc w:val="left"/>
      </w:pPr>
      <w:r>
        <w:rPr>
          <w:rFonts w:ascii="Calibri" w:hAnsi="Calibri" w:eastAsia="Calibri" w:cs="Calibri"/>
          <w:color w:val="000000"/>
          <w:sz w:val="22"/>
          <w:szCs w:val="22"/>
        </w:rPr>
        <w:t xml:space="preserve">Davidson AG, Prentice RM (1968) Chapter VII. Insects and diseases, p. 116‒144. In: Maini JS, Cayford JH (eds.), </w:t>
      </w:r>
      <w:r>
        <w:rPr>
          <w:rFonts w:ascii="Calibri" w:hAnsi="Calibri" w:eastAsia="Calibri" w:cs="Calibri"/>
          <w:i/>
          <w:iCs/>
          <w:color w:val="000000"/>
          <w:sz w:val="22"/>
          <w:szCs w:val="22"/>
        </w:rPr>
        <w:t xml:space="preserve">Growth and utilization of poplars in Canada</w:t>
      </w:r>
      <w:r>
        <w:rPr>
          <w:rFonts w:ascii="Calibri" w:hAnsi="Calibri" w:eastAsia="Calibri" w:cs="Calibri"/>
          <w:color w:val="000000"/>
          <w:sz w:val="22"/>
          <w:szCs w:val="22"/>
        </w:rPr>
        <w:t xml:space="preserve">. Departmental Publication No. </w:t>
      </w:r>
      <w:r>
        <w:rPr>
          <w:rFonts w:ascii="Calibri" w:hAnsi="Calibri" w:eastAsia="Calibri" w:cs="Calibri"/>
          <w:b/>
          <w:bCs/>
          <w:color w:val="000000"/>
          <w:sz w:val="22"/>
          <w:szCs w:val="22"/>
        </w:rPr>
        <w:t xml:space="preserve">1205</w:t>
      </w:r>
      <w:r>
        <w:rPr>
          <w:rFonts w:ascii="Calibri" w:hAnsi="Calibri" w:eastAsia="Calibri" w:cs="Calibri"/>
          <w:color w:val="000000"/>
          <w:sz w:val="22"/>
          <w:szCs w:val="22"/>
        </w:rPr>
        <w:t xml:space="preserve">. Department of Forestry and Rural Development, Ottawa, Canada.</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(2005) Potential for combining sex pheromones for the forest tent caterpillar (Lepidoptera: Lasiocampidae) and the large aspen tortrix (Lepidoptera: Tortricidae) within monitoring traps targeting both species.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137</w:t>
      </w:r>
      <w:r>
        <w:rPr>
          <w:rFonts w:ascii="Calibri" w:hAnsi="Calibri" w:eastAsia="Calibri" w:cs="Calibri"/>
          <w:color w:val="000000"/>
          <w:sz w:val="22"/>
          <w:szCs w:val="22"/>
        </w:rPr>
        <w:t xml:space="preserve">, 615–619.</w:t>
      </w:r>
    </w:p>
    <w:p>
      <w:pPr>
        <w:widowControl w:val="on"/>
        <w:pBdr/>
        <w:spacing w:before="220" w:after="220" w:line="240" w:lineRule="auto"/>
        <w:ind w:left="0" w:right="0"/>
        <w:jc w:val="left"/>
      </w:pPr>
      <w:r>
        <w:rPr>
          <w:rFonts w:ascii="Calibri" w:hAnsi="Calibri" w:eastAsia="Calibri" w:cs="Calibri"/>
          <w:color w:val="000000"/>
          <w:sz w:val="22"/>
          <w:szCs w:val="22"/>
        </w:rPr>
        <w:t xml:space="preserve">Evenden ML, Gries R (2006) Sex pheromone of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Chemoecology </w:t>
      </w:r>
      <w:r>
        <w:rPr>
          <w:rFonts w:ascii="Calibri" w:hAnsi="Calibri" w:eastAsia="Calibri" w:cs="Calibri"/>
          <w:b/>
          <w:bCs/>
          <w:color w:val="000000"/>
          <w:sz w:val="22"/>
          <w:szCs w:val="22"/>
        </w:rPr>
        <w:t xml:space="preserve">16</w:t>
      </w:r>
      <w:r>
        <w:rPr>
          <w:rFonts w:ascii="Calibri" w:hAnsi="Calibri" w:eastAsia="Calibri" w:cs="Calibri"/>
          <w:color w:val="000000"/>
          <w:sz w:val="22"/>
          <w:szCs w:val="22"/>
        </w:rPr>
        <w:t xml:space="preserve">,115–122. </w:t>
      </w:r>
      <w:hyperlink r:id="rId6923662baed8080d1" w:history="1">
        <w:r>
          <w:rPr>
            <w:rFonts w:ascii="Calibri" w:hAnsi="Calibri" w:eastAsia="Calibri" w:cs="Calibri"/>
            <w:color w:val="0000CC"/>
            <w:sz w:val="22"/>
            <w:szCs w:val="22"/>
            <w:u w:val="single"/>
          </w:rPr>
          <w:t xml:space="preserve">https://doi.org/10.1007/s00049-006-0336-x</w:t>
        </w:r>
      </w:hyperlink>
    </w:p>
    <w:p>
      <w:pPr>
        <w:widowControl w:val="on"/>
        <w:pBdr/>
        <w:spacing w:before="220" w:after="220" w:line="240" w:lineRule="auto"/>
        <w:ind w:left="0" w:right="0"/>
        <w:jc w:val="left"/>
      </w:pPr>
      <w:r>
        <w:rPr>
          <w:rFonts w:ascii="Calibri" w:hAnsi="Calibri" w:eastAsia="Calibri" w:cs="Calibri"/>
          <w:color w:val="000000"/>
          <w:sz w:val="22"/>
          <w:szCs w:val="22"/>
        </w:rPr>
        <w:t xml:space="preserve">Evenden ML, Lopez MS, Keddie BA (2006) Body size, age, and disease influence female reproductive performance in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Annals of the Entomological Society of America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99</w:t>
      </w:r>
      <w:r>
        <w:rPr>
          <w:rFonts w:ascii="Calibri" w:hAnsi="Calibri" w:eastAsia="Calibri" w:cs="Calibri"/>
          <w:color w:val="000000"/>
          <w:sz w:val="22"/>
          <w:szCs w:val="22"/>
        </w:rPr>
        <w:t xml:space="preserve">, 837–844.</w:t>
      </w:r>
    </w:p>
    <w:p>
      <w:pPr>
        <w:widowControl w:val="on"/>
        <w:pBdr/>
        <w:spacing w:before="220" w:after="220" w:line="240" w:lineRule="auto"/>
        <w:ind w:left="0" w:right="0"/>
        <w:jc w:val="left"/>
      </w:pPr>
      <w:r>
        <w:rPr>
          <w:rFonts w:ascii="Calibri" w:hAnsi="Calibri" w:eastAsia="Calibri" w:cs="Calibri"/>
          <w:color w:val="000000"/>
          <w:sz w:val="22"/>
          <w:szCs w:val="22"/>
        </w:rPr>
        <w:t xml:space="preserve">Forbes WMT (1923) The Lepidoptera of New York and neighboring states. Primitive forms, Microlepidoptera, Pyraloids, Bombyces. Cornell University Agricultural Experimental Station, Memoir </w:t>
      </w:r>
      <w:r>
        <w:rPr>
          <w:rFonts w:ascii="Calibri" w:hAnsi="Calibri" w:eastAsia="Calibri" w:cs="Calibri"/>
          <w:b/>
          <w:bCs/>
          <w:color w:val="000000"/>
          <w:sz w:val="22"/>
          <w:szCs w:val="22"/>
        </w:rPr>
        <w:t xml:space="preserve">68</w:t>
      </w:r>
      <w:r>
        <w:rPr>
          <w:rFonts w:ascii="Calibri" w:hAnsi="Calibri" w:eastAsia="Calibri" w:cs="Calibri"/>
          <w:color w:val="000000"/>
          <w:sz w:val="22"/>
          <w:szCs w:val="22"/>
        </w:rPr>
        <w:t xml:space="preserve">. 729 pp.</w:t>
      </w:r>
    </w:p>
    <w:p>
      <w:pPr>
        <w:widowControl w:val="on"/>
        <w:pBdr/>
        <w:spacing w:before="220" w:after="220" w:line="240" w:lineRule="auto"/>
        <w:ind w:left="0" w:right="0"/>
        <w:jc w:val="left"/>
      </w:pPr>
      <w:r>
        <w:rPr>
          <w:rFonts w:ascii="Calibri" w:hAnsi="Calibri" w:eastAsia="Calibri" w:cs="Calibri"/>
          <w:color w:val="000000"/>
          <w:sz w:val="22"/>
          <w:szCs w:val="22"/>
        </w:rPr>
        <w:t xml:space="preserve">Freeman TN (1958) The Archipinae of North America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Supplement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5-89.</w:t>
      </w:r>
    </w:p>
    <w:p>
      <w:pPr>
        <w:widowControl w:val="on"/>
        <w:pBdr/>
        <w:spacing w:before="220" w:after="220" w:line="240" w:lineRule="auto"/>
        <w:ind w:left="0" w:right="0"/>
        <w:jc w:val="left"/>
      </w:pPr>
      <w:r>
        <w:rPr>
          <w:rFonts w:ascii="Calibri" w:hAnsi="Calibri" w:eastAsia="Calibri" w:cs="Calibri"/>
          <w:color w:val="000000"/>
          <w:sz w:val="22"/>
          <w:szCs w:val="22"/>
        </w:rPr>
        <w:t xml:space="preserve">Furniss RL, Carolin VM (1977) </w:t>
      </w:r>
      <w:r>
        <w:rPr>
          <w:rFonts w:ascii="Calibri" w:hAnsi="Calibri" w:eastAsia="Calibri" w:cs="Calibri"/>
          <w:i/>
          <w:iCs/>
          <w:color w:val="000000"/>
          <w:sz w:val="22"/>
          <w:szCs w:val="22"/>
        </w:rPr>
        <w:t xml:space="preserve">Western forest insects</w:t>
      </w:r>
      <w:r>
        <w:rPr>
          <w:rFonts w:ascii="Calibri" w:hAnsi="Calibri" w:eastAsia="Calibri" w:cs="Calibri"/>
          <w:color w:val="000000"/>
          <w:sz w:val="22"/>
          <w:szCs w:val="22"/>
        </w:rPr>
        <w:t xml:space="preserve">. Miscellaneous Publication No. </w:t>
      </w:r>
      <w:r>
        <w:rPr>
          <w:rFonts w:ascii="Calibri" w:hAnsi="Calibri" w:eastAsia="Calibri" w:cs="Calibri"/>
          <w:b/>
          <w:bCs/>
          <w:color w:val="000000"/>
          <w:sz w:val="22"/>
          <w:szCs w:val="22"/>
        </w:rPr>
        <w:t xml:space="preserve">1339</w:t>
      </w:r>
      <w:r>
        <w:rPr>
          <w:rFonts w:ascii="Calibri" w:hAnsi="Calibri" w:eastAsia="Calibri" w:cs="Calibri"/>
          <w:color w:val="000000"/>
          <w:sz w:val="22"/>
          <w:szCs w:val="22"/>
        </w:rPr>
        <w:t xml:space="preserve">.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Holsten EH, Hard J (1985) Efficacy of </w:t>
      </w:r>
      <w:r>
        <w:rPr>
          <w:rFonts w:ascii="Calibri" w:hAnsi="Calibri" w:eastAsia="Calibri" w:cs="Calibri"/>
          <w:i/>
          <w:iCs/>
          <w:color w:val="000000"/>
          <w:sz w:val="22"/>
          <w:szCs w:val="22"/>
        </w:rPr>
        <w:t xml:space="preserve">Bacillus thuringiensis</w:t>
      </w:r>
      <w:r>
        <w:rPr>
          <w:rFonts w:ascii="Calibri" w:hAnsi="Calibri" w:eastAsia="Calibri" w:cs="Calibri"/>
          <w:color w:val="000000"/>
          <w:sz w:val="22"/>
          <w:szCs w:val="22"/>
        </w:rPr>
        <w:t xml:space="preserve"> Berliner for suppressing populations of large aspen tortrix in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117</w:t>
      </w:r>
      <w:r>
        <w:rPr>
          <w:rFonts w:ascii="Calibri" w:hAnsi="Calibri" w:eastAsia="Calibri" w:cs="Calibri"/>
          <w:color w:val="000000"/>
          <w:sz w:val="22"/>
          <w:szCs w:val="22"/>
        </w:rPr>
        <w:t xml:space="preserve">, 587‒591.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Evenden ML (2008) Ecological applications of pheromone trapping of </w:t>
      </w:r>
      <w:r>
        <w:rPr>
          <w:rFonts w:ascii="Calibri" w:hAnsi="Calibri" w:eastAsia="Calibri" w:cs="Calibri"/>
          <w:i/>
          <w:iCs/>
          <w:color w:val="000000"/>
          <w:sz w:val="22"/>
          <w:szCs w:val="22"/>
        </w:rPr>
        <w:t xml:space="preserve">Malacosoma disstria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140</w:t>
      </w:r>
      <w:r>
        <w:rPr>
          <w:rFonts w:ascii="Calibri" w:hAnsi="Calibri" w:eastAsia="Calibri" w:cs="Calibri"/>
          <w:color w:val="000000"/>
          <w:sz w:val="22"/>
          <w:szCs w:val="22"/>
        </w:rPr>
        <w:t xml:space="preserve">(5), 573–581.</w:t>
      </w:r>
    </w:p>
    <w:p>
      <w:pPr>
        <w:widowControl w:val="on"/>
        <w:pBdr/>
        <w:spacing w:before="220" w:after="220" w:line="240" w:lineRule="auto"/>
        <w:ind w:left="0" w:right="0"/>
        <w:jc w:val="left"/>
      </w:pPr>
      <w:r>
        <w:rPr>
          <w:rFonts w:ascii="Calibri" w:hAnsi="Calibri" w:eastAsia="Calibri" w:cs="Calibri"/>
          <w:color w:val="000000"/>
          <w:sz w:val="22"/>
          <w:szCs w:val="22"/>
        </w:rPr>
        <w:t xml:space="preserve">Jones BC, Roland J, Evenden ML (2009) Development of a combined sex pheromone-based monitoring system for </w:t>
      </w:r>
      <w:r>
        <w:rPr>
          <w:rFonts w:ascii="Calibri" w:hAnsi="Calibri" w:eastAsia="Calibri" w:cs="Calibri"/>
          <w:i/>
          <w:iCs/>
          <w:color w:val="000000"/>
          <w:sz w:val="22"/>
          <w:szCs w:val="22"/>
        </w:rPr>
        <w:t xml:space="preserve">Malacosoma disstria </w:t>
      </w:r>
      <w:r>
        <w:rPr>
          <w:rFonts w:ascii="Calibri" w:hAnsi="Calibri" w:eastAsia="Calibri" w:cs="Calibri"/>
          <w:color w:val="000000"/>
          <w:sz w:val="22"/>
          <w:szCs w:val="22"/>
        </w:rPr>
        <w:t xml:space="preserve">(Lepidoptera: Lasiocampidae) and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38</w:t>
      </w:r>
      <w:r>
        <w:rPr>
          <w:rFonts w:ascii="Calibri" w:hAnsi="Calibri" w:eastAsia="Calibri" w:cs="Calibri"/>
          <w:color w:val="000000"/>
          <w:sz w:val="22"/>
          <w:szCs w:val="22"/>
        </w:rPr>
        <w:t xml:space="preserve">(2), 459–471.</w:t>
      </w:r>
    </w:p>
    <w:p>
      <w:pPr>
        <w:widowControl w:val="on"/>
        <w:pBdr/>
        <w:spacing w:before="220" w:after="220" w:line="240" w:lineRule="auto"/>
        <w:ind w:left="0" w:right="0"/>
        <w:jc w:val="left"/>
      </w:pPr>
      <w:r>
        <w:rPr>
          <w:rFonts w:ascii="Calibri" w:hAnsi="Calibri" w:eastAsia="Calibri" w:cs="Calibri"/>
          <w:color w:val="000000"/>
          <w:sz w:val="22"/>
          <w:szCs w:val="22"/>
        </w:rPr>
        <w:t xml:space="preserve">MacKay MR (1962) Larvae of the North American Tortricinae (Lepidoptera: Tortricinae). </w:t>
      </w:r>
      <w:r>
        <w:rPr>
          <w:rFonts w:ascii="Calibri" w:hAnsi="Calibri" w:eastAsia="Calibri" w:cs="Calibri"/>
          <w:i/>
          <w:iCs/>
          <w:color w:val="000000"/>
          <w:sz w:val="22"/>
          <w:szCs w:val="22"/>
        </w:rPr>
        <w:t xml:space="preserve">Canadian Entomologist Supplement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28</w:t>
      </w:r>
      <w:r>
        <w:rPr>
          <w:rFonts w:ascii="Calibri" w:hAnsi="Calibri" w:eastAsia="Calibri" w:cs="Calibri"/>
          <w:color w:val="000000"/>
          <w:sz w:val="22"/>
          <w:szCs w:val="22"/>
        </w:rPr>
        <w:t xml:space="preserve">, 182 pp.</w:t>
      </w:r>
    </w:p>
    <w:p>
      <w:pPr>
        <w:widowControl w:val="on"/>
        <w:pBdr/>
        <w:spacing w:before="220" w:after="220" w:line="240" w:lineRule="auto"/>
        <w:ind w:left="0" w:right="0"/>
        <w:jc w:val="left"/>
      </w:pPr>
      <w:r>
        <w:rPr>
          <w:rFonts w:ascii="Calibri" w:hAnsi="Calibri" w:eastAsia="Calibri" w:cs="Calibri"/>
          <w:color w:val="000000"/>
          <w:sz w:val="22"/>
          <w:szCs w:val="22"/>
        </w:rPr>
        <w:t xml:space="preserve">Meyrick E (1913) Family Tortricidae.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P. Wytsman, ed., Genera Insectorum, Lepidoptera, Heterocera 149, 81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(1964). Biological and taxonomic studies on tortricine moths, with reference to the species in California. </w:t>
      </w:r>
      <w:r>
        <w:rPr>
          <w:rFonts w:ascii="Calibri" w:hAnsi="Calibri" w:eastAsia="Calibri" w:cs="Calibri"/>
          <w:i/>
          <w:iCs/>
          <w:color w:val="000000"/>
          <w:sz w:val="22"/>
          <w:szCs w:val="22"/>
        </w:rPr>
        <w:t xml:space="preserve">University of California Publications in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32</w:t>
      </w:r>
      <w:r>
        <w:rPr>
          <w:rFonts w:ascii="Calibri" w:hAnsi="Calibri" w:eastAsia="Calibri" w:cs="Calibri"/>
          <w:color w:val="000000"/>
          <w:sz w:val="22"/>
          <w:szCs w:val="22"/>
        </w:rPr>
        <w:t xml:space="preserve">, 317 pp.</w:t>
      </w:r>
    </w:p>
    <w:p>
      <w:pPr>
        <w:widowControl w:val="on"/>
        <w:pBdr/>
        <w:spacing w:before="220" w:after="220" w:line="240" w:lineRule="auto"/>
        <w:ind w:left="0" w:right="0"/>
        <w:jc w:val="left"/>
      </w:pPr>
      <w:r>
        <w:rPr>
          <w:rFonts w:ascii="Calibri" w:hAnsi="Calibri" w:eastAsia="Calibri" w:cs="Calibri"/>
          <w:color w:val="000000"/>
          <w:sz w:val="22"/>
          <w:szCs w:val="22"/>
        </w:rPr>
        <w:t xml:space="preserve">Powell JA (1983) Tortricoidea, pp. 31–42. </w:t>
      </w:r>
      <w:r>
        <w:rPr>
          <w:rFonts w:ascii="Calibri" w:hAnsi="Calibri" w:eastAsia="Calibri" w:cs="Calibri"/>
          <w:i/>
          <w:iCs/>
          <w:color w:val="000000"/>
          <w:sz w:val="22"/>
          <w:szCs w:val="22"/>
        </w:rPr>
        <w:t xml:space="preserve">In</w:t>
      </w:r>
      <w:r>
        <w:rPr>
          <w:rFonts w:ascii="Calibri" w:hAnsi="Calibri" w:eastAsia="Calibri" w:cs="Calibri"/>
          <w:color w:val="000000"/>
          <w:sz w:val="22"/>
          <w:szCs w:val="22"/>
        </w:rPr>
        <w:t xml:space="preserve"> R. W. Hodges, ed., Check list of the Lepidoptera of America north of Mexico. E. W. Classey, Ltd., and Wedge Entomological Research Foundation,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(1955) The life history and some aspects of the ecology of the large aspen tortrix,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(Wlkr.) (n. comb.) (Lepidoptera: Tortricidae).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87</w:t>
      </w:r>
      <w:r>
        <w:rPr>
          <w:rFonts w:ascii="Calibri" w:hAnsi="Calibri" w:eastAsia="Calibri" w:cs="Calibri"/>
          <w:color w:val="000000"/>
          <w:sz w:val="22"/>
          <w:szCs w:val="22"/>
        </w:rPr>
        <w:t xml:space="preserve">, 461‒473.</w:t>
      </w:r>
    </w:p>
    <w:p>
      <w:pPr>
        <w:widowControl w:val="on"/>
        <w:pBdr/>
        <w:spacing w:before="220" w:after="220" w:line="240" w:lineRule="auto"/>
        <w:ind w:left="0" w:right="0"/>
        <w:jc w:val="left"/>
      </w:pPr>
      <w:r>
        <w:rPr>
          <w:rFonts w:ascii="Calibri" w:hAnsi="Calibri" w:eastAsia="Calibri" w:cs="Calibri"/>
          <w:color w:val="000000"/>
          <w:sz w:val="22"/>
          <w:szCs w:val="22"/>
        </w:rPr>
        <w:t xml:space="preserve">Prentice RM (1966) Volume 4. Microlepidoptera. In: Forest Lepidoptera of Canada recorded by the Forest Insect Survey. Department of Forestry, Canada, Publ. </w:t>
      </w:r>
      <w:r>
        <w:rPr>
          <w:rFonts w:ascii="Calibri" w:hAnsi="Calibri" w:eastAsia="Calibri" w:cs="Calibri"/>
          <w:b/>
          <w:bCs/>
          <w:color w:val="000000"/>
          <w:sz w:val="22"/>
          <w:szCs w:val="22"/>
        </w:rPr>
        <w:t xml:space="preserve">1142</w:t>
      </w:r>
      <w:r>
        <w:rPr>
          <w:rFonts w:ascii="Calibri" w:hAnsi="Calibri" w:eastAsia="Calibri" w:cs="Calibri"/>
          <w:color w:val="000000"/>
          <w:sz w:val="22"/>
          <w:szCs w:val="22"/>
        </w:rPr>
        <w:t xml:space="preserve"> (1965), 543–840.</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(1950) Butterflies and moths. Order Lepidoptera, p. 343‒505. In: Craighead (ed.), Insect enemies of eastern forests. USDA Miscellaneous Publications </w:t>
      </w:r>
      <w:r>
        <w:rPr>
          <w:rFonts w:ascii="Calibri" w:hAnsi="Calibri" w:eastAsia="Calibri" w:cs="Calibri"/>
          <w:b/>
          <w:bCs/>
          <w:color w:val="000000"/>
          <w:sz w:val="22"/>
          <w:szCs w:val="22"/>
        </w:rPr>
        <w:t xml:space="preserve">657</w:t>
      </w:r>
      <w:r>
        <w:rPr>
          <w:rFonts w:ascii="Calibri" w:hAnsi="Calibri" w:eastAsia="Calibri" w:cs="Calibri"/>
          <w:color w:val="000000"/>
          <w:sz w:val="22"/>
          <w:szCs w:val="22"/>
        </w:rPr>
        <w:t xml:space="preserve">.</w:t>
      </w:r>
    </w:p>
    <w:p>
      <w:pPr>
        <w:widowControl w:val="on"/>
        <w:pBdr/>
        <w:spacing w:before="220" w:after="220" w:line="240" w:lineRule="auto"/>
        <w:ind w:left="0" w:right="0"/>
        <w:jc w:val="left"/>
      </w:pPr>
      <w:r>
        <w:rPr>
          <w:rFonts w:ascii="Calibri" w:hAnsi="Calibri" w:eastAsia="Calibri" w:cs="Calibri"/>
          <w:color w:val="000000"/>
          <w:sz w:val="22"/>
          <w:szCs w:val="22"/>
        </w:rPr>
        <w:t xml:space="preserve">Schaffner JV (1959) Microlepidoptera and their parasites reared from field collections in the northeastern United States. USDA Miscellaneous Publications </w:t>
      </w:r>
      <w:r>
        <w:rPr>
          <w:rFonts w:ascii="Calibri" w:hAnsi="Calibri" w:eastAsia="Calibri" w:cs="Calibri"/>
          <w:b/>
          <w:bCs/>
          <w:color w:val="000000"/>
          <w:sz w:val="22"/>
          <w:szCs w:val="22"/>
        </w:rPr>
        <w:t xml:space="preserve">767</w:t>
      </w:r>
      <w:r>
        <w:rPr>
          <w:rFonts w:ascii="Calibri" w:hAnsi="Calibri" w:eastAsia="Calibri" w:cs="Calibri"/>
          <w:color w:val="000000"/>
          <w:sz w:val="22"/>
          <w:szCs w:val="22"/>
        </w:rPr>
        <w:t xml:space="preserve">, 97 p.</w:t>
      </w:r>
    </w:p>
    <w:p>
      <w:pPr>
        <w:widowControl w:val="on"/>
        <w:pBdr/>
        <w:spacing w:before="220" w:after="220" w:line="240" w:lineRule="auto"/>
        <w:ind w:left="0" w:right="0"/>
        <w:jc w:val="left"/>
      </w:pPr>
      <w:r>
        <w:rPr>
          <w:rFonts w:ascii="Calibri" w:hAnsi="Calibri" w:eastAsia="Calibri" w:cs="Calibri"/>
          <w:color w:val="000000"/>
          <w:sz w:val="22"/>
          <w:szCs w:val="22"/>
        </w:rPr>
        <w:t xml:space="preserve">Thomas JB (1978) A review of the economic impact of insects on the genus </w:t>
      </w:r>
      <w:r>
        <w:rPr>
          <w:rFonts w:ascii="Calibri" w:hAnsi="Calibri" w:eastAsia="Calibri" w:cs="Calibri"/>
          <w:i/>
          <w:iCs/>
          <w:color w:val="000000"/>
          <w:sz w:val="22"/>
          <w:szCs w:val="22"/>
        </w:rPr>
        <w:t xml:space="preserve">Populus</w:t>
      </w:r>
      <w:r>
        <w:rPr>
          <w:rFonts w:ascii="Calibri" w:hAnsi="Calibri" w:eastAsia="Calibri" w:cs="Calibri"/>
          <w:color w:val="000000"/>
          <w:sz w:val="22"/>
          <w:szCs w:val="22"/>
        </w:rPr>
        <w:t xml:space="preserve"> in Ontario. </w:t>
      </w:r>
      <w:r>
        <w:rPr>
          <w:rFonts w:ascii="Calibri" w:hAnsi="Calibri" w:eastAsia="Calibri" w:cs="Calibri"/>
          <w:i/>
          <w:iCs/>
          <w:color w:val="000000"/>
          <w:sz w:val="22"/>
          <w:szCs w:val="22"/>
        </w:rPr>
        <w:t xml:space="preserve">Report, Great Lakes Forest Research Centre, Canada</w:t>
      </w:r>
      <w:r>
        <w:rPr>
          <w:rFonts w:ascii="Calibri" w:hAnsi="Calibri" w:eastAsia="Calibri" w:cs="Calibri"/>
          <w:color w:val="000000"/>
          <w:sz w:val="22"/>
          <w:szCs w:val="22"/>
        </w:rPr>
        <w:t xml:space="preserve">, No. O-X-271, 45 pp.</w:t>
      </w:r>
    </w:p>
    <w:p>
      <w:pPr>
        <w:widowControl w:val="on"/>
        <w:pBdr/>
        <w:spacing w:before="220" w:after="220" w:line="240" w:lineRule="auto"/>
        <w:ind w:left="0" w:right="0"/>
        <w:jc w:val="left"/>
      </w:pPr>
      <w:r>
        <w:rPr>
          <w:rFonts w:ascii="Calibri" w:hAnsi="Calibri" w:eastAsia="Calibri" w:cs="Calibri"/>
          <w:color w:val="000000"/>
          <w:sz w:val="22"/>
          <w:szCs w:val="22"/>
        </w:rPr>
        <w:t xml:space="preserve">Torgersen TR, Beckwith RC (1974) Parasitoids associated with the large aspen tortrix, </w:t>
      </w:r>
      <w:r>
        <w:rPr>
          <w:rFonts w:ascii="Calibri" w:hAnsi="Calibri" w:eastAsia="Calibri" w:cs="Calibri"/>
          <w:i/>
          <w:iCs/>
          <w:color w:val="000000"/>
          <w:sz w:val="22"/>
          <w:szCs w:val="22"/>
        </w:rPr>
        <w:t xml:space="preserve">Choristoneura conflictana </w:t>
      </w:r>
      <w:r>
        <w:rPr>
          <w:rFonts w:ascii="Calibri" w:hAnsi="Calibri" w:eastAsia="Calibri" w:cs="Calibri"/>
          <w:color w:val="000000"/>
          <w:sz w:val="22"/>
          <w:szCs w:val="22"/>
        </w:rPr>
        <w:t xml:space="preserve">(Lepidoptera: Tortricidae), in interior Alaska. </w:t>
      </w:r>
      <w:r>
        <w:rPr>
          <w:rFonts w:ascii="Calibri" w:hAnsi="Calibri" w:eastAsia="Calibri" w:cs="Calibri"/>
          <w:i/>
          <w:iCs/>
          <w:color w:val="000000"/>
          <w:sz w:val="22"/>
          <w:szCs w:val="22"/>
        </w:rPr>
        <w:t xml:space="preserve">Canadian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106</w:t>
      </w:r>
      <w:r>
        <w:rPr>
          <w:rFonts w:ascii="Calibri" w:hAnsi="Calibri" w:eastAsia="Calibri" w:cs="Calibri"/>
          <w:color w:val="000000"/>
          <w:sz w:val="22"/>
          <w:szCs w:val="22"/>
        </w:rPr>
        <w:t xml:space="preserve">, 1247-1265.</w:t>
      </w:r>
    </w:p>
    <w:p>
      <w:pPr>
        <w:widowControl w:val="on"/>
        <w:pBdr/>
        <w:spacing w:before="220" w:after="220" w:line="240" w:lineRule="auto"/>
        <w:ind w:left="0" w:right="0"/>
        <w:jc w:val="left"/>
      </w:pPr>
      <w:r>
        <w:rPr>
          <w:rFonts w:ascii="Calibri" w:hAnsi="Calibri" w:eastAsia="Calibri" w:cs="Calibri"/>
          <w:color w:val="000000"/>
          <w:sz w:val="22"/>
          <w:szCs w:val="22"/>
        </w:rPr>
        <w:t xml:space="preserve">USDA (1979) </w:t>
      </w:r>
      <w:r>
        <w:rPr>
          <w:rFonts w:ascii="Calibri" w:hAnsi="Calibri" w:eastAsia="Calibri" w:cs="Calibri"/>
          <w:i/>
          <w:iCs/>
          <w:color w:val="000000"/>
          <w:sz w:val="22"/>
          <w:szCs w:val="22"/>
        </w:rPr>
        <w:t xml:space="preserve">A guide to common insects and diseases of forest trees in the </w:t>
      </w:r>
      <w:r>
        <w:rPr>
          <w:rFonts w:ascii="Calibri" w:hAnsi="Calibri" w:eastAsia="Calibri" w:cs="Calibri"/>
          <w:i/>
          <w:iCs/>
          <w:color w:val="000000"/>
          <w:sz w:val="22"/>
          <w:szCs w:val="22"/>
        </w:rPr>
        <w:t xml:space="preserve">Northeastern United States</w:t>
      </w:r>
      <w:r>
        <w:rPr>
          <w:rFonts w:ascii="Calibri" w:hAnsi="Calibri" w:eastAsia="Calibri" w:cs="Calibri"/>
          <w:color w:val="000000"/>
          <w:sz w:val="22"/>
          <w:szCs w:val="22"/>
        </w:rPr>
        <w:t xml:space="preserve">, p. 7. Forest Service, USDA, Washington, USA.</w:t>
      </w:r>
    </w:p>
    <w:p>
      <w:pPr>
        <w:widowControl w:val="on"/>
        <w:pBdr/>
        <w:spacing w:before="220" w:after="220" w:line="240" w:lineRule="auto"/>
        <w:ind w:left="0" w:right="0"/>
        <w:jc w:val="left"/>
      </w:pPr>
      <w:r>
        <w:rPr>
          <w:rFonts w:ascii="Calibri" w:hAnsi="Calibri" w:eastAsia="Calibri" w:cs="Calibri"/>
          <w:color w:val="000000"/>
          <w:sz w:val="22"/>
          <w:szCs w:val="22"/>
        </w:rPr>
        <w:t xml:space="preserve">Walker F (1863) List of specimens of lepidopterous insects in the collection of the British Museum, part. 28, Tortricites and Tineites: 287-561. London.</w:t>
      </w:r>
    </w:p>
    <w:p>
      <w:pPr>
        <w:widowControl w:val="on"/>
        <w:pBdr/>
        <w:spacing w:before="220" w:after="220" w:line="240" w:lineRule="auto"/>
        <w:ind w:left="0" w:right="0"/>
        <w:jc w:val="left"/>
      </w:pPr>
      <w:r>
        <w:rPr>
          <w:rFonts w:ascii="Calibri" w:hAnsi="Calibri" w:eastAsia="Calibri" w:cs="Calibri"/>
          <w:color w:val="000000"/>
          <w:sz w:val="22"/>
          <w:szCs w:val="22"/>
        </w:rPr>
        <w:t xml:space="preserve">Walsingham Lord T. de G (1879) Illustrations of typical specimens of Lepidoptera Heterocera in the collection of the British Museum, vol. 4, North American Tortricidae. British Museum, London, 84 pp.</w:t>
      </w:r>
    </w:p>
    <w:p>
      <w:pPr>
        <w:widowControl w:val="on"/>
        <w:pBdr/>
        <w:spacing w:before="220" w:after="220" w:line="240" w:lineRule="auto"/>
        <w:ind w:left="0" w:right="0"/>
        <w:jc w:val="left"/>
      </w:pPr>
      <w:r>
        <w:rPr>
          <w:rFonts w:ascii="Calibri" w:hAnsi="Calibri" w:eastAsia="Calibri" w:cs="Calibri"/>
          <w:color w:val="000000"/>
          <w:sz w:val="22"/>
          <w:szCs w:val="22"/>
        </w:rPr>
        <w:t xml:space="preserve">Werner RA, Wheatherston J (1980) A synthetic sex pheromone for the large aspen tortrix in Alaska. Research Note PNW-RN-354. Portland, OR, U.S. Department of Agriculture, Forest Service, Pacific Northwest Forest and Range Experiment Station, 4 pp.</w:t>
      </w:r>
    </w:p>
    <w:p>
      <w:pPr>
        <w:widowControl w:val="on"/>
        <w:pBdr/>
        <w:spacing w:before="220" w:after="220" w:line="240" w:lineRule="auto"/>
        <w:ind w:left="0" w:right="0"/>
        <w:jc w:val="left"/>
      </w:pPr>
      <w:r>
        <w:rPr>
          <w:rFonts w:ascii="Calibri" w:hAnsi="Calibri" w:eastAsia="Calibri" w:cs="Calibri"/>
          <w:color w:val="000000"/>
          <w:sz w:val="22"/>
          <w:szCs w:val="22"/>
        </w:rPr>
        <w:t xml:space="preserve">Wheatherston I (1976) Alternatives in forest pest control. Is the use of the sex pheromone a viable method for the control of pest Lepidoptera? In: </w:t>
      </w:r>
      <w:r>
        <w:rPr>
          <w:rFonts w:ascii="Calibri" w:hAnsi="Calibri" w:eastAsia="Calibri" w:cs="Calibri"/>
          <w:i/>
          <w:iCs/>
          <w:color w:val="000000"/>
          <w:sz w:val="22"/>
          <w:szCs w:val="22"/>
        </w:rPr>
        <w:t xml:space="preserve">Les phéromones sexuelles des Lépidoptères</w:t>
      </w:r>
      <w:r>
        <w:rPr>
          <w:rFonts w:ascii="Calibri" w:hAnsi="Calibri" w:eastAsia="Calibri" w:cs="Calibri"/>
          <w:color w:val="000000"/>
          <w:sz w:val="22"/>
          <w:szCs w:val="22"/>
        </w:rPr>
        <w:t xml:space="preserve">, pp. 51-57. INRA, Bordeaux, France.</w:t>
      </w:r>
    </w:p>
    <w:p>
      <w:pPr>
        <w:widowControl w:val="on"/>
        <w:pBdr/>
        <w:spacing w:before="220" w:after="220" w:line="240" w:lineRule="auto"/>
        <w:ind w:left="0" w:right="0"/>
        <w:jc w:val="left"/>
      </w:pPr>
      <w:r>
        <w:rPr>
          <w:rFonts w:ascii="Calibri" w:hAnsi="Calibri" w:eastAsia="Calibri" w:cs="Calibri"/>
          <w:color w:val="000000"/>
          <w:sz w:val="22"/>
          <w:szCs w:val="22"/>
        </w:rPr>
        <w:t xml:space="preserve">Witter JA, Waisanen LA (1978) The effect of differential flushing times among trembling aspen clones on tortricid caterpillar populations. </w:t>
      </w:r>
      <w:r>
        <w:rPr>
          <w:rFonts w:ascii="Calibri" w:hAnsi="Calibri" w:eastAsia="Calibri" w:cs="Calibri"/>
          <w:i/>
          <w:iCs/>
          <w:color w:val="000000"/>
          <w:sz w:val="22"/>
          <w:szCs w:val="22"/>
        </w:rPr>
        <w:t xml:space="preserve">Environmental Entomology</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w:t>
      </w:r>
      <w:r>
        <w:rPr>
          <w:rFonts w:ascii="Calibri" w:hAnsi="Calibri" w:eastAsia="Calibri" w:cs="Calibri"/>
          <w:color w:val="000000"/>
          <w:sz w:val="22"/>
          <w:szCs w:val="22"/>
        </w:rPr>
        <w:t xml:space="preserve">, 139-143.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0" w:after="0" w:line="240" w:lineRule="auto"/>
        <w:ind w:left="0" w:right="0"/>
        <w:jc w:val="left"/>
      </w:pPr>
      <w:r>
        <w:rPr>
          <w:rFonts w:ascii="Calibri" w:hAnsi="Calibri" w:eastAsia="Calibri" w:cs="Calibri"/>
          <w:color w:val="000000"/>
          <w:sz w:val="22"/>
          <w:szCs w:val="22"/>
        </w:rPr>
        <w:t xml:space="preserve">This datasheet was extensively revised in 2022 by John W. Brown, National Museum of Natural History, Smithsonian Institution, Washington, DC, USA.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Choristoneura conflictana</w:t>
      </w:r>
      <w:r>
        <w:rPr>
          <w:rFonts w:ascii="Calibri" w:hAnsi="Calibri" w:eastAsia="Calibri" w:cs="Calibri"/>
          <w:color w:val="000000"/>
          <w:sz w:val="22"/>
          <w:szCs w:val="22"/>
        </w:rPr>
        <w:t xml:space="preserve">. EPPO datasheets on pests recommended for regulation. Available online. </w:t>
      </w:r>
      <w:hyperlink r:id="rId4402662baed808afb"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left"/>
      </w:pPr>
      <w:r>
        <w:rPr>
          <w:rFonts w:ascii="Calibri" w:hAnsi="Calibri" w:eastAsia="Calibri" w:cs="Calibri"/>
          <w:color w:val="000000"/>
          <w:sz w:val="22"/>
          <w:szCs w:val="22"/>
        </w:rPr>
        <w:t xml:space="preserve">This datasheet was first published in 1997 in the second edition of 'Quarantine Pests for Europe', and revised in 2022.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left"/>
      </w:pPr>
      <w:r>
        <w:rPr>
          <w:rFonts w:ascii="Calibri" w:hAnsi="Calibri" w:eastAsia="Calibri" w:cs="Calibri"/>
          <w:color w:val="000000"/>
          <w:sz w:val="22"/>
          <w:szCs w:val="22"/>
        </w:rPr>
        <w:t xml:space="preserve">CABI/EPPO (1997) </w:t>
      </w:r>
      <w:r>
        <w:rPr>
          <w:rFonts w:ascii="Calibri" w:hAnsi="Calibri" w:eastAsia="Calibri" w:cs="Calibri"/>
          <w:i/>
          <w:iCs/>
          <w:color w:val="000000"/>
          <w:sz w:val="22"/>
          <w:szCs w:val="22"/>
        </w:rPr>
        <w:t xml:space="preserve">Quarantine Pests for Europe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53337031" name="name7101662baed808d6d"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7669662baed808d6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82632596">
    <w:multiLevelType w:val="hybridMultilevel"/>
    <w:lvl w:ilvl="0" w:tplc="46645434">
      <w:start w:val="1"/>
      <w:numFmt w:val="decimal"/>
      <w:lvlText w:val="%1."/>
      <w:lvlJc w:val="left"/>
      <w:pPr>
        <w:ind w:left="720" w:hanging="360"/>
      </w:pPr>
    </w:lvl>
    <w:lvl w:ilvl="1" w:tplc="46645434" w:tentative="1">
      <w:start w:val="1"/>
      <w:numFmt w:val="lowerLetter"/>
      <w:lvlText w:val="%2."/>
      <w:lvlJc w:val="left"/>
      <w:pPr>
        <w:ind w:left="1440" w:hanging="360"/>
      </w:pPr>
    </w:lvl>
    <w:lvl w:ilvl="2" w:tplc="46645434" w:tentative="1">
      <w:start w:val="1"/>
      <w:numFmt w:val="lowerRoman"/>
      <w:lvlText w:val="%3."/>
      <w:lvlJc w:val="right"/>
      <w:pPr>
        <w:ind w:left="2160" w:hanging="180"/>
      </w:pPr>
    </w:lvl>
    <w:lvl w:ilvl="3" w:tplc="46645434" w:tentative="1">
      <w:start w:val="1"/>
      <w:numFmt w:val="decimal"/>
      <w:lvlText w:val="%4."/>
      <w:lvlJc w:val="left"/>
      <w:pPr>
        <w:ind w:left="2880" w:hanging="360"/>
      </w:pPr>
    </w:lvl>
    <w:lvl w:ilvl="4" w:tplc="46645434" w:tentative="1">
      <w:start w:val="1"/>
      <w:numFmt w:val="lowerLetter"/>
      <w:lvlText w:val="%5."/>
      <w:lvlJc w:val="left"/>
      <w:pPr>
        <w:ind w:left="3600" w:hanging="360"/>
      </w:pPr>
    </w:lvl>
    <w:lvl w:ilvl="5" w:tplc="46645434" w:tentative="1">
      <w:start w:val="1"/>
      <w:numFmt w:val="lowerRoman"/>
      <w:lvlText w:val="%6."/>
      <w:lvlJc w:val="right"/>
      <w:pPr>
        <w:ind w:left="4320" w:hanging="180"/>
      </w:pPr>
    </w:lvl>
    <w:lvl w:ilvl="6" w:tplc="46645434" w:tentative="1">
      <w:start w:val="1"/>
      <w:numFmt w:val="decimal"/>
      <w:lvlText w:val="%7."/>
      <w:lvlJc w:val="left"/>
      <w:pPr>
        <w:ind w:left="5040" w:hanging="360"/>
      </w:pPr>
    </w:lvl>
    <w:lvl w:ilvl="7" w:tplc="46645434" w:tentative="1">
      <w:start w:val="1"/>
      <w:numFmt w:val="lowerLetter"/>
      <w:lvlText w:val="%8."/>
      <w:lvlJc w:val="left"/>
      <w:pPr>
        <w:ind w:left="5760" w:hanging="360"/>
      </w:pPr>
    </w:lvl>
    <w:lvl w:ilvl="8" w:tplc="46645434" w:tentative="1">
      <w:start w:val="1"/>
      <w:numFmt w:val="lowerRoman"/>
      <w:lvlText w:val="%9."/>
      <w:lvlJc w:val="right"/>
      <w:pPr>
        <w:ind w:left="6480" w:hanging="180"/>
      </w:pPr>
    </w:lvl>
  </w:abstractNum>
  <w:abstractNum w:abstractNumId="82632595">
    <w:multiLevelType w:val="hybridMultilevel"/>
    <w:lvl w:ilvl="0" w:tplc="779647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82632595">
    <w:abstractNumId w:val="82632595"/>
  </w:num>
  <w:num w:numId="82632596">
    <w:abstractNumId w:val="82632596"/>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653593396" Type="http://schemas.microsoft.com/office/2011/relationships/commentsExtended" Target="commentsExtended.xml"/><Relationship Id="rId398739562" Type="http://schemas.microsoft.com/office/2011/relationships/people" Target="people.xml"/><Relationship Id="rId5903662baed805e69" Type="http://schemas.openxmlformats.org/officeDocument/2006/relationships/hyperlink" Target="https://gd.eppo.int/taxon/ARCHCO/" TargetMode="External"/><Relationship Id="rId3334662baed805ee5" Type="http://schemas.openxmlformats.org/officeDocument/2006/relationships/hyperlink" Target="https://gd.eppo.int/taxon/ARCHCO/categorization" TargetMode="External"/><Relationship Id="rId7894662baed806390" Type="http://schemas.openxmlformats.org/officeDocument/2006/relationships/hyperlink" Target="https://gd.eppo.int/taxon/ARCHCO/photos" TargetMode="External"/><Relationship Id="rId1638662baed807ee8" Type="http://schemas.openxmlformats.org/officeDocument/2006/relationships/hyperlink" Target="https://wiki.bugwood.org/HPIPM:Choristoneura_conflictana" TargetMode="External"/><Relationship Id="rId6923662baed8080d1" Type="http://schemas.openxmlformats.org/officeDocument/2006/relationships/hyperlink" Target="https://doi.org/10.1007/s00049-006-0336-x" TargetMode="External"/><Relationship Id="rId4402662baed808afb" Type="http://schemas.openxmlformats.org/officeDocument/2006/relationships/hyperlink" Target="https://gd.eppo.int" TargetMode="External"/><Relationship Id="rId7809662baed806286" Type="http://schemas.openxmlformats.org/officeDocument/2006/relationships/image" Target="media/imgrId7809662baed806286.jpg"/><Relationship Id="rId2635662baed807208" Type="http://schemas.openxmlformats.org/officeDocument/2006/relationships/image" Target="media/imgrId2635662baed807208.jpg"/><Relationship Id="rId7669662baed808d6b" Type="http://schemas.openxmlformats.org/officeDocument/2006/relationships/image" Target="media/imgrId7669662baed808d6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