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germari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2019-06-27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germari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cribata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germarii</w:t>
            </w:r>
            <w:r>
              <w:rPr>
                <w:rFonts w:ascii="Calibri" w:hAnsi="Calibri" w:eastAsia="Calibri" w:cs="Calibri"/>
                <w:color w:val="000000"/>
                <w:position w:val="-3"/>
                <w:sz w:val="22"/>
                <w:szCs w:val="22"/>
              </w:rPr>
              <w:t xml:space="preserve"> (Hope), </w:t>
            </w:r>
            <w:r>
              <w:rPr>
                <w:rFonts w:ascii="Calibri" w:hAnsi="Calibri" w:eastAsia="Calibri" w:cs="Calibri"/>
                <w:i/>
                <w:iCs/>
                <w:color w:val="000000"/>
                <w:position w:val="-3"/>
                <w:sz w:val="22"/>
                <w:szCs w:val="22"/>
              </w:rPr>
              <w:t xml:space="preserve">Lamia germari</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mulberry longhorn beetle, jackfruit longhorn beetle, longhorn stem borer, mulberry longicorn beetle</w:t>
            </w:r>
            <w:hyperlink r:id="rId59016a22295c52b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966a22295c52c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APRIGE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2963076" name="name55846a22295c52d08" descr="3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8.jpg"/>
                          <pic:cNvPicPr/>
                        </pic:nvPicPr>
                        <pic:blipFill>
                          <a:blip r:embed="rId43396a22295c52d07" cstate="print"/>
                          <a:stretch>
                            <a:fillRect/>
                          </a:stretch>
                        </pic:blipFill>
                        <pic:spPr>
                          <a:xfrm>
                            <a:off x="0" y="0"/>
                            <a:ext cx="2160000" cy="1209600"/>
                          </a:xfrm>
                          <a:prstGeom prst="rect">
                            <a:avLst/>
                          </a:prstGeom>
                          <a:ln w="0">
                            <a:noFill/>
                          </a:ln>
                        </pic:spPr>
                      </pic:pic>
                    </a:graphicData>
                  </a:graphic>
                </wp:inline>
              </w:drawing>
            </w:r>
            <w:hyperlink r:id="rId29126a22295c52e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include plants from nineteen families and thirty-six genera of plants such as Salicaceae, Moraceae, Ulmaceae and Rosaceae (Wang Yongjun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The following hosts are the most reported in the literature: mulberry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 poplar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willow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apple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paper mulberry (</w:t>
      </w:r>
      <w:r>
        <w:rPr>
          <w:rFonts w:ascii="Calibri" w:hAnsi="Calibri" w:eastAsia="Calibri" w:cs="Calibri"/>
          <w:i/>
          <w:iCs/>
          <w:color w:val="000000"/>
          <w:sz w:val="22"/>
          <w:szCs w:val="22"/>
        </w:rPr>
        <w:t xml:space="preserve">Broussonetia </w:t>
      </w:r>
      <w:r>
        <w:rPr>
          <w:rFonts w:ascii="Calibri" w:hAnsi="Calibri" w:eastAsia="Calibri" w:cs="Calibri"/>
          <w:i/>
          <w:iCs/>
          <w:color w:val="000000"/>
          <w:sz w:val="22"/>
          <w:szCs w:val="22"/>
        </w:rPr>
        <w:t xml:space="preserve">papyrifera</w:t>
      </w:r>
      <w:r>
        <w:rPr>
          <w:rFonts w:ascii="Calibri" w:hAnsi="Calibri" w:eastAsia="Calibri" w:cs="Calibri"/>
          <w:color w:val="000000"/>
          <w:sz w:val="22"/>
          <w:szCs w:val="22"/>
        </w:rPr>
        <w:t xml:space="preserve">), jackfruit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and pagoda tree (</w:t>
      </w:r>
      <w:r>
        <w:rPr>
          <w:rFonts w:ascii="Calibri" w:hAnsi="Calibri" w:eastAsia="Calibri" w:cs="Calibri"/>
          <w:i/>
          <w:iCs/>
          <w:color w:val="000000"/>
          <w:sz w:val="22"/>
          <w:szCs w:val="22"/>
        </w:rPr>
        <w:t xml:space="preserve">Sophora japonica</w:t>
      </w:r>
      <w:r>
        <w:rPr>
          <w:rFonts w:ascii="Calibri" w:hAnsi="Calibri" w:eastAsia="Calibri" w:cs="Calibri"/>
          <w:color w:val="000000"/>
          <w:sz w:val="22"/>
          <w:szCs w:val="22"/>
        </w:rPr>
        <w:t xml:space="preserve">). It should also be noted that the host range has two elements: the species on which larvae can develop to maturity and the species on which adults carry out their maturation feeding. Mulberry, paper mulberry and wolfberry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are considered the main trees for maturation feeding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kazinoki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macroura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although Japan is mentioned in several publications on </w:t>
      </w:r>
      <w:r>
        <w:rPr>
          <w:rFonts w:ascii="Calibri" w:hAnsi="Calibri" w:eastAsia="Calibri" w:cs="Calibri"/>
          <w:i/>
          <w:iCs/>
          <w:color w:val="000000"/>
          <w:sz w:val="22"/>
          <w:szCs w:val="22"/>
        </w:rPr>
        <w:t xml:space="preserve">A. germar</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it seems that this pest is not present in that country, but that there may be confusion with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w:t>
      </w:r>
    </w:p>
    <w:p>
      <w:r>
        <w:drawing>
          <wp:inline distT="0" distB="0" distL="0" distR="0">
            <wp:extent cx="6120000" cy="3067200"/>
            <wp:docPr id="95085778" name="name64046a22295c5411c" descr="APRIG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GE_distribution_map.jpg"/>
                    <pic:cNvPicPr/>
                  </pic:nvPicPr>
                  <pic:blipFill>
                    <a:blip r:embed="rId24286a22295c541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(Aomen (Macau), Hainan, Yunnan), India (Arunachal Pradesh, Meghalaya, Nagaland, Sikkim, Uttarakhand), Lao People's Democratic Republic, Myanmar, Nepal,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length of the lifecycle varies with climate and latitude. The further north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is found, the longer it takes for a generation to develop. It is considered that a single generation takes 2–3 years to develop. Adults emerge between July and October. Females mate and lay eggs 10–15 days after emergence. Eggs are laid under the bark, in oviposition slits chewed out by the female. Larvae feed first in the sapwood and then bore into the heartwood, with small frass expulsion holes made through the bark. Several larvae may be present in the same tree. The overwintering stage is the egg or larva. The pupal stage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occurs between the middle of June and the middle of 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eat tender tree bark for maturation feeding and leave irregular scars on the tree. This usually leads to serious damage to twigs (Shimei &amp; Rongwu, 1992).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are the most damaging lifestage for the hosts. Resin bleeds can be observed from oviposition holes and larval tunnels in the bark. Compared with other genera, larva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are easier to detect as while boring down along the heartwood of trunk, they have to bore transverse tunnels for frass ejection leaving a row of frass expulsion holes outside the trunk. Usually, these round holes are on the same side of the trunk  and both the diameters of holes and the distances between two adjacent holes gradually increases from the top to the bottom of the tree. Frass accumulates at the base of the tree.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5–7 mm long, oval, yellow white, slightly curved with a narrow front-end.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legless grub up to 76 mm long when fully grown. It is creamy white in colour, with a chitinized brown mark on the prothorax, its width can reach 13 mm.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Fusiform, yellow or yellow-white and 50 mm long. Antennae extend backward and curving at the end and its wings reach the third abdominal segment.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26–51 mm in length, 8–16 mm in width. It is generally black and completely covered with an orangy-brown to greenish-yellow pubescence. Its centre point, lateral margin and edge of elytrum usually have a grey narrow brim. The antenna of female is slightly longer than the body, while the male’s antenna length is 2 or 3 segments beyond the body. The base of elytra is densely covered by black shiny nodular particles, which occupy one-fourth to one-third section; the inner and outer end-angle at the end of elytra shows a thorn-like protuberance.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 survey carried out in Hebei Province suggested that 400 m was a safe distance from a source site of </w:t>
      </w:r>
      <w:r>
        <w:rPr>
          <w:rFonts w:ascii="Calibri" w:hAnsi="Calibri" w:eastAsia="Calibri" w:cs="Calibri"/>
          <w:i/>
          <w:iCs/>
          <w:color w:val="000000"/>
          <w:sz w:val="22"/>
          <w:szCs w:val="22"/>
        </w:rPr>
        <w:t xml:space="preserve">A. germari </w:t>
      </w:r>
      <w:r>
        <w:rPr>
          <w:rFonts w:ascii="Calibri" w:hAnsi="Calibri" w:eastAsia="Calibri" w:cs="Calibri"/>
          <w:color w:val="000000"/>
          <w:sz w:val="22"/>
          <w:szCs w:val="22"/>
        </w:rPr>
        <w:t xml:space="preserve">(Fengxin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However, another field survey accompanied with bait revealed that adults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can fly as far as 2500 m for food, although most individuals were caught between 250 and 550 m (Ruitong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and wood products (including wood, wood packaging, wood chips, firewood) containing bark, moving in international trade. It is regularly intercepted in Europe on wood packaging material from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is caused by the larvae, which bore into the wood soon after hatching, creating long tunnels.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and this causes weakness, which increases the chances of wind break. Trees may die and stems/trunks might be broken. The timber becomes unsuitable for commercial use and entry of fungi and pathogens in the galleries cause discoloration of the wood.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area of its present distribution in China,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is considered as a serious threat to forest, especially to poplar plantation. In particular, the occurrence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in poplar plantations in the middle and lower reaches of Changjiang River caused serious damage to agriculture and forestry (Ruitong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is also a threat to fruit production, especially to fig in southern Jiangshu Province (Shaolin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According to Shuping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China the susceptibility sequence of host trees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are as follow: (1) Moraceae; (2) Salicaceae; (3) Ulmaceae; (4) The main planted fruit tree in North China; and (5) Some other tree species planted for afforestation. In addition to various species of Moraceae, </w:t>
      </w:r>
      <w:r>
        <w:rPr>
          <w:rFonts w:ascii="Calibri" w:hAnsi="Calibri" w:eastAsia="Calibri" w:cs="Calibri"/>
          <w:i/>
          <w:iCs/>
          <w:color w:val="000000"/>
          <w:sz w:val="22"/>
          <w:szCs w:val="22"/>
        </w:rPr>
        <w:t xml:space="preserve">Populus tomentosa, Malus pumila, Malus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are among the most susceptible tree species.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germari </w:t>
      </w:r>
      <w:r>
        <w:rPr>
          <w:rFonts w:ascii="Calibri" w:hAnsi="Calibri" w:eastAsia="Calibri" w:cs="Calibri"/>
          <w:color w:val="000000"/>
          <w:sz w:val="22"/>
          <w:szCs w:val="22"/>
        </w:rPr>
        <w:t xml:space="preserve">can attack healthy trees as well as trees under stress.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injections methods targeting older larvae in trunks and branches), physical control (removing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Beauvaria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pravassos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Cultural practices such as sanitation felling (i.e. destruction of damaged and infested plants, or pruning), or use of trap trees, as well as methods to maintain tree vigour help reduce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include the parasitic wasps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on eggs and </w:t>
      </w:r>
      <w:r>
        <w:rPr>
          <w:rFonts w:ascii="Calibri" w:hAnsi="Calibri" w:eastAsia="Calibri" w:cs="Calibri"/>
          <w:i/>
          <w:iCs/>
          <w:color w:val="000000"/>
          <w:sz w:val="22"/>
          <w:szCs w:val="22"/>
        </w:rPr>
        <w:t xml:space="preserve">Dastarcus </w:t>
      </w:r>
      <w:r>
        <w:rPr>
          <w:rFonts w:ascii="Calibri" w:hAnsi="Calibri" w:eastAsia="Calibri" w:cs="Calibri"/>
          <w:i/>
          <w:iCs/>
          <w:color w:val="000000"/>
          <w:sz w:val="22"/>
          <w:szCs w:val="22"/>
        </w:rPr>
        <w:t xml:space="preserve">helophoroides </w:t>
      </w:r>
      <w:r>
        <w:rPr>
          <w:rFonts w:ascii="Calibri" w:hAnsi="Calibri" w:eastAsia="Calibri" w:cs="Calibri"/>
          <w:color w:val="000000"/>
          <w:sz w:val="22"/>
          <w:szCs w:val="22"/>
        </w:rPr>
        <w:t xml:space="preserve">on larvae and pupae, as well as </w:t>
      </w:r>
      <w:r>
        <w:rPr>
          <w:rFonts w:ascii="Calibri" w:hAnsi="Calibri" w:eastAsia="Calibri" w:cs="Calibri"/>
          <w:i/>
          <w:iCs/>
          <w:color w:val="000000"/>
          <w:sz w:val="22"/>
          <w:szCs w:val="22"/>
        </w:rPr>
        <w:t xml:space="preserve">Iphiaulax imposter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Eleonoria heivan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Aprostocetus fukutai, Parecerchysius ceresii</w:t>
      </w:r>
      <w:r>
        <w:rPr>
          <w:rFonts w:ascii="Calibri" w:hAnsi="Calibri" w:eastAsia="Calibri" w:cs="Calibri"/>
          <w:color w:val="000000"/>
          <w:sz w:val="22"/>
          <w:szCs w:val="22"/>
        </w:rPr>
        <w:t xml:space="preserve"> and the woodpecker </w:t>
      </w:r>
      <w:r>
        <w:rPr>
          <w:rFonts w:ascii="Calibri" w:hAnsi="Calibri" w:eastAsia="Calibri" w:cs="Calibri"/>
          <w:i/>
          <w:iCs/>
          <w:color w:val="000000"/>
          <w:sz w:val="22"/>
          <w:szCs w:val="22"/>
        </w:rPr>
        <w:t xml:space="preserve">Dendrocopos major.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is present in an area with an extensive range of different climatic conditions. In areas where </w:t>
      </w:r>
      <w:r>
        <w:rPr>
          <w:rFonts w:ascii="Calibri" w:hAnsi="Calibri" w:eastAsia="Calibri" w:cs="Calibri"/>
          <w:i/>
          <w:iCs/>
          <w:color w:val="000000"/>
          <w:sz w:val="22"/>
          <w:szCs w:val="22"/>
        </w:rPr>
        <w:t xml:space="preserve">A. germari </w:t>
      </w:r>
      <w:r>
        <w:rPr>
          <w:rFonts w:ascii="Calibri" w:hAnsi="Calibri" w:eastAsia="Calibri" w:cs="Calibri"/>
          <w:color w:val="000000"/>
          <w:sz w:val="22"/>
          <w:szCs w:val="22"/>
        </w:rPr>
        <w:t xml:space="preserve">could establish, the pest would attack poplars, apple trees, willows and other crops and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Uncertainty on impact is medium to high as it is unclear how host preferences influence the development of populations, and whether specific hosts are needed in the life cycle of the pest for adult maturation (such as mulberry or paper mulberry), and the role of current management measures is not clear.</w:t>
      </w:r>
    </w:p>
    <w:p>
      <w:pPr>
        <w:widowControl w:val="on"/>
        <w:pBdr/>
        <w:spacing w:before="220" w:after="220" w:line="240" w:lineRule="auto"/>
        <w:ind w:left="0" w:right="0"/>
        <w:jc w:val="both"/>
      </w:pPr>
      <w:r>
        <w:rPr>
          <w:rFonts w:ascii="Calibri" w:hAnsi="Calibri" w:eastAsia="Calibri" w:cs="Calibri"/>
          <w:color w:val="000000"/>
          <w:sz w:val="22"/>
          <w:szCs w:val="22"/>
        </w:rPr>
        <w:t xml:space="preserve">Environmental impact could be major if the pest reaches forests and other environments where poplar, willow, chestnut, </w:t>
      </w:r>
      <w:r>
        <w:rPr>
          <w:rFonts w:ascii="Calibri" w:hAnsi="Calibri" w:eastAsia="Calibri" w:cs="Calibri"/>
          <w:i/>
          <w:iCs/>
          <w:color w:val="000000"/>
          <w:sz w:val="22"/>
          <w:szCs w:val="22"/>
        </w:rPr>
        <w:t xml:space="preserve">Crataegus, Robinia </w:t>
      </w:r>
      <w:r>
        <w:rPr>
          <w:rFonts w:ascii="Calibri" w:hAnsi="Calibri" w:eastAsia="Calibri" w:cs="Calibri"/>
          <w:color w:val="000000"/>
          <w:sz w:val="22"/>
          <w:szCs w:val="22"/>
        </w:rPr>
        <w:t xml:space="preserve">etc. are present. However, there is uncertainty as to the extent to which species belonging to host genera that are present in the PRA area, but not in the area of origin, might be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interceptions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in wood packaging material despite the implementation of ISPM 15, and the introduction of other wood borers from the same area of origin (e.g.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into Europe show that there are pathways to disseminate this pest outside its area of origin.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Wood packaging material should be treated according to ISPM 15.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http://www.eppo.int/QUARANTINE/ Pest_Risk_Analysis/PRA_intro.htm [accessed on 1 June 2013]</w:t>
      </w:r>
    </w:p>
    <w:p>
      <w:pPr>
        <w:widowControl w:val="on"/>
        <w:pBdr/>
        <w:spacing w:before="220" w:after="220" w:line="240" w:lineRule="auto"/>
        <w:ind w:left="0" w:right="0"/>
        <w:jc w:val="left"/>
      </w:pPr>
      <w:r>
        <w:rPr>
          <w:rFonts w:ascii="Calibri" w:hAnsi="Calibri" w:eastAsia="Calibri" w:cs="Calibri"/>
          <w:color w:val="000000"/>
          <w:sz w:val="22"/>
          <w:szCs w:val="22"/>
        </w:rPr>
        <w:t xml:space="preserve">Fengxin M, Dazhuang H &amp; Junjie Y (1997) [Occurrence characteristics and control countermeasures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in Xiling of Yixian County]. </w:t>
      </w:r>
      <w:r>
        <w:rPr>
          <w:rFonts w:ascii="Calibri" w:hAnsi="Calibri" w:eastAsia="Calibri" w:cs="Calibri"/>
          <w:i/>
          <w:iCs/>
          <w:color w:val="000000"/>
          <w:sz w:val="22"/>
          <w:szCs w:val="22"/>
        </w:rPr>
        <w:t xml:space="preserve">Hebei Journal of Forestry and Orchard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83–86. </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  </w:t>
      </w:r>
      <w:r>
        <w:rPr>
          <w:rFonts w:ascii="Calibri" w:hAnsi="Calibri" w:eastAsia="Calibri" w:cs="Calibri"/>
          <w:i/>
          <w:iCs/>
          <w:color w:val="000000"/>
          <w:sz w:val="22"/>
          <w:szCs w:val="22"/>
        </w:rPr>
        <w:t xml:space="preserve">Journal of Northeast Forestry University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51.</w:t>
      </w:r>
    </w:p>
    <w:p>
      <w:pPr>
        <w:widowControl w:val="on"/>
        <w:pBdr/>
        <w:spacing w:before="220" w:after="220" w:line="240" w:lineRule="auto"/>
        <w:ind w:left="0" w:right="0"/>
        <w:jc w:val="left"/>
      </w:pPr>
      <w:r>
        <w:rPr>
          <w:rFonts w:ascii="Calibri" w:hAnsi="Calibri" w:eastAsia="Calibri" w:cs="Calibri"/>
          <w:color w:val="000000"/>
          <w:sz w:val="22"/>
          <w:szCs w:val="22"/>
        </w:rPr>
        <w:t xml:space="preserve">Ruitong G, Chuanyin L &amp; Yongnong L (1994) [A preliminary study on the causes and use of preference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adults supplementary nutrition for mulberry and papermulberry].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 </w:t>
      </w:r>
    </w:p>
    <w:p>
      <w:pPr>
        <w:widowControl w:val="on"/>
        <w:pBdr/>
        <w:spacing w:before="220" w:after="220" w:line="240" w:lineRule="auto"/>
        <w:ind w:left="0" w:right="0"/>
        <w:jc w:val="left"/>
      </w:pPr>
      <w:r>
        <w:rPr>
          <w:rFonts w:ascii="Calibri" w:hAnsi="Calibri" w:eastAsia="Calibri" w:cs="Calibri"/>
          <w:color w:val="000000"/>
          <w:sz w:val="22"/>
          <w:szCs w:val="22"/>
        </w:rPr>
        <w:t xml:space="preserve">Ruitong G, Guohong L &amp; Guangwu L (1998) [Research and application on bait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 </w:t>
      </w:r>
    </w:p>
    <w:p>
      <w:pPr>
        <w:widowControl w:val="on"/>
        <w:pBdr/>
        <w:spacing w:before="220" w:after="220" w:line="240" w:lineRule="auto"/>
        <w:ind w:left="0" w:right="0"/>
        <w:jc w:val="left"/>
      </w:pPr>
      <w:r>
        <w:rPr>
          <w:rFonts w:ascii="Calibri" w:hAnsi="Calibri" w:eastAsia="Calibri" w:cs="Calibri"/>
          <w:color w:val="000000"/>
          <w:sz w:val="22"/>
          <w:szCs w:val="22"/>
        </w:rPr>
        <w:t xml:space="preserve">Shaolin Q, Jinsheng Y &amp; Lin M (1997) [The occurrence and damage of mulberry longicorn in Sunan hilly area and its controlling strategies]. </w:t>
      </w:r>
      <w:r>
        <w:rPr>
          <w:rFonts w:ascii="Calibri" w:hAnsi="Calibri" w:eastAsia="Calibri" w:cs="Calibri"/>
          <w:i/>
          <w:iCs/>
          <w:color w:val="000000"/>
          <w:sz w:val="22"/>
          <w:szCs w:val="22"/>
        </w:rPr>
        <w:t xml:space="preserve">China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28–29. </w:t>
      </w:r>
    </w:p>
    <w:p>
      <w:pPr>
        <w:widowControl w:val="on"/>
        <w:pBdr/>
        <w:spacing w:before="220" w:after="220" w:line="240" w:lineRule="auto"/>
        <w:ind w:left="0" w:right="0"/>
        <w:jc w:val="left"/>
      </w:pPr>
      <w:r>
        <w:rPr>
          <w:rFonts w:ascii="Calibri" w:hAnsi="Calibri" w:eastAsia="Calibri" w:cs="Calibri"/>
          <w:color w:val="000000"/>
          <w:sz w:val="22"/>
          <w:szCs w:val="22"/>
        </w:rPr>
        <w:t xml:space="preserve">Shimei Z &amp; Rongwu S (1992)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In: [Chinese Forest Insects] (2nd edn) (Ed. Gangrou X), pp. 461–463. China Forestry Press,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Shuping Z, Dazhuang H &amp; Junjie L (1999) [The sequence choice of the main tree species to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in northern part of China].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17–22.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Yongjun W, Jilin Z &amp; Danren Q (1986) [A plot study of the relationship between the occurence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its extranutrition]. </w:t>
      </w:r>
      <w:r>
        <w:rPr>
          <w:rFonts w:ascii="Calibri" w:hAnsi="Calibri" w:eastAsia="Calibri" w:cs="Calibri"/>
          <w:i/>
          <w:iCs/>
          <w:color w:val="000000"/>
          <w:sz w:val="22"/>
          <w:szCs w:val="22"/>
        </w:rPr>
        <w:t xml:space="preserve">Jiangshu Forestry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32–34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Yoon HJ, Park IG, Mah YI, Lee SB &amp; Yang SY (1997) Ecological characteristics of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at the hibernation stage in mulberry fields.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67–72.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Y. Luo, Beijing Forestry University, Beijing, China. It was further elaborated based on the results of the Pest Risk Analysis conducted by an EPPO expert working group in December 2011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EPPO datasheets on pests recommended for regulation. Available online. </w:t>
      </w:r>
      <w:hyperlink r:id="rId18926a22295c551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155-158. </w:t>
      </w:r>
      <w:hyperlink r:id="rId31546a22295c552eb" w:history="1">
        <w:r>
          <w:rPr>
            <w:rFonts w:ascii="Calibri" w:hAnsi="Calibri" w:eastAsia="Calibri" w:cs="Calibri"/>
            <w:color w:val="0000CC"/>
            <w:sz w:val="22"/>
            <w:szCs w:val="22"/>
            <w:u w:val="single"/>
          </w:rPr>
          <w:t xml:space="preserve">https://doi.org/10.1111/epp.12127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82600">
    <w:multiLevelType w:val="hybridMultilevel"/>
    <w:lvl w:ilvl="0" w:tplc="83704514">
      <w:start w:val="1"/>
      <w:numFmt w:val="decimal"/>
      <w:lvlText w:val="%1."/>
      <w:lvlJc w:val="left"/>
      <w:pPr>
        <w:ind w:left="720" w:hanging="360"/>
      </w:pPr>
    </w:lvl>
    <w:lvl w:ilvl="1" w:tplc="83704514" w:tentative="1">
      <w:start w:val="1"/>
      <w:numFmt w:val="lowerLetter"/>
      <w:lvlText w:val="%2."/>
      <w:lvlJc w:val="left"/>
      <w:pPr>
        <w:ind w:left="1440" w:hanging="360"/>
      </w:pPr>
    </w:lvl>
    <w:lvl w:ilvl="2" w:tplc="83704514" w:tentative="1">
      <w:start w:val="1"/>
      <w:numFmt w:val="lowerRoman"/>
      <w:lvlText w:val="%3."/>
      <w:lvlJc w:val="right"/>
      <w:pPr>
        <w:ind w:left="2160" w:hanging="180"/>
      </w:pPr>
    </w:lvl>
    <w:lvl w:ilvl="3" w:tplc="83704514" w:tentative="1">
      <w:start w:val="1"/>
      <w:numFmt w:val="decimal"/>
      <w:lvlText w:val="%4."/>
      <w:lvlJc w:val="left"/>
      <w:pPr>
        <w:ind w:left="2880" w:hanging="360"/>
      </w:pPr>
    </w:lvl>
    <w:lvl w:ilvl="4" w:tplc="83704514" w:tentative="1">
      <w:start w:val="1"/>
      <w:numFmt w:val="lowerLetter"/>
      <w:lvlText w:val="%5."/>
      <w:lvlJc w:val="left"/>
      <w:pPr>
        <w:ind w:left="3600" w:hanging="360"/>
      </w:pPr>
    </w:lvl>
    <w:lvl w:ilvl="5" w:tplc="83704514" w:tentative="1">
      <w:start w:val="1"/>
      <w:numFmt w:val="lowerRoman"/>
      <w:lvlText w:val="%6."/>
      <w:lvlJc w:val="right"/>
      <w:pPr>
        <w:ind w:left="4320" w:hanging="180"/>
      </w:pPr>
    </w:lvl>
    <w:lvl w:ilvl="6" w:tplc="83704514" w:tentative="1">
      <w:start w:val="1"/>
      <w:numFmt w:val="decimal"/>
      <w:lvlText w:val="%7."/>
      <w:lvlJc w:val="left"/>
      <w:pPr>
        <w:ind w:left="5040" w:hanging="360"/>
      </w:pPr>
    </w:lvl>
    <w:lvl w:ilvl="7" w:tplc="83704514" w:tentative="1">
      <w:start w:val="1"/>
      <w:numFmt w:val="lowerLetter"/>
      <w:lvlText w:val="%8."/>
      <w:lvlJc w:val="left"/>
      <w:pPr>
        <w:ind w:left="5760" w:hanging="360"/>
      </w:pPr>
    </w:lvl>
    <w:lvl w:ilvl="8" w:tplc="83704514" w:tentative="1">
      <w:start w:val="1"/>
      <w:numFmt w:val="lowerRoman"/>
      <w:lvlText w:val="%9."/>
      <w:lvlJc w:val="right"/>
      <w:pPr>
        <w:ind w:left="6480" w:hanging="180"/>
      </w:pPr>
    </w:lvl>
  </w:abstractNum>
  <w:abstractNum w:abstractNumId="12282599">
    <w:multiLevelType w:val="hybridMultilevel"/>
    <w:lvl w:ilvl="0" w:tplc="62329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82599">
    <w:abstractNumId w:val="12282599"/>
  </w:num>
  <w:num w:numId="12282600">
    <w:abstractNumId w:val="122826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905216" Type="http://schemas.microsoft.com/office/2011/relationships/commentsExtended" Target="commentsExtended.xml"/><Relationship Id="rId631872154" Type="http://schemas.microsoft.com/office/2011/relationships/people" Target="people.xml"/><Relationship Id="rId59016a22295c52be0" Type="http://schemas.openxmlformats.org/officeDocument/2006/relationships/hyperlink" Target="https://gd.eppo.int/taxon/APRIGE/" TargetMode="External"/><Relationship Id="rId91966a22295c52c4b" Type="http://schemas.openxmlformats.org/officeDocument/2006/relationships/hyperlink" Target="https://gd.eppo.int/taxon/APRIGE/categorization" TargetMode="External"/><Relationship Id="rId29126a22295c52e14" Type="http://schemas.openxmlformats.org/officeDocument/2006/relationships/hyperlink" Target="https://gd.eppo.int/taxon/APRIGE/photos" TargetMode="External"/><Relationship Id="rId18926a22295c551f8" Type="http://schemas.openxmlformats.org/officeDocument/2006/relationships/hyperlink" Target="https://gd.eppo.int" TargetMode="External"/><Relationship Id="rId31546a22295c552eb" Type="http://schemas.openxmlformats.org/officeDocument/2006/relationships/hyperlink" Target="https://doi.org/10.1111/epp.12127" TargetMode="External"/><Relationship Id="rId43396a22295c52d07" Type="http://schemas.openxmlformats.org/officeDocument/2006/relationships/image" Target="media/imgrId43396a22295c52d07.jpg"/><Relationship Id="rId24286a22295c54117" Type="http://schemas.openxmlformats.org/officeDocument/2006/relationships/image" Target="media/imgrId24286a22295c541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