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Anthonomus grandis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2024-02-28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Anthonomus grandis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Boheman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Curculioninae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Mexican cotton boll weevil, boll weevil, cotton boll weevil, thurberia weevil</w:t>
            </w:r>
            <w:hyperlink r:id="rId91746a7b8a72a13e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7786a7b8a72a14a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ANTHGR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5595314" name="name15436a7b8a72a1ea9" descr="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jpg"/>
                          <pic:cNvPicPr/>
                        </pic:nvPicPr>
                        <pic:blipFill>
                          <a:blip r:embed="rId71096a7b8a72a1ea7" cstate="print"/>
                          <a:stretch>
                            <a:fillRect/>
                          </a:stretch>
                        </pic:blipFill>
                        <pic:spPr>
                          <a:xfrm>
                            <a:off x="0" y="0"/>
                            <a:ext cx="2160000" cy="1281600"/>
                          </a:xfrm>
                          <a:prstGeom prst="rect">
                            <a:avLst/>
                          </a:prstGeom>
                          <a:ln w="0">
                            <a:noFill/>
                          </a:ln>
                        </pic:spPr>
                      </pic:pic>
                    </a:graphicData>
                  </a:graphic>
                </wp:inline>
              </w:drawing>
            </w:r>
            <w:hyperlink r:id="rId14186a7b8a72a1fe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Three forms or subspecies of boll weevils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 have been described, although only two subspecies have been validated by integrative taxonomy (Alvarado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most economically important is the Southeastern American boll weevil, </w:t>
      </w:r>
      <w:r>
        <w:rPr>
          <w:rFonts w:ascii="Calibri" w:hAnsi="Calibri" w:eastAsia="Calibri" w:cs="Calibri"/>
          <w:i/>
          <w:iCs/>
          <w:color w:val="000000"/>
          <w:sz w:val="22"/>
          <w:szCs w:val="22"/>
        </w:rPr>
        <w:t xml:space="preserve">Anthonomus grandis grandis</w:t>
      </w:r>
      <w:r>
        <w:rPr>
          <w:rFonts w:ascii="Calibri" w:hAnsi="Calibri" w:eastAsia="Calibri" w:cs="Calibri"/>
          <w:color w:val="000000"/>
          <w:sz w:val="22"/>
          <w:szCs w:val="22"/>
        </w:rPr>
        <w:t xml:space="preserve">. Another subspecies is </w:t>
      </w:r>
      <w:r>
        <w:rPr>
          <w:rFonts w:ascii="Calibri" w:hAnsi="Calibri" w:eastAsia="Calibri" w:cs="Calibri"/>
          <w:i/>
          <w:iCs/>
          <w:color w:val="000000"/>
          <w:sz w:val="22"/>
          <w:szCs w:val="22"/>
        </w:rPr>
        <w:t xml:space="preserve">Anthonomus grandis thurberiae</w:t>
      </w:r>
      <w:r>
        <w:rPr>
          <w:rFonts w:ascii="Calibri" w:hAnsi="Calibri" w:eastAsia="Calibri" w:cs="Calibri"/>
          <w:color w:val="000000"/>
          <w:sz w:val="22"/>
          <w:szCs w:val="22"/>
        </w:rPr>
        <w:t xml:space="preserve">. The third form, the Mexican boll weevil, has intermediate morphological characters (Burke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Roehrdanz, 2001). However, all forms are morphologically similar, which makes practical identification difficult, especially because when </w:t>
      </w:r>
      <w:r>
        <w:rPr>
          <w:rFonts w:ascii="Calibri" w:hAnsi="Calibri" w:eastAsia="Calibri" w:cs="Calibri"/>
          <w:i/>
          <w:iCs/>
          <w:color w:val="000000"/>
          <w:sz w:val="22"/>
          <w:szCs w:val="22"/>
        </w:rPr>
        <w:t xml:space="preserve">A. grandis thurberiae</w:t>
      </w:r>
      <w:r>
        <w:rPr>
          <w:rFonts w:ascii="Calibri" w:hAnsi="Calibri" w:eastAsia="Calibri" w:cs="Calibri"/>
          <w:color w:val="000000"/>
          <w:sz w:val="22"/>
          <w:szCs w:val="22"/>
        </w:rPr>
        <w:t xml:space="preserve"> is reared on cultivated cotton or artificial diets, it tends to lose diagnostic morphological traits that allow distinction from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(Burke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Recent studies have confirmed that populations found in cotton growing areas in South America are closely related to the Eastern lineage (</w:t>
      </w:r>
      <w:r>
        <w:rPr>
          <w:rFonts w:ascii="Calibri" w:hAnsi="Calibri" w:eastAsia="Calibri" w:cs="Calibri"/>
          <w:i/>
          <w:iCs/>
          <w:color w:val="000000"/>
          <w:sz w:val="22"/>
          <w:szCs w:val="22"/>
        </w:rPr>
        <w:t xml:space="preserve">Anthonomus grandis grandis</w:t>
      </w:r>
      <w:r>
        <w:rPr>
          <w:rFonts w:ascii="Calibri" w:hAnsi="Calibri" w:eastAsia="Calibri" w:cs="Calibri"/>
          <w:color w:val="000000"/>
          <w:sz w:val="22"/>
          <w:szCs w:val="22"/>
        </w:rPr>
        <w:t xml:space="preserve">) (Raszick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provides data on the economically important species </w:t>
      </w:r>
      <w:r>
        <w:rPr>
          <w:rFonts w:ascii="Calibri" w:hAnsi="Calibri" w:eastAsia="Calibri" w:cs="Calibri"/>
          <w:i/>
          <w:iCs/>
          <w:color w:val="000000"/>
          <w:sz w:val="22"/>
          <w:szCs w:val="22"/>
        </w:rPr>
        <w:t xml:space="preserve">Anthonomus grandis grandis.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 of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is cotton, including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and wild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Gossypium arboreum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Marginal reproduction has also been observed on the ornamental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(Parrott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Feeding and foraging on pollen have been reported on a number of different hosts from a number of plant families (Hardee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Jones and Coppedge, 1999).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cotton is the only host to be considered. Wild Malvaceae might be attacked and act as reservoirs.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Cienfuegosia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Cienfuegosia rosei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aridum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davidsonii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harknessii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laxum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lobatum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thurberi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turneri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Hampea nutricia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Hampea rovirosae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Anthonomus grandis grandis</w:t>
      </w:r>
      <w:r>
        <w:rPr>
          <w:rFonts w:ascii="Calibri" w:hAnsi="Calibri" w:eastAsia="Calibri" w:cs="Calibri"/>
          <w:color w:val="000000"/>
          <w:sz w:val="22"/>
          <w:szCs w:val="22"/>
        </w:rPr>
        <w:t xml:space="preserve"> is present across cotton growing areas in the Americas (South, Central, and North). From Mexico, the species spread into the United States of America in 1892, with the first report in the Lower Rio Grande Valley, Texas (Brazzel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It has since spread throughout the cotton growing area in the USA before the initiation of an eradication programme in the 1970s (Perkins, 1980; Raszick, 2021). Due to the success of the eradication programme,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has been eradicated from 98% of the cotton growing region in the USA (USDA, 2022).</w:t>
      </w:r>
    </w:p>
    <w:p>
      <w:pPr>
        <w:widowControl w:val="on"/>
        <w:pBdr/>
        <w:spacing w:before="220" w:after="220" w:line="240" w:lineRule="auto"/>
        <w:ind w:left="0" w:right="0"/>
        <w:jc w:val="both"/>
      </w:pPr>
      <w:r>
        <w:rPr>
          <w:rFonts w:ascii="Calibri" w:hAnsi="Calibri" w:eastAsia="Calibri" w:cs="Calibri"/>
          <w:color w:val="000000"/>
          <w:sz w:val="22"/>
          <w:szCs w:val="22"/>
        </w:rPr>
        <w:t xml:space="preserve">The weevil is present throughout Central America. In South America,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has been reported in Venezuela (1949), Colombia (1951) (Scataglini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Brazil (1983) (Barbosa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Paraguay (1991), Argentina (1984), and Bolivia (1999) (Stadler and Buteler, 2007).</w:t>
      </w:r>
    </w:p>
    <w:p>
      <w:r>
        <w:drawing>
          <wp:inline distT="0" distB="0" distL="0" distR="0">
            <wp:extent cx="6120000" cy="3067200"/>
            <wp:docPr id="66610710" name="name88716a7b8a72a3f1b" descr="ANTHG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HGR_distribution_map.jpg"/>
                    <pic:cNvPicPr/>
                  </pic:nvPicPr>
                  <pic:blipFill>
                    <a:blip r:embed="rId88986a7b8a72a3f1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Cuba, Dominican Republic, El Salvador, Guatemala, Haiti, Honduras, Martinique, Nicaragua, Saint Kitts and Nevis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(Alagoas, Bahia, Ceara, Distrito Federal, Goias, Maranhao, Mato Grosso, Mato Grosso do Sul, Minas Gerais, Paraiba, Parana, Pernambuco, Piaui, Rio Grande do Norte, Sao Paulo), Colombia, Paraguay,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post-embryonic development of the boll weevil undergoes three larval instars, the pupal stage, the pre-emergent adult stage, and finally, the adult stage. When feeding on large flower buds, developmental times for larva, pupa, and pre-emergent adult stages last, on average, 7.7, 2.0, and 4.2 days, respectively, at 25°C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start laying eggs after reaching reproduction maturation (≈3-4 days old). Females puncture the cotton fruiting structures to lay their eggs, usually one egg per structure. However, there can be more than one egg per structure, especially in late developing bolls (Neves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Oviposition punctures form small protrusions and differ from feeding punctures, which are small, uncapped holes. Despite the plasticity in laying eggs on flower buds, flowers, and bolls, females prefer to lay eggs on larger flower buds (5.5 to 8.0 mm) (Showler, 2005). One female can lay seven to 11 eggs per day for up to 21 days (Lloyd, 1986), depending on the female age, availability of flower buds, and environmental conditions. Egg incubation lasts, on average, 2.1 days at 25°C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with the larvae showing developed head capsules and appendices seen through the chorion near the hatching time.</w:t>
      </w:r>
    </w:p>
    <w:p>
      <w:pPr>
        <w:widowControl w:val="on"/>
        <w:pBdr/>
        <w:spacing w:before="220" w:after="220" w:line="240" w:lineRule="auto"/>
        <w:ind w:left="0" w:right="0"/>
        <w:jc w:val="both"/>
      </w:pPr>
      <w:r>
        <w:rPr>
          <w:rFonts w:ascii="Calibri" w:hAnsi="Calibri" w:eastAsia="Calibri" w:cs="Calibri"/>
          <w:color w:val="000000"/>
          <w:sz w:val="22"/>
          <w:szCs w:val="22"/>
        </w:rPr>
        <w:t xml:space="preserve">After completing development, the larvae moults and becomes a pupa inside a cell located inside infested buds and bolls. This structure will protect the adults formed, until they emerge from this structure (which may fall to the ground or remain on the plant).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can migrate long distances and it can disperse short distances.  It  hibernates in forest litter or on various malvaceous hosts, including regrowth cotton in warmer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high mortality rate in weevil populations interseason. About 95% of the hibernating adults die. Furthermore, heat, dry weather, natural enemies, and birds help materially to check rapid multiplication. Without such natural interference, the offspring of a single pair of boll weevils could amount to several million in one season. Under favourable conditions, the life cycle of A. grandis grandis is completed in 17-21 days, and as many as seven generations may develop in a year in the extreme southern part of the Cotton Belt in the USA.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adult weevils can feed on leaves and petioles, they only lay eggs on reproductive structures (Showler, 2007). Therefore, adults are commonly found in the flower buds and bolls protected by the bracts and in the centre of open flowers during warmer hours and are rarely seen on other parts of the plants. Because adults are not easily seen in the field, in the absence of the insect, the occurrence is assessed through damaged reproductive structures (buds, flowers, and bolls). As adults prefer flower buds over bolls for feeding and oviposition, they are most often seen in flower buds, especially the large (5.5-8.0 mm diameter) as well as the medium (3.0-5.4 mm diameter) sizes. Feeding and oviposition cause punctures at the base of flower buds, flowers, and bolls.</w:t>
      </w:r>
    </w:p>
    <w:p>
      <w:pPr>
        <w:widowControl w:val="on"/>
        <w:pBdr/>
        <w:spacing w:before="220" w:after="220" w:line="240" w:lineRule="auto"/>
        <w:ind w:left="0" w:right="0"/>
        <w:jc w:val="both"/>
      </w:pPr>
      <w:r>
        <w:rPr>
          <w:rFonts w:ascii="Calibri" w:hAnsi="Calibri" w:eastAsia="Calibri" w:cs="Calibri"/>
          <w:color w:val="000000"/>
          <w:sz w:val="22"/>
          <w:szCs w:val="22"/>
        </w:rPr>
        <w:t xml:space="preserve">The bracteoles of oviposited flower buds spread out and turn yellow, and five to nine days after infestation, they turn brown and fall off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Showler and Cantú, 2005).</w:t>
      </w:r>
    </w:p>
    <w:p>
      <w:pPr>
        <w:widowControl w:val="on"/>
        <w:pBdr/>
        <w:spacing w:before="220" w:after="220" w:line="240" w:lineRule="auto"/>
        <w:ind w:left="0" w:right="0"/>
        <w:jc w:val="both"/>
      </w:pPr>
      <w:r>
        <w:rPr>
          <w:rFonts w:ascii="Calibri" w:hAnsi="Calibri" w:eastAsia="Calibri" w:cs="Calibri"/>
          <w:color w:val="000000"/>
          <w:sz w:val="22"/>
          <w:szCs w:val="22"/>
        </w:rPr>
        <w:t xml:space="preserve">Oviposited small bolls (up to one week after anthesis) also fall off. Older infested bolls, containing larvae and pupae, remain on the plants and open irregularly or do not open. Signs of adults feeding on plants terminal shoots and young leaves can be seen before the flowering stage. After moulting into adults, weevils leave fallen or retained structures through exits hole.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slightly elliptical, opaque 1 mm long (Leigh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larvae are C-shaped, legless, white to cream-colored, have a brown head, and strong mandibles. They can grow up to 13 mm long when fully developed.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are 6-8 mm long, white to cream-colored, and resemble adults with visible legs, eyes, and mouthparts. According to Anderson (1968), female pupae can be distinguished from male pupae by the presence of a pair of lobes present near the anal opening in females, which are absent in males.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5 to 8 mm long, with body weight varying as a function of food availability during the larval stage, reaching up to 20 mg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2005b). Larger adults, up to 24 mg, occur when larvae develop on bolls than on flower buds. The adult has a long, slender rostrum bearing the pair of antennae geniculate (=elbowed) nearer the tip than the base. The mouthparts are at the end of the rostrum. Two larger and one smaller spine are easily seen on the inner side of the femur of the front legs.. Eyes are large, convex, and sloping dorsally, in front at the base of the rostrum. Adults vary from brownish-red when recently molted to the adult stage to near black with aging. The pronotum and elytra are covered by dense, whitish pubescence. The male rostrum is less smooth than that of females and has more pits, pores, and scales. The female rostrum is usually larger and flatter than the male’s (Soto and Reyes,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posterior edge of the last tergite of the male (8th tergite), is notched in males and not in females (comparative pictures available at Agee, 1964; Sappington and Spurgeon 2000).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of cotton plants is used to survey for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but it can be difficult in large cotton fields, plants with dense foliage, and dense fruiting structures. In addition to the cryptic development the weevils as described above, adult boll weevils exhibit thanatosis (death feigning) when disturbed. At high levels of infestation, adults can be seen on the upper parts of the plants during the warmer hours of the day.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Anthonomus grandis grandis</w:t>
      </w:r>
      <w:r>
        <w:rPr>
          <w:rFonts w:ascii="Calibri" w:hAnsi="Calibri" w:eastAsia="Calibri" w:cs="Calibri"/>
          <w:color w:val="000000"/>
          <w:sz w:val="22"/>
          <w:szCs w:val="22"/>
        </w:rPr>
        <w:t xml:space="preserve"> can be detected by using traps containing sex-and-aggregation pheromones. Traps containing rubber septum impregnated with pheromone are widely used to catch weevils when dispersing. Different tools have been tested, combining pheromones as an attractant and glue to hold the attracted weevils, or pheromone and the surface treated with an insecticide.</w:t>
      </w:r>
    </w:p>
    <w:p>
      <w:pPr>
        <w:widowControl w:val="on"/>
        <w:pBdr/>
        <w:spacing w:before="220" w:after="220" w:line="240" w:lineRule="auto"/>
        <w:ind w:left="0" w:right="0"/>
        <w:jc w:val="both"/>
      </w:pPr>
      <w:r>
        <w:rPr>
          <w:rFonts w:ascii="Calibri" w:hAnsi="Calibri" w:eastAsia="Calibri" w:cs="Calibri"/>
          <w:color w:val="000000"/>
          <w:sz w:val="22"/>
          <w:szCs w:val="22"/>
        </w:rPr>
        <w:t xml:space="preserve">Despite the high efficacy of these tools in attracting and capturing weevils in certain circumstances, the efficacy of traps can be reduced due to the competition with the abundance of host and food availability and females inside the field. Kairomones have been incorporated in the mix with the aggregation pheromones to attempt to increase effectiveness (Magalhães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Nucleotide sequences from a segment of the mitochondrial cytochrome C oxidase subunit I (COI) gene can be used to separate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A. grandis thurberiae</w:t>
      </w:r>
      <w:r>
        <w:rPr>
          <w:rFonts w:ascii="Calibri" w:hAnsi="Calibri" w:eastAsia="Calibri" w:cs="Calibri"/>
          <w:color w:val="000000"/>
          <w:sz w:val="22"/>
          <w:szCs w:val="22"/>
        </w:rPr>
        <w:t xml:space="preserve"> (Barr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Alvarado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boll weevils may be carried with cotton seeds or bolls, with raw cotton and various cotton products (EFSA, 2017). Additionally, ornamental Malvaceae plants for planting (e.g. </w:t>
      </w:r>
      <w:r>
        <w:rPr>
          <w:rFonts w:ascii="Calibri" w:hAnsi="Calibri" w:eastAsia="Calibri" w:cs="Calibri"/>
          <w:i/>
          <w:iCs/>
          <w:color w:val="000000"/>
          <w:sz w:val="22"/>
          <w:szCs w:val="22"/>
        </w:rPr>
        <w:t xml:space="preserve">Hibiscus</w:t>
      </w:r>
      <w:r>
        <w:rPr>
          <w:rFonts w:ascii="Calibri" w:hAnsi="Calibri" w:eastAsia="Calibri" w:cs="Calibri"/>
          <w:color w:val="000000"/>
          <w:sz w:val="22"/>
          <w:szCs w:val="22"/>
        </w:rPr>
        <w:t xml:space="preserve"> spp.) may be a pathway for movement though it should be noted that only marginal reproduction is shown (Parrott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can occur through flight and walking. The dispersal of adults right after emergence from fallen buds is predominantly achieved by walking to reach the base of nearby plants. In arid areas, thermal convection may disperse flying adult weevils over long distances. In central Texas, the greatest dispersal occurs from mid-August to September.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Boll weevil has been one of the most important pests on cotton in the USA (Schwartz, 1983; Williams, 1997). Since its entry into Texas (USA) in the 1890s,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destroyed and reduced the quality of several billion USD worth of cotton, in an area of over 3 million ha. In the 1970s, USA cotton producers lost 200 million USD or more annually with suppression costing an additional 75 million USD annually; in fact, nearly one third of all pesticides applied to crops in the USA in the 1970s were used to control this pest.</w:t>
      </w:r>
    </w:p>
    <w:p>
      <w:pPr>
        <w:widowControl w:val="on"/>
        <w:pBdr/>
        <w:spacing w:before="220" w:after="220" w:line="240" w:lineRule="auto"/>
        <w:ind w:left="0" w:right="0"/>
        <w:jc w:val="both"/>
      </w:pPr>
      <w:r>
        <w:rPr>
          <w:rFonts w:ascii="Calibri" w:hAnsi="Calibri" w:eastAsia="Calibri" w:cs="Calibri"/>
          <w:color w:val="000000"/>
          <w:sz w:val="22"/>
          <w:szCs w:val="22"/>
        </w:rPr>
        <w:t xml:space="preserve">Nowadays,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is largely under control in the USA, though the pest still causes significant economic damage to cotton in South America (Burbano-Figueroa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Suppressing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populations requires the adoption of different control tactics of Integrated Pest Management in the cotton crops. Their efficacy and use depend on the production system adopted from low- to high-input conventional cropping systems. Preventive tactics can be applied field-by-field but these have more efficacy when applied regionally. These are cultural control practices aimed at avoiding pest infestation. Collecting and destroying fallen fruiting structures in small fields can reduce population growth (Neves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Furthermore, trap crops established by seeding a strip of cotton plants earlier on the border of the definitive fields can detect infestation so that the grower can take localized curative control, reducing the number of future generations. Other measures, such as the adoption of adequate row spacing (Paim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suitable planting dates (Santos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good control of cotton volunteer plants reduce the overall pest populations that can cause outbreaks.</w:t>
      </w:r>
    </w:p>
    <w:p>
      <w:pPr>
        <w:widowControl w:val="on"/>
        <w:pBdr/>
        <w:spacing w:before="220" w:after="220" w:line="240" w:lineRule="auto"/>
        <w:ind w:left="0" w:right="0"/>
        <w:jc w:val="both"/>
      </w:pPr>
      <w:r>
        <w:rPr>
          <w:rFonts w:ascii="Calibri" w:hAnsi="Calibri" w:eastAsia="Calibri" w:cs="Calibri"/>
          <w:color w:val="000000"/>
          <w:sz w:val="22"/>
          <w:szCs w:val="22"/>
        </w:rPr>
        <w:t xml:space="preserve">Other control measures could include:</w:t>
      </w:r>
    </w:p>
    <w:p>
      <w:pPr>
        <w:widowControl w:val="on"/>
        <w:pBdr/>
        <w:spacing w:before="220" w:after="220" w:line="240" w:lineRule="auto"/>
        <w:ind w:left="0" w:right="0"/>
        <w:jc w:val="both"/>
      </w:pPr>
      <w:r>
        <w:rPr>
          <w:rFonts w:ascii="Calibri" w:hAnsi="Calibri" w:eastAsia="Calibri" w:cs="Calibri"/>
          <w:color w:val="000000"/>
          <w:sz w:val="22"/>
          <w:szCs w:val="22"/>
        </w:rPr>
        <w:t xml:space="preserve">- Biotechnological control: transgenic Bt-cotton has been tried but not successfully obtained up to date; likewise, the use of the sterile insect technique (SIT) has been developed; use of pheromones (e.g. the aggregation pheromone grand lure) for mass-trapping is the most applied tool to detect boll weevil populations at the beginning of cultivation (when the cotton plants do not have reproductive structures).</w:t>
      </w:r>
      <w:r>
        <w:rPr>
          <w:rFonts w:ascii="Calibri" w:hAnsi="Calibri" w:eastAsia="Calibri" w:cs="Calibri"/>
          <w:color w:val="000000"/>
          <w:sz w:val="22"/>
          <w:szCs w:val="22"/>
        </w:rPr>
        <w:br/>
        <w:t xml:space="preserve">- Biological control: conservation biological control; inundative biological control with the entomopathogenic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mass release of the parasitoid </w:t>
      </w:r>
      <w:r>
        <w:rPr>
          <w:rFonts w:ascii="Calibri" w:hAnsi="Calibri" w:eastAsia="Calibri" w:cs="Calibri"/>
          <w:i/>
          <w:iCs/>
          <w:color w:val="000000"/>
          <w:sz w:val="22"/>
          <w:szCs w:val="22"/>
        </w:rPr>
        <w:t xml:space="preserve">Catolaccus grandis</w:t>
      </w:r>
      <w:r>
        <w:rPr>
          <w:rFonts w:ascii="Calibri" w:hAnsi="Calibri" w:eastAsia="Calibri" w:cs="Calibri"/>
          <w:color w:val="000000"/>
          <w:sz w:val="22"/>
          <w:szCs w:val="22"/>
        </w:rPr>
        <w:t xml:space="preserve"> (Hymenoptera: Pteromalidae).</w:t>
      </w:r>
      <w:r>
        <w:rPr>
          <w:rFonts w:ascii="Calibri" w:hAnsi="Calibri" w:eastAsia="Calibri" w:cs="Calibri"/>
          <w:color w:val="000000"/>
          <w:sz w:val="22"/>
          <w:szCs w:val="22"/>
        </w:rPr>
        <w:br/>
        <w:t xml:space="preserve">- Chemical control: use of different pesticides is the most common curative tactic (Torres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often timed according to captures in pheromone traps, and applied after reaching 3-5% flower bud infestation with up to five applications, spaced 5 days to kill all adults as they emerge.</w:t>
      </w:r>
      <w:r>
        <w:rPr>
          <w:rFonts w:ascii="Calibri" w:hAnsi="Calibri" w:eastAsia="Calibri" w:cs="Calibri"/>
          <w:color w:val="000000"/>
          <w:sz w:val="22"/>
          <w:szCs w:val="22"/>
        </w:rPr>
        <w:br/>
        <w:t xml:space="preserve">- Use of less preferred cultivars.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is essentially a subtropical pest, so that the cotton-growing area at greatest risk in the EPPO region would be the Mediterranean zone. It is questionable whether the weevil could survive the low winter temperatures of the Central Asian cotton-growing areas. For many years, </w:t>
      </w:r>
      <w:r>
        <w:rPr>
          <w:rFonts w:ascii="Calibri" w:hAnsi="Calibri" w:eastAsia="Calibri" w:cs="Calibri"/>
          <w:i/>
          <w:iCs/>
          <w:color w:val="000000"/>
          <w:sz w:val="22"/>
          <w:szCs w:val="22"/>
        </w:rPr>
        <w:t xml:space="preserve">A. grandis</w:t>
      </w:r>
      <w:r>
        <w:rPr>
          <w:rFonts w:ascii="Calibri" w:hAnsi="Calibri" w:eastAsia="Calibri" w:cs="Calibri"/>
          <w:color w:val="000000"/>
          <w:sz w:val="22"/>
          <w:szCs w:val="22"/>
        </w:rPr>
        <w:t xml:space="preserve"> was confined in the USA to the more humid regions of the south, where there were significant amounts of summer rainfall. It was assumed that the insect could not survive in the hot, arid regions of the south-west. In the early 1950s, however, it gradually moved westward into some of these formerly unoccupied areas, and this further confirms the risk to Mediterranean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measures may include that cotton growing countries in the EPPO region can source seed or bolls of cotton from an area free from the pest (Pest Free Area). Raw cotton from the same origin (including waste fabric, waste cotton, cotton seed cake, meal, and bags that have been used as a container for lint or any form of unmanufactured cotton) can be treated in such a way that the material will be free from the pest. See EPPO (2018) for fumigation of cotton and cotton products.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Agee HR (1964) Characters for determination of sex of the boll weevil.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500–501.</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DM (1968) Observations on the pupae of </w:t>
      </w:r>
      <w:r>
        <w:rPr>
          <w:rFonts w:ascii="Calibri" w:hAnsi="Calibri" w:eastAsia="Calibri" w:cs="Calibri"/>
          <w:i/>
          <w:iCs/>
          <w:color w:val="000000"/>
          <w:sz w:val="22"/>
          <w:szCs w:val="22"/>
        </w:rPr>
        <w:t xml:space="preserve">Anthonomus grandis grandis</w:t>
      </w:r>
      <w:r>
        <w:rPr>
          <w:rFonts w:ascii="Calibri" w:hAnsi="Calibri" w:eastAsia="Calibri" w:cs="Calibri"/>
          <w:color w:val="000000"/>
          <w:sz w:val="22"/>
          <w:szCs w:val="22"/>
        </w:rPr>
        <w:t xml:space="preserve"> Boheman and </w:t>
      </w:r>
      <w:r>
        <w:rPr>
          <w:rFonts w:ascii="Calibri" w:hAnsi="Calibri" w:eastAsia="Calibri" w:cs="Calibri"/>
          <w:i/>
          <w:iCs/>
          <w:color w:val="000000"/>
          <w:sz w:val="22"/>
          <w:szCs w:val="22"/>
        </w:rPr>
        <w:t xml:space="preserve">A. grandis thurberiae</w:t>
      </w:r>
      <w:r>
        <w:rPr>
          <w:rFonts w:ascii="Calibri" w:hAnsi="Calibri" w:eastAsia="Calibri" w:cs="Calibri"/>
          <w:color w:val="000000"/>
          <w:sz w:val="22"/>
          <w:szCs w:val="22"/>
        </w:rPr>
        <w:t xml:space="preserve"> Pierce (Coleoptera: Curculionidae).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125-129.</w:t>
      </w:r>
    </w:p>
    <w:p>
      <w:pPr>
        <w:widowControl w:val="on"/>
        <w:pBdr/>
        <w:spacing w:before="220" w:after="220" w:line="240" w:lineRule="auto"/>
        <w:ind w:left="0" w:right="0"/>
        <w:jc w:val="left"/>
      </w:pPr>
      <w:r>
        <w:rPr>
          <w:rFonts w:ascii="Calibri" w:hAnsi="Calibri" w:eastAsia="Calibri" w:cs="Calibri"/>
          <w:color w:val="000000"/>
          <w:sz w:val="22"/>
          <w:szCs w:val="22"/>
        </w:rPr>
        <w:t xml:space="preserve">Alvarado A, Jones RW, Pedraza-Lara C, Villanueva OA &amp; Pfeiler E (2017) Reassessment of the phylogeography and intraspecific relationships of western and eastern populations of the boll weevil,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Boheman (Coleoptera: Curculionidae), in North America.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1-17.</w:t>
      </w:r>
    </w:p>
    <w:p>
      <w:pPr>
        <w:widowControl w:val="on"/>
        <w:pBdr/>
        <w:spacing w:before="220" w:after="220" w:line="240" w:lineRule="auto"/>
        <w:ind w:left="0" w:right="0"/>
        <w:jc w:val="left"/>
      </w:pPr>
      <w:r>
        <w:rPr>
          <w:rFonts w:ascii="Calibri" w:hAnsi="Calibri" w:eastAsia="Calibri" w:cs="Calibri"/>
          <w:color w:val="000000"/>
          <w:sz w:val="22"/>
          <w:szCs w:val="22"/>
        </w:rPr>
        <w:t xml:space="preserve">Barbosa S, Braga Sobrinho R, Lukefahr MJ &amp; Beingolea GO (1983) Relatório sobre a ocorrência do bicudo do algodoeiro,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Boheman, ‘boll weevil’, no Brasil, e recomendações para a sua erradicação. Campina Grande. EMBRAPA-CNPA, 12 pp.</w:t>
      </w:r>
    </w:p>
    <w:p>
      <w:pPr>
        <w:widowControl w:val="on"/>
        <w:pBdr/>
        <w:spacing w:before="220" w:after="220" w:line="240" w:lineRule="auto"/>
        <w:ind w:left="0" w:right="0"/>
        <w:jc w:val="left"/>
      </w:pPr>
      <w:r>
        <w:rPr>
          <w:rFonts w:ascii="Calibri" w:hAnsi="Calibri" w:eastAsia="Calibri" w:cs="Calibri"/>
          <w:color w:val="000000"/>
          <w:sz w:val="22"/>
          <w:szCs w:val="22"/>
        </w:rPr>
        <w:t xml:space="preserve">Barr N, Ruiz-Arce R, Obregón O, de Leon R, Foster N, Reuter C, Boratynski T &amp; Vacek D (2013) Molecular diagnosis of populational variants of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(Coleoptera: Curculionidae)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437–449.</w:t>
      </w:r>
    </w:p>
    <w:p>
      <w:pPr>
        <w:widowControl w:val="on"/>
        <w:pBdr/>
        <w:spacing w:before="220" w:after="220" w:line="240" w:lineRule="auto"/>
        <w:ind w:left="0" w:right="0"/>
        <w:jc w:val="left"/>
      </w:pPr>
      <w:r>
        <w:rPr>
          <w:rFonts w:ascii="Calibri" w:hAnsi="Calibri" w:eastAsia="Calibri" w:cs="Calibri"/>
          <w:color w:val="000000"/>
          <w:sz w:val="22"/>
          <w:szCs w:val="22"/>
        </w:rPr>
        <w:t xml:space="preserve">Brazzel JR, Smith JW &amp; Knipling EF (1996) Boll weevil eradication. In: King EG, Phillips JR, Coleman RJ (eds.) </w:t>
      </w:r>
      <w:r>
        <w:rPr>
          <w:rFonts w:ascii="Calibri" w:hAnsi="Calibri" w:eastAsia="Calibri" w:cs="Calibri"/>
          <w:i/>
          <w:iCs/>
          <w:color w:val="000000"/>
          <w:sz w:val="22"/>
          <w:szCs w:val="22"/>
        </w:rPr>
        <w:t xml:space="preserve">Cotton Insects and Mites: Characterization and Management</w:t>
      </w:r>
      <w:r>
        <w:rPr>
          <w:rFonts w:ascii="Calibri" w:hAnsi="Calibri" w:eastAsia="Calibri" w:cs="Calibri"/>
          <w:color w:val="000000"/>
          <w:sz w:val="22"/>
          <w:szCs w:val="22"/>
        </w:rPr>
        <w:t xml:space="preserve">. Memphis: The Cotton Foundation Publisher, pp. 625-654.</w:t>
      </w:r>
    </w:p>
    <w:p>
      <w:pPr>
        <w:widowControl w:val="on"/>
        <w:pBdr/>
        <w:spacing w:before="220" w:after="220" w:line="240" w:lineRule="auto"/>
        <w:ind w:left="0" w:right="0"/>
        <w:jc w:val="left"/>
      </w:pPr>
      <w:r>
        <w:rPr>
          <w:rFonts w:ascii="Calibri" w:hAnsi="Calibri" w:eastAsia="Calibri" w:cs="Calibri"/>
          <w:color w:val="000000"/>
          <w:sz w:val="22"/>
          <w:szCs w:val="22"/>
        </w:rPr>
        <w:t xml:space="preserve">Burbano-Figueroa O, Sierra-Monroy A, Martinez LG, Borgemeister C &amp; Luedeling E (2021) Management of the boll weevil (Coleoptera: Curculionidae) in the Colombian Caribbean: a conceptual model.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w:t>
      </w:r>
      <w:hyperlink r:id="rId96886a7b8a72a4e1e" w:history="1">
        <w:r>
          <w:rPr>
            <w:rFonts w:ascii="Calibri" w:hAnsi="Calibri" w:eastAsia="Calibri" w:cs="Calibri"/>
            <w:color w:val="0000CC"/>
            <w:sz w:val="22"/>
            <w:szCs w:val="22"/>
            <w:u w:val="single"/>
          </w:rPr>
          <w:t xml:space="preserve">https://doi.org/10.1093/jipm/pmab009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Burke HR, Clark WE, Cate JR &amp; Fryxell PA (1986) Origin and dispersal of the boll weevil. </w:t>
      </w:r>
      <w:r>
        <w:rPr>
          <w:rFonts w:ascii="Calibri" w:hAnsi="Calibri" w:eastAsia="Calibri" w:cs="Calibri"/>
          <w:i/>
          <w:iCs/>
          <w:color w:val="000000"/>
          <w:sz w:val="22"/>
          <w:szCs w:val="22"/>
        </w:rPr>
        <w:t xml:space="preserve">Bulletin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228–238.</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Panel on Plant Health (PLH), Jeger M, Bragard C, Caffier D, Candresse T, Chatzivassiliou E, Dehnen-Schmutz K, Gilioli G, Gregoire J-C, Jaques Miret JA, Navarro MN, Niere B,Parnell S, Potting R, Rafoss T, Rossi V, Urek G, Van Bruggen A, Van der Werf W, West J, Winter S, Gardi C, Bergeretti F &amp; MacLeod A (2017) Scientific opinion on the pest categorisation of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(12), 5074. </w:t>
      </w:r>
      <w:hyperlink r:id="rId84386a7b8a72a4f47" w:history="1">
        <w:r>
          <w:rPr>
            <w:rFonts w:ascii="Calibri" w:hAnsi="Calibri" w:eastAsia="Calibri" w:cs="Calibri"/>
            <w:color w:val="0000CC"/>
            <w:sz w:val="22"/>
            <w:szCs w:val="22"/>
            <w:u w:val="single"/>
          </w:rPr>
          <w:t xml:space="preserve">https://doi.org/10.2903/j.efsa. 2017.5074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10/25 Fumigation of cotton and cotton products to control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536.</w:t>
      </w:r>
    </w:p>
    <w:p>
      <w:pPr>
        <w:widowControl w:val="on"/>
        <w:pBdr/>
        <w:spacing w:before="220" w:after="220" w:line="240" w:lineRule="auto"/>
        <w:ind w:left="0" w:right="0"/>
        <w:jc w:val="left"/>
      </w:pPr>
      <w:r>
        <w:rPr>
          <w:rFonts w:ascii="Calibri" w:hAnsi="Calibri" w:eastAsia="Calibri" w:cs="Calibri"/>
          <w:color w:val="000000"/>
          <w:sz w:val="22"/>
          <w:szCs w:val="22"/>
        </w:rPr>
        <w:t xml:space="preserve">Greenberg SM, Sétamou M, Sappington TW, Liu TX, Coleman RJ &amp; Armstrong JS (2005a) Temperature-dependent development and reproduction of the boll weevil (Coleoptera: Curculionidae). </w:t>
      </w:r>
      <w:r>
        <w:rPr>
          <w:rFonts w:ascii="Calibri" w:hAnsi="Calibri" w:eastAsia="Calibri" w:cs="Calibri"/>
          <w:i/>
          <w:iCs/>
          <w:color w:val="000000"/>
          <w:sz w:val="22"/>
          <w:szCs w:val="22"/>
        </w:rPr>
        <w:t xml:space="preserve">Insect Science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449-459.</w:t>
      </w:r>
    </w:p>
    <w:p>
      <w:pPr>
        <w:widowControl w:val="on"/>
        <w:pBdr/>
        <w:spacing w:before="220" w:after="220" w:line="240" w:lineRule="auto"/>
        <w:ind w:left="0" w:right="0"/>
        <w:jc w:val="left"/>
      </w:pPr>
      <w:r>
        <w:rPr>
          <w:rFonts w:ascii="Calibri" w:hAnsi="Calibri" w:eastAsia="Calibri" w:cs="Calibri"/>
          <w:color w:val="000000"/>
          <w:sz w:val="22"/>
          <w:szCs w:val="22"/>
        </w:rPr>
        <w:t xml:space="preserve">Greenberg SM, Spurgeon DW, Sappington TW &amp; Sétamou M (2005b) Size-dependent feeding and reproduction by boll weevil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749-756.</w:t>
      </w:r>
    </w:p>
    <w:p>
      <w:pPr>
        <w:widowControl w:val="on"/>
        <w:pBdr/>
        <w:spacing w:before="220" w:after="220" w:line="240" w:lineRule="auto"/>
        <w:ind w:left="0" w:right="0"/>
        <w:jc w:val="left"/>
      </w:pPr>
      <w:r>
        <w:rPr>
          <w:rFonts w:ascii="Calibri" w:hAnsi="Calibri" w:eastAsia="Calibri" w:cs="Calibri"/>
          <w:color w:val="000000"/>
          <w:sz w:val="22"/>
          <w:szCs w:val="22"/>
        </w:rPr>
        <w:t xml:space="preserve">Jones GD &amp; Coppedge JR (1999) Foraging resources of boll weevils (Coleoptera: Curculionidae).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860–869.</w:t>
      </w:r>
    </w:p>
    <w:p>
      <w:pPr>
        <w:widowControl w:val="on"/>
        <w:pBdr/>
        <w:spacing w:before="220" w:after="220" w:line="240" w:lineRule="auto"/>
        <w:ind w:left="0" w:right="0"/>
        <w:jc w:val="left"/>
      </w:pPr>
      <w:r>
        <w:rPr>
          <w:rFonts w:ascii="Calibri" w:hAnsi="Calibri" w:eastAsia="Calibri" w:cs="Calibri"/>
          <w:color w:val="000000"/>
          <w:sz w:val="22"/>
          <w:szCs w:val="22"/>
        </w:rPr>
        <w:t xml:space="preserve">Leigh TF, Roach SH &amp; Watson TF (1996) Biology and ecology of important insect and mite pests of cotton. In King EG, Phillips JR, Coleman RJ(eds.) </w:t>
      </w:r>
      <w:r>
        <w:rPr>
          <w:rFonts w:ascii="Calibri" w:hAnsi="Calibri" w:eastAsia="Calibri" w:cs="Calibri"/>
          <w:i/>
          <w:iCs/>
          <w:color w:val="000000"/>
          <w:sz w:val="22"/>
          <w:szCs w:val="22"/>
        </w:rPr>
        <w:t xml:space="preserve">Cotton Insects and Mites: Characterization and Management</w:t>
      </w:r>
      <w:r>
        <w:rPr>
          <w:rFonts w:ascii="Calibri" w:hAnsi="Calibri" w:eastAsia="Calibri" w:cs="Calibri"/>
          <w:color w:val="000000"/>
          <w:sz w:val="22"/>
          <w:szCs w:val="22"/>
        </w:rPr>
        <w:t xml:space="preserve">, No. 3. The Cotton Foundation Reference Book Series. Memphis, Tennessee, pp. 17-85.</w:t>
      </w:r>
    </w:p>
    <w:p>
      <w:pPr>
        <w:widowControl w:val="on"/>
        <w:pBdr/>
        <w:spacing w:before="220" w:after="220" w:line="240" w:lineRule="auto"/>
        <w:ind w:left="0" w:right="0"/>
        <w:jc w:val="left"/>
      </w:pPr>
      <w:r>
        <w:rPr>
          <w:rFonts w:ascii="Calibri" w:hAnsi="Calibri" w:eastAsia="Calibri" w:cs="Calibri"/>
          <w:color w:val="000000"/>
          <w:sz w:val="22"/>
          <w:szCs w:val="22"/>
        </w:rPr>
        <w:t xml:space="preserve">Lloyd EP (1986) Ecologia do bicudo do algodoeiro. In: Barbosa S, Lukefahr MJ, Braga Sobrinho RO (eds) </w:t>
      </w:r>
      <w:r>
        <w:rPr>
          <w:rFonts w:ascii="Calibri" w:hAnsi="Calibri" w:eastAsia="Calibri" w:cs="Calibri"/>
          <w:i/>
          <w:iCs/>
          <w:color w:val="000000"/>
          <w:sz w:val="22"/>
          <w:szCs w:val="22"/>
        </w:rPr>
        <w:t xml:space="preserve">Bicudo do algodoeiro.</w:t>
      </w:r>
      <w:r>
        <w:rPr>
          <w:rFonts w:ascii="Calibri" w:hAnsi="Calibri" w:eastAsia="Calibri" w:cs="Calibri"/>
          <w:color w:val="000000"/>
          <w:sz w:val="22"/>
          <w:szCs w:val="22"/>
        </w:rPr>
        <w:t xml:space="preserve"> Brasília, Embrapa, pp. 135-144.</w:t>
      </w:r>
    </w:p>
    <w:p>
      <w:pPr>
        <w:widowControl w:val="on"/>
        <w:pBdr/>
        <w:spacing w:before="220" w:after="220" w:line="240" w:lineRule="auto"/>
        <w:ind w:left="0" w:right="0"/>
        <w:jc w:val="left"/>
      </w:pPr>
      <w:r>
        <w:rPr>
          <w:rFonts w:ascii="Calibri" w:hAnsi="Calibri" w:eastAsia="Calibri" w:cs="Calibri"/>
          <w:color w:val="000000"/>
          <w:sz w:val="22"/>
          <w:szCs w:val="22"/>
        </w:rPr>
        <w:t xml:space="preserve">Magalhães DM, Borges M, Laumann RA, Woodcock CM, Pickett JA, Birkett MA &amp; Blassioli-Moraes MC (2016) Influence of two acyclic homoterpenes (tetranorterpenes) on the foraging behavior of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Boh.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305-313.</w:t>
      </w:r>
    </w:p>
    <w:p>
      <w:pPr>
        <w:widowControl w:val="on"/>
        <w:pBdr/>
        <w:spacing w:before="220" w:after="220" w:line="240" w:lineRule="auto"/>
        <w:ind w:left="0" w:right="0"/>
        <w:jc w:val="left"/>
      </w:pPr>
      <w:r>
        <w:rPr>
          <w:rFonts w:ascii="Calibri" w:hAnsi="Calibri" w:eastAsia="Calibri" w:cs="Calibri"/>
          <w:color w:val="000000"/>
          <w:sz w:val="22"/>
          <w:szCs w:val="22"/>
        </w:rPr>
        <w:t xml:space="preserve">Neves RCS, Showler AT, Pinto ES, Bastos CS &amp; Torres JB (2013) Reducing boll weevil populations by clipping terminal buds and removing abscised fruiting bodies. </w:t>
      </w:r>
      <w:r>
        <w:rPr>
          <w:rFonts w:ascii="Calibri" w:hAnsi="Calibri" w:eastAsia="Calibri" w:cs="Calibri"/>
          <w:i/>
          <w:iCs/>
          <w:color w:val="000000"/>
          <w:sz w:val="22"/>
          <w:szCs w:val="22"/>
        </w:rPr>
        <w:t xml:space="preserve">Entomology Experimental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276-285.</w:t>
      </w:r>
    </w:p>
    <w:p>
      <w:pPr>
        <w:widowControl w:val="on"/>
        <w:pBdr/>
        <w:spacing w:before="220" w:after="220" w:line="240" w:lineRule="auto"/>
        <w:ind w:left="0" w:right="0"/>
        <w:jc w:val="left"/>
      </w:pPr>
      <w:r>
        <w:rPr>
          <w:rFonts w:ascii="Calibri" w:hAnsi="Calibri" w:eastAsia="Calibri" w:cs="Calibri"/>
          <w:color w:val="000000"/>
          <w:sz w:val="22"/>
          <w:szCs w:val="22"/>
        </w:rPr>
        <w:t xml:space="preserve">Paim EA, Dias AM, Showler AT, Campos KL, Santos AAO, Castro PPG &amp; Bastos CS(2021) Cotton row spacing for boll weevil management in low-input production systems.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105614.</w:t>
      </w:r>
    </w:p>
    <w:p>
      <w:pPr>
        <w:widowControl w:val="on"/>
        <w:pBdr/>
        <w:spacing w:before="220" w:after="220" w:line="240" w:lineRule="auto"/>
        <w:ind w:left="0" w:right="0"/>
        <w:jc w:val="left"/>
      </w:pPr>
      <w:r>
        <w:rPr>
          <w:rFonts w:ascii="Calibri" w:hAnsi="Calibri" w:eastAsia="Calibri" w:cs="Calibri"/>
          <w:color w:val="000000"/>
          <w:sz w:val="22"/>
          <w:szCs w:val="22"/>
        </w:rPr>
        <w:t xml:space="preserve">Parrott WL, Maxwell FG &amp; Jenkins JN (1966) Feeding and oviposition of the boll weevil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(Coleoptera: Curculionidae), on the rose-of-Sharon, an alternate host.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547-550.</w:t>
      </w:r>
    </w:p>
    <w:p>
      <w:pPr>
        <w:widowControl w:val="on"/>
        <w:pBdr/>
        <w:spacing w:before="220" w:after="220" w:line="240" w:lineRule="auto"/>
        <w:ind w:left="0" w:right="0"/>
        <w:jc w:val="left"/>
      </w:pPr>
      <w:r>
        <w:rPr>
          <w:rFonts w:ascii="Calibri" w:hAnsi="Calibri" w:eastAsia="Calibri" w:cs="Calibri"/>
          <w:color w:val="000000"/>
          <w:sz w:val="22"/>
          <w:szCs w:val="22"/>
        </w:rPr>
        <w:t xml:space="preserve">Perkins JH (1980) Boll weevil eradication.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207</w:t>
      </w:r>
      <w:r>
        <w:rPr>
          <w:rFonts w:ascii="Calibri" w:hAnsi="Calibri" w:eastAsia="Calibri" w:cs="Calibri"/>
          <w:color w:val="000000"/>
          <w:sz w:val="22"/>
          <w:szCs w:val="22"/>
        </w:rPr>
        <w:t xml:space="preserve">, 1044-1050.</w:t>
      </w:r>
    </w:p>
    <w:p>
      <w:pPr>
        <w:widowControl w:val="on"/>
        <w:pBdr/>
        <w:spacing w:before="220" w:after="220" w:line="240" w:lineRule="auto"/>
        <w:ind w:left="0" w:right="0"/>
        <w:jc w:val="left"/>
      </w:pPr>
      <w:r>
        <w:rPr>
          <w:rFonts w:ascii="Calibri" w:hAnsi="Calibri" w:eastAsia="Calibri" w:cs="Calibri"/>
          <w:color w:val="000000"/>
          <w:sz w:val="22"/>
          <w:szCs w:val="22"/>
        </w:rPr>
        <w:t xml:space="preserve">Raszick TY (2021) Boll weevil eradication: a success story of science in the service of policy and industry.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702-708.</w:t>
      </w:r>
    </w:p>
    <w:p>
      <w:pPr>
        <w:widowControl w:val="on"/>
        <w:pBdr/>
        <w:spacing w:before="220" w:after="220" w:line="240" w:lineRule="auto"/>
        <w:ind w:left="0" w:right="0"/>
        <w:jc w:val="left"/>
      </w:pPr>
      <w:r>
        <w:rPr>
          <w:rFonts w:ascii="Calibri" w:hAnsi="Calibri" w:eastAsia="Calibri" w:cs="Calibri"/>
          <w:color w:val="000000"/>
          <w:sz w:val="22"/>
          <w:szCs w:val="22"/>
        </w:rPr>
        <w:t xml:space="preserve">Raszick TJ, Dickens CM, Perkin LC, Tessnow AE, Suh C, Ruiz-Arce R, Boratynski TN, Falco MR, Johnston JS &amp; Sword GA (2021) Population genomics and phylogeography of the boll weevil,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Boheman (Coleoptera: Curculionidae), in the United States, northern Mexico, and Argentina.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1778-1793.</w:t>
      </w:r>
    </w:p>
    <w:p>
      <w:pPr>
        <w:widowControl w:val="on"/>
        <w:pBdr/>
        <w:spacing w:before="220" w:after="220" w:line="240" w:lineRule="auto"/>
        <w:ind w:left="0" w:right="0"/>
        <w:jc w:val="left"/>
      </w:pPr>
      <w:r>
        <w:rPr>
          <w:rFonts w:ascii="Calibri" w:hAnsi="Calibri" w:eastAsia="Calibri" w:cs="Calibri"/>
          <w:color w:val="000000"/>
          <w:sz w:val="22"/>
          <w:szCs w:val="22"/>
        </w:rPr>
        <w:t xml:space="preserve">Roehrdanz R (2001) Genetic differentiation of Southeastern boll weevil and Thurberia weevil populations of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(Coleoptera: Curculionidae) using mitochondrial DNA.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928-935.</w:t>
      </w:r>
    </w:p>
    <w:p>
      <w:pPr>
        <w:widowControl w:val="on"/>
        <w:pBdr/>
        <w:spacing w:before="220" w:after="220" w:line="240" w:lineRule="auto"/>
        <w:ind w:left="0" w:right="0"/>
        <w:jc w:val="left"/>
      </w:pPr>
      <w:r>
        <w:rPr>
          <w:rFonts w:ascii="Calibri" w:hAnsi="Calibri" w:eastAsia="Calibri" w:cs="Calibri"/>
          <w:color w:val="000000"/>
          <w:sz w:val="22"/>
          <w:szCs w:val="22"/>
        </w:rPr>
        <w:t xml:space="preserve">Santos PJ, Dias AM, Campos KL, Araújo ACA, Oliveira AAS, Suinaga FA, Torres JB &amp; Bastos CS (2023) Planting date of cotton in the Brazilian Cerrado drives boll weevil (Coleoptera: Curculionidae) infestation.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599.</w:t>
      </w:r>
    </w:p>
    <w:p>
      <w:pPr>
        <w:widowControl w:val="on"/>
        <w:pBdr/>
        <w:spacing w:before="220" w:after="220" w:line="240" w:lineRule="auto"/>
        <w:ind w:left="0" w:right="0"/>
        <w:jc w:val="left"/>
      </w:pPr>
      <w:r>
        <w:rPr>
          <w:rFonts w:ascii="Calibri" w:hAnsi="Calibri" w:eastAsia="Calibri" w:cs="Calibri"/>
          <w:color w:val="000000"/>
          <w:sz w:val="22"/>
          <w:szCs w:val="22"/>
        </w:rPr>
        <w:t xml:space="preserve">Sappington TW &amp; Spurgeon DW (2000) Preferred technique for adult sex determination of the boll weevil (Coleoptera: Curculionidae).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610–615.</w:t>
      </w:r>
    </w:p>
    <w:p>
      <w:pPr>
        <w:widowControl w:val="on"/>
        <w:pBdr/>
        <w:spacing w:before="220" w:after="220" w:line="240" w:lineRule="auto"/>
        <w:ind w:left="0" w:right="0"/>
        <w:jc w:val="left"/>
      </w:pPr>
      <w:r>
        <w:rPr>
          <w:rFonts w:ascii="Calibri" w:hAnsi="Calibri" w:eastAsia="Calibri" w:cs="Calibri"/>
          <w:color w:val="000000"/>
          <w:sz w:val="22"/>
          <w:szCs w:val="22"/>
        </w:rPr>
        <w:t xml:space="preserve">Scataglini MA, Confalonieri VA &amp; Lanteri AA (2000) Dispersal of the cotton boll weevil in South America: evidence of the RAPDs analysis. </w:t>
      </w:r>
      <w:r>
        <w:rPr>
          <w:rFonts w:ascii="Calibri" w:hAnsi="Calibri" w:eastAsia="Calibri" w:cs="Calibri"/>
          <w:i/>
          <w:iCs/>
          <w:color w:val="000000"/>
          <w:sz w:val="22"/>
          <w:szCs w:val="22"/>
        </w:rPr>
        <w:t xml:space="preserve">Genetica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127–136.</w:t>
      </w:r>
    </w:p>
    <w:p>
      <w:pPr>
        <w:widowControl w:val="on"/>
        <w:pBdr/>
        <w:spacing w:before="220" w:after="220" w:line="240" w:lineRule="auto"/>
        <w:ind w:left="0" w:right="0"/>
        <w:jc w:val="left"/>
      </w:pPr>
      <w:r>
        <w:rPr>
          <w:rFonts w:ascii="Calibri" w:hAnsi="Calibri" w:eastAsia="Calibri" w:cs="Calibri"/>
          <w:color w:val="000000"/>
          <w:sz w:val="22"/>
          <w:szCs w:val="22"/>
        </w:rPr>
        <w:t xml:space="preserve">Showler AT (2005) Relationships of different cotton square sizes to boll weevil (Coleoptera: Curculionidae) feeding and oviposition in field conditions.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1572-1579.</w:t>
      </w:r>
    </w:p>
    <w:p>
      <w:pPr>
        <w:widowControl w:val="on"/>
        <w:pBdr/>
        <w:spacing w:before="220" w:after="220" w:line="240" w:lineRule="auto"/>
        <w:ind w:left="0" w:right="0"/>
        <w:jc w:val="left"/>
      </w:pPr>
      <w:r>
        <w:rPr>
          <w:rFonts w:ascii="Calibri" w:hAnsi="Calibri" w:eastAsia="Calibri" w:cs="Calibri"/>
          <w:color w:val="000000"/>
          <w:sz w:val="22"/>
          <w:szCs w:val="22"/>
        </w:rPr>
        <w:t xml:space="preserve">Schwartz PH (1983) Losses in yield of cotton due to insects. Agriculture Handbook, USDA, No. 589, 329-358.</w:t>
      </w:r>
    </w:p>
    <w:p>
      <w:pPr>
        <w:widowControl w:val="on"/>
        <w:pBdr/>
        <w:spacing w:before="220" w:after="220" w:line="240" w:lineRule="auto"/>
        <w:ind w:left="0" w:right="0"/>
        <w:jc w:val="left"/>
      </w:pPr>
      <w:r>
        <w:rPr>
          <w:rFonts w:ascii="Calibri" w:hAnsi="Calibri" w:eastAsia="Calibri" w:cs="Calibri"/>
          <w:color w:val="000000"/>
          <w:sz w:val="22"/>
          <w:szCs w:val="22"/>
        </w:rPr>
        <w:t xml:space="preserve">Showler AT (2007) Subtropical boll weevil ecology. </w:t>
      </w:r>
      <w:r>
        <w:rPr>
          <w:rFonts w:ascii="Calibri" w:hAnsi="Calibri" w:eastAsia="Calibri" w:cs="Calibri"/>
          <w:i/>
          <w:iCs/>
          <w:color w:val="000000"/>
          <w:sz w:val="22"/>
          <w:szCs w:val="22"/>
        </w:rPr>
        <w:t xml:space="preserve">American Entomologist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240-249.</w:t>
      </w:r>
    </w:p>
    <w:p>
      <w:pPr>
        <w:widowControl w:val="on"/>
        <w:pBdr/>
        <w:spacing w:before="220" w:after="220" w:line="240" w:lineRule="auto"/>
        <w:ind w:left="0" w:right="0"/>
        <w:jc w:val="left"/>
      </w:pPr>
      <w:r>
        <w:rPr>
          <w:rFonts w:ascii="Calibri" w:hAnsi="Calibri" w:eastAsia="Calibri" w:cs="Calibri"/>
          <w:color w:val="000000"/>
          <w:sz w:val="22"/>
          <w:szCs w:val="22"/>
        </w:rPr>
        <w:t xml:space="preserve">Showler AT &amp; Cantú RV (2005) Intervals between boll weevil (Coleoptera: Curculionidae) oviposition and square abscission, and development to adulthood in Lower Rio Grande Valley, Texas, field conditions.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161-164.</w:t>
      </w:r>
    </w:p>
    <w:p>
      <w:pPr>
        <w:widowControl w:val="on"/>
        <w:pBdr/>
        <w:spacing w:before="220" w:after="220" w:line="240" w:lineRule="auto"/>
        <w:ind w:left="0" w:right="0"/>
        <w:jc w:val="left"/>
      </w:pPr>
      <w:r>
        <w:rPr>
          <w:rFonts w:ascii="Calibri" w:hAnsi="Calibri" w:eastAsia="Calibri" w:cs="Calibri"/>
          <w:color w:val="000000"/>
          <w:sz w:val="22"/>
          <w:szCs w:val="22"/>
        </w:rPr>
        <w:t xml:space="preserve">Soto M &amp; Reyes P (2014) New distributional records of two species of </w:t>
      </w:r>
      <w:r>
        <w:rPr>
          <w:rFonts w:ascii="Calibri" w:hAnsi="Calibri" w:eastAsia="Calibri" w:cs="Calibri"/>
          <w:i/>
          <w:iCs/>
          <w:color w:val="000000"/>
          <w:sz w:val="22"/>
          <w:szCs w:val="22"/>
        </w:rPr>
        <w:t xml:space="preserve">Anthonomocyllus</w:t>
      </w:r>
      <w:r>
        <w:rPr>
          <w:rFonts w:ascii="Calibri" w:hAnsi="Calibri" w:eastAsia="Calibri" w:cs="Calibri"/>
          <w:color w:val="000000"/>
          <w:sz w:val="22"/>
          <w:szCs w:val="22"/>
        </w:rPr>
        <w:t xml:space="preserve"> (Curculionidae, Anthonomini) for Mexico. </w:t>
      </w:r>
      <w:r>
        <w:rPr>
          <w:rFonts w:ascii="Calibri" w:hAnsi="Calibri" w:eastAsia="Calibri" w:cs="Calibri"/>
          <w:i/>
          <w:iCs/>
          <w:color w:val="000000"/>
          <w:sz w:val="22"/>
          <w:szCs w:val="22"/>
        </w:rPr>
        <w:t xml:space="preserve">Revista Colombiana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292-295.</w:t>
      </w:r>
    </w:p>
    <w:p>
      <w:pPr>
        <w:widowControl w:val="on"/>
        <w:pBdr/>
        <w:spacing w:before="220" w:after="220" w:line="240" w:lineRule="auto"/>
        <w:ind w:left="0" w:right="0"/>
        <w:jc w:val="left"/>
      </w:pPr>
      <w:r>
        <w:rPr>
          <w:rFonts w:ascii="Calibri" w:hAnsi="Calibri" w:eastAsia="Calibri" w:cs="Calibri"/>
          <w:color w:val="000000"/>
          <w:sz w:val="22"/>
          <w:szCs w:val="22"/>
        </w:rPr>
        <w:t xml:space="preserve">Stadler T &amp; Buteler M (2007) Migration and dispersal of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(Coleoptera: Curculionidae) in South America. </w:t>
      </w:r>
      <w:r>
        <w:rPr>
          <w:rFonts w:ascii="Calibri" w:hAnsi="Calibri" w:eastAsia="Calibri" w:cs="Calibri"/>
          <w:i/>
          <w:iCs/>
          <w:color w:val="000000"/>
          <w:sz w:val="22"/>
          <w:szCs w:val="22"/>
        </w:rPr>
        <w:t xml:space="preserve">Revista de la Sociedad Entomológica Argentina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205-217.</w:t>
      </w:r>
    </w:p>
    <w:p>
      <w:pPr>
        <w:widowControl w:val="on"/>
        <w:pBdr/>
        <w:spacing w:before="220" w:after="220" w:line="240" w:lineRule="auto"/>
        <w:ind w:left="0" w:right="0"/>
        <w:jc w:val="left"/>
      </w:pPr>
      <w:r>
        <w:rPr>
          <w:rFonts w:ascii="Calibri" w:hAnsi="Calibri" w:eastAsia="Calibri" w:cs="Calibri"/>
          <w:color w:val="000000"/>
          <w:sz w:val="22"/>
          <w:szCs w:val="22"/>
        </w:rPr>
        <w:t xml:space="preserve">Torres JB, Rolim GG, Arruda LS, Santos MP, Leite SA &amp; Never RC (2022) Insecticides in use and risk of control failure of boll weevil (Coleoptera: Curculionidae) in the Brazilian Cerrado.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613–627.</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(2022) History highlight: APHIS launces large-scale boll weevil eradication program. USDA. Available at: </w:t>
      </w:r>
      <w:hyperlink r:id="rId22256a7b8a72a58e1" w:history="1">
        <w:r>
          <w:rPr>
            <w:rFonts w:ascii="Calibri" w:hAnsi="Calibri" w:eastAsia="Calibri" w:cs="Calibri"/>
            <w:color w:val="0000CC"/>
            <w:sz w:val="22"/>
            <w:szCs w:val="22"/>
            <w:u w:val="single"/>
          </w:rPr>
          <w:t xml:space="preserve">https://www.aphis.usda.gov/aphis/newsroom/stakeholder-info/SA_By_Date/SA-2022/aphis50-boll-weevil-eradication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Williams MR (1997) Cotton insect losses 1979-1996. In Proceedings of the 1997 Beltwide Cotton Conferences. Memphis, USA: National Cotton Council, 2, 854-856.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Cristina Schetino Bastos (Faculdade de Agronomia e Medicina Veterinária, Universidade de Brasília, Campus Darcy Ribeiro, Brasília, Distrito Federal, Brazil) and Jorge Braz Torres (Departamento de Agronomia - Entomologia, Universidade Federal Rural de Pernambuco, Recife, Pernambuco, Brazil).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EPPO datasheets on pests recommended for regulation. Available online. </w:t>
      </w:r>
      <w:hyperlink r:id="rId52196a7b8a72a59c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EPPO Data Sheet on Quarantine Organisms no 34: </w:t>
      </w:r>
      <w:r>
        <w:rPr>
          <w:rFonts w:ascii="Calibri" w:hAnsi="Calibri" w:eastAsia="Calibri" w:cs="Calibri"/>
          <w:i/>
          <w:iCs/>
          <w:color w:val="000000"/>
          <w:sz w:val="22"/>
          <w:szCs w:val="22"/>
        </w:rPr>
        <w:t xml:space="preserve">Anthonomus grandis.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4 pp. </w:t>
      </w:r>
      <w:hyperlink r:id="rId17666a7b8a72a5b1f" w:history="1">
        <w:r>
          <w:rPr>
            <w:rFonts w:ascii="Calibri" w:hAnsi="Calibri" w:eastAsia="Calibri" w:cs="Calibri"/>
            <w:color w:val="0000CC"/>
            <w:sz w:val="22"/>
            <w:szCs w:val="22"/>
            <w:u w:val="single"/>
          </w:rPr>
          <w:t xml:space="preserve">https://onlinelibrary.wiley.com/doi/epdf/10.1111/j.1365-2338.1979.tb02460.x</w:t>
        </w:r>
      </w:hyperlink>
    </w:p>
    <w:p>
      <w:r>
        <w:drawing>
          <wp:inline distT="0" distB="0" distL="0" distR="0">
            <wp:extent cx="1800000" cy="604800"/>
            <wp:docPr id="76407919" name="name13996a7b8a72a5d6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5706a7b8a72a5d6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760545">
    <w:multiLevelType w:val="hybridMultilevel"/>
    <w:lvl w:ilvl="0" w:tplc="40961643">
      <w:start w:val="1"/>
      <w:numFmt w:val="decimal"/>
      <w:lvlText w:val="%1."/>
      <w:lvlJc w:val="left"/>
      <w:pPr>
        <w:ind w:left="720" w:hanging="360"/>
      </w:pPr>
    </w:lvl>
    <w:lvl w:ilvl="1" w:tplc="40961643" w:tentative="1">
      <w:start w:val="1"/>
      <w:numFmt w:val="lowerLetter"/>
      <w:lvlText w:val="%2."/>
      <w:lvlJc w:val="left"/>
      <w:pPr>
        <w:ind w:left="1440" w:hanging="360"/>
      </w:pPr>
    </w:lvl>
    <w:lvl w:ilvl="2" w:tplc="40961643" w:tentative="1">
      <w:start w:val="1"/>
      <w:numFmt w:val="lowerRoman"/>
      <w:lvlText w:val="%3."/>
      <w:lvlJc w:val="right"/>
      <w:pPr>
        <w:ind w:left="2160" w:hanging="180"/>
      </w:pPr>
    </w:lvl>
    <w:lvl w:ilvl="3" w:tplc="40961643" w:tentative="1">
      <w:start w:val="1"/>
      <w:numFmt w:val="decimal"/>
      <w:lvlText w:val="%4."/>
      <w:lvlJc w:val="left"/>
      <w:pPr>
        <w:ind w:left="2880" w:hanging="360"/>
      </w:pPr>
    </w:lvl>
    <w:lvl w:ilvl="4" w:tplc="40961643" w:tentative="1">
      <w:start w:val="1"/>
      <w:numFmt w:val="lowerLetter"/>
      <w:lvlText w:val="%5."/>
      <w:lvlJc w:val="left"/>
      <w:pPr>
        <w:ind w:left="3600" w:hanging="360"/>
      </w:pPr>
    </w:lvl>
    <w:lvl w:ilvl="5" w:tplc="40961643" w:tentative="1">
      <w:start w:val="1"/>
      <w:numFmt w:val="lowerRoman"/>
      <w:lvlText w:val="%6."/>
      <w:lvlJc w:val="right"/>
      <w:pPr>
        <w:ind w:left="4320" w:hanging="180"/>
      </w:pPr>
    </w:lvl>
    <w:lvl w:ilvl="6" w:tplc="40961643" w:tentative="1">
      <w:start w:val="1"/>
      <w:numFmt w:val="decimal"/>
      <w:lvlText w:val="%7."/>
      <w:lvlJc w:val="left"/>
      <w:pPr>
        <w:ind w:left="5040" w:hanging="360"/>
      </w:pPr>
    </w:lvl>
    <w:lvl w:ilvl="7" w:tplc="40961643" w:tentative="1">
      <w:start w:val="1"/>
      <w:numFmt w:val="lowerLetter"/>
      <w:lvlText w:val="%8."/>
      <w:lvlJc w:val="left"/>
      <w:pPr>
        <w:ind w:left="5760" w:hanging="360"/>
      </w:pPr>
    </w:lvl>
    <w:lvl w:ilvl="8" w:tplc="40961643" w:tentative="1">
      <w:start w:val="1"/>
      <w:numFmt w:val="lowerRoman"/>
      <w:lvlText w:val="%9."/>
      <w:lvlJc w:val="right"/>
      <w:pPr>
        <w:ind w:left="6480" w:hanging="180"/>
      </w:pPr>
    </w:lvl>
  </w:abstractNum>
  <w:abstractNum w:abstractNumId="57760544">
    <w:multiLevelType w:val="hybridMultilevel"/>
    <w:lvl w:ilvl="0" w:tplc="782841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760544">
    <w:abstractNumId w:val="57760544"/>
  </w:num>
  <w:num w:numId="57760545">
    <w:abstractNumId w:val="5776054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8010861" Type="http://schemas.microsoft.com/office/2011/relationships/commentsExtended" Target="commentsExtended.xml"/><Relationship Id="rId531156348" Type="http://schemas.microsoft.com/office/2011/relationships/people" Target="people.xml"/><Relationship Id="rId91746a7b8a72a13ef" Type="http://schemas.openxmlformats.org/officeDocument/2006/relationships/hyperlink" Target="https://gd.eppo.int/taxon/ANTHGR/" TargetMode="External"/><Relationship Id="rId17786a7b8a72a14a3" Type="http://schemas.openxmlformats.org/officeDocument/2006/relationships/hyperlink" Target="https://gd.eppo.int/taxon/ANTHGR/categorization" TargetMode="External"/><Relationship Id="rId14186a7b8a72a1fe5" Type="http://schemas.openxmlformats.org/officeDocument/2006/relationships/hyperlink" Target="https://gd.eppo.int/taxon/ANTHGR/photos" TargetMode="External"/><Relationship Id="rId96886a7b8a72a4e1e" Type="http://schemas.openxmlformats.org/officeDocument/2006/relationships/hyperlink" Target="https://doi.org/10.1093/jipm/pmab009" TargetMode="External"/><Relationship Id="rId84386a7b8a72a4f47" Type="http://schemas.openxmlformats.org/officeDocument/2006/relationships/hyperlink" Target="https://doi.org/10.2903/j.efsa.%202017.5074" TargetMode="External"/><Relationship Id="rId22256a7b8a72a58e1" Type="http://schemas.openxmlformats.org/officeDocument/2006/relationships/hyperlink" Target="https://www.aphis.usda.gov/aphis/newsroom/stakeholder-info/SA_By_Date/SA-2022/aphis50-boll-weevil-eradication" TargetMode="External"/><Relationship Id="rId52196a7b8a72a59c2" Type="http://schemas.openxmlformats.org/officeDocument/2006/relationships/hyperlink" Target="https://gd.eppo.int" TargetMode="External"/><Relationship Id="rId17666a7b8a72a5b1f" Type="http://schemas.openxmlformats.org/officeDocument/2006/relationships/hyperlink" Target="https://onlinelibrary.wiley.com/doi/epdf/10.1111/j.1365-2338.1979.tb02460.x" TargetMode="External"/><Relationship Id="rId71096a7b8a72a1ea7" Type="http://schemas.openxmlformats.org/officeDocument/2006/relationships/image" Target="media/imgrId71096a7b8a72a1ea7.jpg"/><Relationship Id="rId88986a7b8a72a3f18" Type="http://schemas.openxmlformats.org/officeDocument/2006/relationships/image" Target="media/imgrId88986a7b8a72a3f18.jpg"/><Relationship Id="rId25706a7b8a72a5d6d" Type="http://schemas.openxmlformats.org/officeDocument/2006/relationships/image" Target="media/imgrId25706a7b8a72a5d6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