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Anthonomus eugenii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Anthonomus eugenii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Cano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Curculioninae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Anthonomochaeta eugenii</w:t>
            </w:r>
            <w:r>
              <w:rPr>
                <w:rFonts w:ascii="Calibri" w:hAnsi="Calibri" w:eastAsia="Calibri" w:cs="Calibri"/>
                <w:color w:val="000000"/>
                <w:position w:val="-3"/>
                <w:sz w:val="22"/>
                <w:szCs w:val="22"/>
              </w:rPr>
              <w:t xml:space="preserve"> (Cano), </w:t>
            </w:r>
            <w:r>
              <w:rPr>
                <w:rFonts w:ascii="Calibri" w:hAnsi="Calibri" w:eastAsia="Calibri" w:cs="Calibri"/>
                <w:i/>
                <w:iCs/>
                <w:color w:val="000000"/>
                <w:position w:val="-3"/>
                <w:sz w:val="22"/>
                <w:szCs w:val="22"/>
              </w:rPr>
              <w:t xml:space="preserve">Anthonomus aeneotinctus</w:t>
            </w:r>
            <w:r>
              <w:rPr>
                <w:rFonts w:ascii="Calibri" w:hAnsi="Calibri" w:eastAsia="Calibri" w:cs="Calibri"/>
                <w:color w:val="000000"/>
                <w:position w:val="-3"/>
                <w:sz w:val="22"/>
                <w:szCs w:val="22"/>
              </w:rPr>
              <w:t xml:space="preserve"> Champion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pepper weevil</w:t>
            </w:r>
            <w:hyperlink r:id="rId58156aaf4bd493fa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6206aaf4bd49401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ANTHEU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7318607" name="name88236aaf4bd4940e1" descr="8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51.jpg"/>
                          <pic:cNvPicPr/>
                        </pic:nvPicPr>
                        <pic:blipFill>
                          <a:blip r:embed="rId79786aaf4bd4940e0" cstate="print"/>
                          <a:stretch>
                            <a:fillRect/>
                          </a:stretch>
                        </pic:blipFill>
                        <pic:spPr>
                          <a:xfrm>
                            <a:off x="0" y="0"/>
                            <a:ext cx="2160000" cy="1281600"/>
                          </a:xfrm>
                          <a:prstGeom prst="rect">
                            <a:avLst/>
                          </a:prstGeom>
                          <a:ln w="0">
                            <a:noFill/>
                          </a:ln>
                        </pic:spPr>
                      </pic:pic>
                    </a:graphicData>
                  </a:graphic>
                </wp:inline>
              </w:drawing>
            </w:r>
            <w:hyperlink r:id="rId72426aaf4bd4941e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Anthonomus</w:t>
      </w:r>
      <w:r>
        <w:rPr>
          <w:rFonts w:ascii="Calibri" w:hAnsi="Calibri" w:eastAsia="Calibri" w:cs="Calibri"/>
          <w:color w:val="000000"/>
          <w:sz w:val="22"/>
          <w:szCs w:val="22"/>
        </w:rPr>
        <w:t xml:space="preserve"> is a large genus (more than 180 species) and is widely distributed.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are cultivated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including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frutescens</w:t>
      </w:r>
      <w:r>
        <w:rPr>
          <w:rFonts w:ascii="Calibri" w:hAnsi="Calibri" w:eastAsia="Calibri" w:cs="Calibri"/>
          <w:color w:val="000000"/>
          <w:sz w:val="22"/>
          <w:szCs w:val="22"/>
        </w:rPr>
        <w:t xml:space="preserve"> (Acosta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and some wild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Capinera (2017) reports that tomatillo, </w:t>
      </w:r>
      <w:r>
        <w:rPr>
          <w:rFonts w:ascii="Calibri" w:hAnsi="Calibri" w:eastAsia="Calibri" w:cs="Calibri"/>
          <w:i/>
          <w:iCs/>
          <w:color w:val="000000"/>
          <w:sz w:val="22"/>
          <w:szCs w:val="22"/>
        </w:rPr>
        <w:t xml:space="preserve">Physalis philadelphica</w:t>
      </w:r>
      <w:r>
        <w:rPr>
          <w:rFonts w:ascii="Calibri" w:hAnsi="Calibri" w:eastAsia="Calibri" w:cs="Calibri"/>
          <w:color w:val="000000"/>
          <w:sz w:val="22"/>
          <w:szCs w:val="22"/>
        </w:rPr>
        <w:t xml:space="preserve">, is a moderately susceptible host. Other Solanaceae are also attacked, including aubergines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and many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(Patrock &amp; Schuster, 1992).  Oviposition and larval development appear to be restricted to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Adults may also feed on other Solanaceae such as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(Patrock &amp; Schuster, 1992), </w:t>
      </w:r>
      <w:r>
        <w:rPr>
          <w:rFonts w:ascii="Calibri" w:hAnsi="Calibri" w:eastAsia="Calibri" w:cs="Calibri"/>
          <w:i/>
          <w:iCs/>
          <w:color w:val="000000"/>
          <w:sz w:val="22"/>
          <w:szCs w:val="22"/>
        </w:rPr>
        <w:t xml:space="preserve">Calibrachoa parviflora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Petunia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a variety of other plants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Patrock &amp; Schuster, 1992, Seal &amp; Martin, 2016). Adults have been reported to feed on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but no oviposition has been observed on potato.</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glaucophyllum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originates from Mexico from where it has spread through Central America, the Caribbean, French Polynesia and Hawaii (Defra, 2020) and southern states of the USA in the first part of the 20th century.  </w:t>
      </w:r>
    </w:p>
    <w:p>
      <w:r>
        <w:drawing>
          <wp:inline distT="0" distB="0" distL="0" distR="0">
            <wp:extent cx="6120000" cy="3067200"/>
            <wp:docPr id="27773051" name="name83966aaf4bd494f52" descr="ANTHE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HEU_distribution_map.jpg"/>
                    <pic:cNvPicPr/>
                  </pic:nvPicPr>
                  <pic:blipFill>
                    <a:blip r:embed="rId12886aaf4bd494f4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(Arizona, California, Florida, Georgia, Hawaii, Louisiana, New Jersey, New Mexico, North Carolina, South Carolina,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Dominican Republic, El Salvador, Guatemala, Honduras, Nicaragua, Panama, Puerto Rico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French Polynesia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 to adult development time at 26-28°C was approximately 14 days in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(Patrock &amp; Schuster, 1992). In the laboratory, the egg stage took 3.6 days, the larval stage 9.5 days, the pupal stage 3.3 days and the adult stage 3.1 days (egg to adult 16.4 days) (Gordon &amp; Armstrong, 1990). In Florida (USA), the egg takes 2.5-3 days, larva 6-12 days and pupa 3-6 days to develop. Adults are found throughout the year except for December and January. The adults usually spend the winter on weeds (wild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species) or old pepper plants. No diapause has been observed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Overwintering adults can live for 10 months, but adults only live for 2-3 months in the summer. Females lay approximately 5-7 eggs a day with a total of approximately 340-600 eggs in their lifetime. Eggs are deposited singly in the bud or fruit after the female has created an egg cavity with her mouthparts. She covers this cavity with a light brown anal secretion that hardens. The oviposition period is around 51 days (Toapanta, 2005).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has several generations per year with the number of generations depending on the temperature (e.g. a two-week lifecycle at 27 °C, a three-week life cycle 21°C and a six-week lifecycle at 15°C). The optimum temperature for development is 30°C but declined at 33°C (Toapanta,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leaves, blossoms, stem material and fruit. Adult feeding on the fruit causes dark specks (EFSA, 2020) and internal fruit damage (Riley and Sparks, 1995), females bore into fruits and flower buds for oviposition.  Females show a preference towards the upper portion of the fruit (Seal &amp; Martin, 2016) The created wounds facilitate the entry of the fungus </w:t>
      </w:r>
      <w:r>
        <w:rPr>
          <w:rFonts w:ascii="Calibri" w:hAnsi="Calibri" w:eastAsia="Calibri" w:cs="Calibri"/>
          <w:i/>
          <w:iCs/>
          <w:color w:val="000000"/>
          <w:sz w:val="22"/>
          <w:szCs w:val="22"/>
        </w:rPr>
        <w:t xml:space="preserve">Alternaria alternata</w:t>
      </w:r>
      <w:r>
        <w:rPr>
          <w:rFonts w:ascii="Calibri" w:hAnsi="Calibri" w:eastAsia="Calibri" w:cs="Calibri"/>
          <w:color w:val="000000"/>
          <w:sz w:val="22"/>
          <w:szCs w:val="22"/>
        </w:rPr>
        <w:t xml:space="preserve"> which can develop internally and cause fruit rot (Bruton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Early signs of the presence of the weevil are small holes in immature fruits and small circular or oval holes (2-5 mm) in leaves. These can be mistaken for slug or caterpillar damage. Larvae feed on seeds and other tissue in the developing fruits (Costello &amp; Gillespie, 1993) and this causes fruit deformation, discoloration, including browning of the core, and premature ripening and abscission of the developing fruit (Capinera,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is dark brown (light brown when newly emerged) to greyish black (Rily &amp; Sparks ,1995), 2.0 -3.5 mm long and 1.5-1.8 mm wide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It has an arched oval body that is covered with small white/yellow scales and has a long snout. The last larval stage is approximately 5 mm. The larva is greyish white/yellow with a pale brown head with dark mouthparts, body is c-shaped and legless. The pupa is white and becomes yellower with brown eyes when it develops. The eggs are white (later becoming yellow) and about 0.5 mm long (Defra, 2020).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species identification can be performed on adult beetles (not on eggs, larvae or pupae). A key to the Mexican and Central American genera of Anthonomini (Curculionidae, Curculioninae) has been published by 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key to the </w:t>
      </w:r>
      <w:r>
        <w:rPr>
          <w:rFonts w:ascii="Calibri" w:hAnsi="Calibri" w:eastAsia="Calibri" w:cs="Calibri"/>
          <w:i/>
          <w:iCs/>
          <w:color w:val="000000"/>
          <w:sz w:val="22"/>
          <w:szCs w:val="22"/>
        </w:rPr>
        <w:t xml:space="preserve">Anthonomus</w:t>
      </w:r>
      <w:r>
        <w:rPr>
          <w:rFonts w:ascii="Calibri" w:hAnsi="Calibri" w:eastAsia="Calibri" w:cs="Calibri"/>
          <w:color w:val="000000"/>
          <w:sz w:val="22"/>
          <w:szCs w:val="22"/>
        </w:rPr>
        <w:t xml:space="preserve"> species (that are associated with Solanaceae) has been published by Clark &amp; Burke (1996). There are other weevils on the same hosts which are the same size and have the same geographical distribution. For confirmation of an identification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DNA barcoding can be used (EPPO, 2016).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can only spread naturally over limited distances, however, it is liable to be transported internationally in fruits of capsicums and possibly aubergines. This is presumably the pathway for spread that has occurred e.g. in Central America. Adults can survive prolonged cool conditions (2-5°C) for over 3 weeks and be transported as immature stages in fresh fruits (Costello &amp; Gillespie, 1993). Fruits of wild hosts could accidentally contaminate poorly packed consignments.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damage to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spp. is the destruction of blossom buds and immature fruits, which turn yellow and fall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In Puerto Rico, the theoretical economic injury level was calculated at 0.01 adults per plant, and fruit abortion was the main cause of yield loss (Segarra-Carmona &amp; Pantoja, 1988). There appears to be a direct relationship between pepper weevil damage and internal mould due to </w:t>
      </w:r>
      <w:r>
        <w:rPr>
          <w:rFonts w:ascii="Calibri" w:hAnsi="Calibri" w:eastAsia="Calibri" w:cs="Calibri"/>
          <w:i/>
          <w:iCs/>
          <w:color w:val="000000"/>
          <w:sz w:val="22"/>
          <w:szCs w:val="22"/>
        </w:rPr>
        <w:t xml:space="preserve">Alternaria alternata</w:t>
      </w:r>
      <w:r>
        <w:rPr>
          <w:rFonts w:ascii="Calibri" w:hAnsi="Calibri" w:eastAsia="Calibri" w:cs="Calibri"/>
          <w:color w:val="000000"/>
          <w:sz w:val="22"/>
          <w:szCs w:val="22"/>
        </w:rPr>
        <w:t xml:space="preserve"> (Bruton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In 1926, losses of 500 000 USD to the Californian pepper crop were reported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In the USA, the pepper weevil has caused average crop losses of 10% (Riley &amp; King, 1994). 50 % losses are reported and the loss of whole pepper fields has occurred (Elmore, 1934). Fruit loss can reach 30% to 90% of the yield if treatment is not implemented (Riley &amp; Sparks, 1995). Costello &amp; Gillespie (1993) reported serious damage by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to glasshouse peppers in British Columbia (Canada) in summer 1992, but the outbreak was subsequently eradicated. EPPO (2012) reports the first outbreak in the EPPO region which occurred in 2012 in the Netherlands where the pest was found in several glasshouses producing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This outbreak was eradicated in 2013 (EPPO,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state of Texas (US), 8-15 different insecticide sprays are available to control infestations (Cartwright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Oxamyl was the most effective insecticide in Puerto Rico (Armstrong, 1994). Bud cluster damage of 1-5% was found to be the best threshold for insecticide treatment. Different thresholds have been defined for low and high-input production systems (Riley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Management is difficult and requires precise knowledge of developmental times and thresholds for maximum efficiency (insecticides only target adults). Yellow sticky traps can be used to monitor populations (Riley &amp; Schuster, 1994). There are cultivar differences in susceptibility, mainly arising from the timing of fruit maturation (Berdegue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Canada, successful eradication was achieved by clearing glasshouses of all crop residues, spraying with hydrated lime, removing all standing water, maintaining 20°C or over for at least 10 days and fumigating with a variety of products. The Netherlands used pesticide applications in combination with the destruction of affected crops and growing medium to eradicate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glasshouse infestations. Several Hymenoptera parasitoids have been found in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infested pepper fruits in Mexico and Canada. The most abundant of these larval or egg parasitoids (e.g. the larval parasitoid </w:t>
      </w:r>
      <w:r>
        <w:rPr>
          <w:rFonts w:ascii="Calibri" w:hAnsi="Calibri" w:eastAsia="Calibri" w:cs="Calibri"/>
          <w:i/>
          <w:iCs/>
          <w:color w:val="000000"/>
          <w:sz w:val="22"/>
          <w:szCs w:val="22"/>
        </w:rPr>
        <w:t xml:space="preserve">Catolaccus hunteri</w:t>
      </w:r>
      <w:r>
        <w:rPr>
          <w:rFonts w:ascii="Calibri" w:hAnsi="Calibri" w:eastAsia="Calibri" w:cs="Calibri"/>
          <w:color w:val="000000"/>
          <w:sz w:val="22"/>
          <w:szCs w:val="22"/>
        </w:rPr>
        <w:t xml:space="preserve">) are seen as potential candidates for biological control (DEFRA,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color w:val="000000"/>
          <w:sz w:val="22"/>
          <w:szCs w:val="22"/>
        </w:rPr>
        <w:t xml:space="preserve">Because</w:t>
      </w:r>
      <w:r>
        <w:rPr>
          <w:rFonts w:ascii="Calibri" w:hAnsi="Calibri" w:eastAsia="Calibri" w:cs="Calibri"/>
          <w:i/>
          <w:iCs/>
          <w:color w:val="000000"/>
          <w:sz w:val="22"/>
          <w:szCs w:val="22"/>
        </w:rPr>
        <w:t xml:space="preserve"> A. eugenii</w:t>
      </w:r>
      <w:r>
        <w:rPr>
          <w:rFonts w:ascii="Calibri" w:hAnsi="Calibri" w:eastAsia="Calibri" w:cs="Calibri"/>
          <w:color w:val="000000"/>
          <w:sz w:val="22"/>
          <w:szCs w:val="22"/>
        </w:rPr>
        <w:t xml:space="preserve"> is a regulated priority European Union quarantine pest, there are specific import requirements aiming to prevent the entry of the pest via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fruit. It is predominantly a pest of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in tropical or subtropical climates. It has spread from its origin in Mexico to other countries, both some time ago (southern USA) and more recently (Puerto Rico) (Abreu &amp; Cruz, 1985). It could probably be a pest of outdoor crops, and survive outdoors, in southern Europe.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was observed for the first time in the EPPO region in the field in Italy in 2013 (Speranza, 2014), eradication was completed in 2020 (EPPO, 2020). Experience in Canada and the Netherlands shows that it also has the potential to be a serious pest of glasshouse crops in colder countries, although it would not survive outdoors. It has, however, proved possible to eradicate such glasshouse infestations.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capsicum should come from an area where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does not occur or from places of production found free from the pest during the growing season. Within infested countries,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planting material should not come from areas where the pest is present and causing damage and should be free of blossoms and fruit (which may carry the pest). Where overwintering is possible capsicum fields should be destroyed, early and thoroughly, in order to prevent survival (Sorensen &amp; Baker, 1994).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Abreu E, Cruz C (1985) The occurrence of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Puerto Rico. </w:t>
      </w:r>
      <w:r>
        <w:rPr>
          <w:rFonts w:ascii="Calibri" w:hAnsi="Calibri" w:eastAsia="Calibri" w:cs="Calibri"/>
          <w:i/>
          <w:iCs/>
          <w:color w:val="000000"/>
          <w:sz w:val="22"/>
          <w:szCs w:val="22"/>
        </w:rPr>
        <w:t xml:space="preserve">Journal of the Agricultural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223-224.</w:t>
      </w:r>
    </w:p>
    <w:p>
      <w:pPr>
        <w:widowControl w:val="on"/>
        <w:pBdr/>
        <w:spacing w:before="220" w:after="220" w:line="240" w:lineRule="auto"/>
        <w:ind w:left="0" w:right="0"/>
        <w:jc w:val="left"/>
      </w:pPr>
      <w:r>
        <w:rPr>
          <w:rFonts w:ascii="Calibri" w:hAnsi="Calibri" w:eastAsia="Calibri" w:cs="Calibri"/>
          <w:color w:val="000000"/>
          <w:sz w:val="22"/>
          <w:szCs w:val="22"/>
        </w:rPr>
        <w:t xml:space="preserve">Acosta N, Vicente N, Abreu E, Medina-Gaud S (1987) Chemical control of </w:t>
      </w:r>
      <w:r>
        <w:rPr>
          <w:rFonts w:ascii="Calibri" w:hAnsi="Calibri" w:eastAsia="Calibri" w:cs="Calibri"/>
          <w:i/>
          <w:iCs/>
          <w:color w:val="000000"/>
          <w:sz w:val="22"/>
          <w:szCs w:val="22"/>
        </w:rPr>
        <w:t xml:space="preserve">Meloidogyne incognita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Rotylenchus reniformis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163-170.</w:t>
      </w:r>
    </w:p>
    <w:p>
      <w:pPr>
        <w:widowControl w:val="on"/>
        <w:pBdr/>
        <w:spacing w:before="220" w:after="220" w:line="240" w:lineRule="auto"/>
        <w:ind w:left="0" w:right="0"/>
        <w:jc w:val="left"/>
      </w:pPr>
      <w:r>
        <w:rPr>
          <w:rFonts w:ascii="Calibri" w:hAnsi="Calibri" w:eastAsia="Calibri" w:cs="Calibri"/>
          <w:color w:val="000000"/>
          <w:sz w:val="22"/>
          <w:szCs w:val="22"/>
        </w:rPr>
        <w:t xml:space="preserve">Andrews KL, Rueda A, Gandini G, Evans S, Arango A, Avedillo M (1986) A supervised control program for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Honduras, Central America.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Armstrong AM (1994) Insecticides to combat damage by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pepper var. Cubanella in Puerto Rico. </w:t>
      </w:r>
      <w:r>
        <w:rPr>
          <w:rFonts w:ascii="Calibri" w:hAnsi="Calibri" w:eastAsia="Calibri" w:cs="Calibri"/>
          <w:i/>
          <w:iCs/>
          <w:color w:val="000000"/>
          <w:sz w:val="22"/>
          <w:szCs w:val="22"/>
        </w:rPr>
        <w:t xml:space="preserve">Journal of Agriculture of the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23-31.</w:t>
      </w:r>
    </w:p>
    <w:p>
      <w:pPr>
        <w:widowControl w:val="on"/>
        <w:pBdr/>
        <w:spacing w:before="220" w:after="220" w:line="240" w:lineRule="auto"/>
        <w:ind w:left="0" w:right="0"/>
        <w:jc w:val="left"/>
      </w:pPr>
      <w:r>
        <w:rPr>
          <w:rFonts w:ascii="Calibri" w:hAnsi="Calibri" w:eastAsia="Calibri" w:cs="Calibri"/>
          <w:color w:val="000000"/>
          <w:sz w:val="22"/>
          <w:szCs w:val="22"/>
        </w:rPr>
        <w:t xml:space="preserve">Berdegue M, Harris MK, Riley DW, Villalon B (1994) Host plant resistance on pepper to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265-271.</w:t>
      </w:r>
    </w:p>
    <w:p>
      <w:pPr>
        <w:widowControl w:val="on"/>
        <w:pBdr/>
        <w:spacing w:before="220" w:after="220" w:line="240" w:lineRule="auto"/>
        <w:ind w:left="0" w:right="0"/>
        <w:jc w:val="left"/>
      </w:pPr>
      <w:r>
        <w:rPr>
          <w:rFonts w:ascii="Calibri" w:hAnsi="Calibri" w:eastAsia="Calibri" w:cs="Calibri"/>
          <w:color w:val="000000"/>
          <w:sz w:val="22"/>
          <w:szCs w:val="22"/>
        </w:rPr>
        <w:t xml:space="preserve">Bruton BD, Chandler LD, Miller ME (1989) Relationships between pepper weevil and internal mold of sweet pepper.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170-173.</w:t>
      </w:r>
    </w:p>
    <w:p>
      <w:pPr>
        <w:widowControl w:val="on"/>
        <w:pBdr/>
        <w:spacing w:before="220" w:after="220" w:line="240" w:lineRule="auto"/>
        <w:ind w:left="0" w:right="0"/>
        <w:jc w:val="left"/>
      </w:pPr>
      <w:r>
        <w:rPr>
          <w:rFonts w:ascii="Calibri" w:hAnsi="Calibri" w:eastAsia="Calibri" w:cs="Calibri"/>
          <w:color w:val="000000"/>
          <w:sz w:val="22"/>
          <w:szCs w:val="22"/>
        </w:rPr>
        <w:t xml:space="preserve">Calvo Domingo G, Pacheco AB, French JB, Alvarado E (1989) [Economic analysis of the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Zacapa, Guatemala]. </w:t>
      </w:r>
      <w:r>
        <w:rPr>
          <w:rFonts w:ascii="Calibri" w:hAnsi="Calibri" w:eastAsia="Calibri" w:cs="Calibri"/>
          <w:i/>
          <w:iCs/>
          <w:color w:val="000000"/>
          <w:sz w:val="22"/>
          <w:szCs w:val="22"/>
        </w:rPr>
        <w:t xml:space="preserve">Manejo Integrado de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31-50.</w:t>
      </w:r>
    </w:p>
    <w:p>
      <w:pPr>
        <w:widowControl w:val="on"/>
        <w:pBdr/>
        <w:spacing w:before="220" w:after="220" w:line="240" w:lineRule="auto"/>
        <w:ind w:left="0" w:right="0"/>
        <w:jc w:val="left"/>
      </w:pPr>
      <w:r>
        <w:rPr>
          <w:rFonts w:ascii="Calibri" w:hAnsi="Calibri" w:eastAsia="Calibri" w:cs="Calibri"/>
          <w:color w:val="000000"/>
          <w:sz w:val="22"/>
          <w:szCs w:val="22"/>
        </w:rPr>
        <w:t xml:space="preserve">Capinera JL (2017)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Cano and Cuban pepper weevil </w:t>
      </w:r>
      <w:r>
        <w:rPr>
          <w:rFonts w:ascii="Calibri" w:hAnsi="Calibri" w:eastAsia="Calibri" w:cs="Calibri"/>
          <w:i/>
          <w:iCs/>
          <w:color w:val="000000"/>
          <w:sz w:val="22"/>
          <w:szCs w:val="22"/>
        </w:rPr>
        <w:t xml:space="preserve">Faustinus cubae</w:t>
      </w:r>
      <w:r>
        <w:rPr>
          <w:rFonts w:ascii="Calibri" w:hAnsi="Calibri" w:eastAsia="Calibri" w:cs="Calibri"/>
          <w:color w:val="000000"/>
          <w:sz w:val="22"/>
          <w:szCs w:val="22"/>
        </w:rPr>
        <w:t xml:space="preserve"> (Boheman) ( Insecta: Coleoptera: Curculionidae). Available at: </w:t>
      </w:r>
      <w:hyperlink r:id="rId17806aaf4bd495ca9" w:history="1">
        <w:r>
          <w:rPr>
            <w:rFonts w:ascii="Calibri" w:hAnsi="Calibri" w:eastAsia="Calibri" w:cs="Calibri"/>
            <w:color w:val="0000CC"/>
            <w:sz w:val="22"/>
            <w:szCs w:val="22"/>
            <w:u w:val="single"/>
          </w:rPr>
          <w:t xml:space="preserve">https://edis.ifas.ufl.edu/in555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Cartwright B, Teague TG, Chandler LD, Edelson JV, Bentsen G (1990) An action threshold for management of the pepper weevil on bell peppers.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2003-2007.</w:t>
      </w:r>
    </w:p>
    <w:p>
      <w:pPr>
        <w:widowControl w:val="on"/>
        <w:pBdr/>
        <w:spacing w:before="220" w:after="220" w:line="240" w:lineRule="auto"/>
        <w:ind w:left="0" w:right="0"/>
        <w:jc w:val="left"/>
      </w:pPr>
      <w:r>
        <w:rPr>
          <w:rFonts w:ascii="Calibri" w:hAnsi="Calibri" w:eastAsia="Calibri" w:cs="Calibri"/>
          <w:color w:val="000000"/>
          <w:sz w:val="22"/>
          <w:szCs w:val="22"/>
        </w:rPr>
        <w:t xml:space="preserve">Clark WE, Burke HR (1996) The species of </w:t>
      </w:r>
      <w:r>
        <w:rPr>
          <w:rFonts w:ascii="Calibri" w:hAnsi="Calibri" w:eastAsia="Calibri" w:cs="Calibri"/>
          <w:i/>
          <w:iCs/>
          <w:color w:val="000000"/>
          <w:sz w:val="22"/>
          <w:szCs w:val="22"/>
        </w:rPr>
        <w:t xml:space="preserve">Anthonomus </w:t>
      </w:r>
      <w:r>
        <w:rPr>
          <w:rFonts w:ascii="Calibri" w:hAnsi="Calibri" w:eastAsia="Calibri" w:cs="Calibri"/>
          <w:color w:val="000000"/>
          <w:sz w:val="22"/>
          <w:szCs w:val="22"/>
        </w:rPr>
        <w:t xml:space="preserve">Germar (Coleoptera: Curculionidae) associated with plants in the family Solanaceae. </w:t>
      </w:r>
      <w:r>
        <w:rPr>
          <w:rFonts w:ascii="Calibri" w:hAnsi="Calibri" w:eastAsia="Calibri" w:cs="Calibri"/>
          <w:i/>
          <w:iCs/>
          <w:color w:val="000000"/>
          <w:sz w:val="22"/>
          <w:szCs w:val="22"/>
        </w:rPr>
        <w:t xml:space="preserve">Southwestern Entomologist Supplement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1-114.</w:t>
      </w:r>
    </w:p>
    <w:p>
      <w:pPr>
        <w:widowControl w:val="on"/>
        <w:pBdr/>
        <w:spacing w:before="220" w:after="220" w:line="240" w:lineRule="auto"/>
        <w:ind w:left="0" w:right="0"/>
        <w:jc w:val="left"/>
      </w:pPr>
      <w:r>
        <w:rPr>
          <w:rFonts w:ascii="Calibri" w:hAnsi="Calibri" w:eastAsia="Calibri" w:cs="Calibri"/>
          <w:color w:val="000000"/>
          <w:sz w:val="22"/>
          <w:szCs w:val="22"/>
        </w:rPr>
        <w:t xml:space="preserve">Costello RA, Gillespie DR (1993)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as a greenhouse pest in Canada.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31-34.</w:t>
      </w:r>
    </w:p>
    <w:p>
      <w:pPr>
        <w:widowControl w:val="on"/>
        <w:pBdr/>
        <w:spacing w:before="220" w:after="220" w:line="240" w:lineRule="auto"/>
        <w:ind w:left="0" w:right="0"/>
        <w:jc w:val="left"/>
      </w:pPr>
      <w:r>
        <w:rPr>
          <w:rFonts w:ascii="Calibri" w:hAnsi="Calibri" w:eastAsia="Calibri" w:cs="Calibri"/>
          <w:color w:val="000000"/>
          <w:sz w:val="22"/>
          <w:szCs w:val="22"/>
        </w:rPr>
        <w:t xml:space="preserve">DEFRA (Department for Environment Food &amp; Rural Affairs) (2020)  Pest specific plant health response plan: Outbreaks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Available at: </w:t>
      </w:r>
      <w:hyperlink r:id="rId99116aaf4bd495e58" w:history="1">
        <w:r>
          <w:rPr>
            <w:rFonts w:ascii="Calibri" w:hAnsi="Calibri" w:eastAsia="Calibri" w:cs="Calibri"/>
            <w:color w:val="0000CC"/>
            <w:sz w:val="22"/>
            <w:szCs w:val="22"/>
            <w:u w:val="single"/>
          </w:rPr>
          <w:t xml:space="preserve">https://planthealthportal.defra.gov.uk/pests-and-diseases/contingency-planning/</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(2020) Pest Survey Card on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EFSA supporting publication 2020:EN-1887. Available at:   </w:t>
      </w:r>
      <w:hyperlink r:id="rId10086aaf4bd495eac" w:history="1">
        <w:r>
          <w:rPr>
            <w:rFonts w:ascii="Calibri" w:hAnsi="Calibri" w:eastAsia="Calibri" w:cs="Calibri"/>
            <w:color w:val="0000CC"/>
            <w:sz w:val="22"/>
            <w:szCs w:val="22"/>
            <w:u w:val="single"/>
          </w:rPr>
          <w:t xml:space="preserve">https://efsa.onlinelibrary.wiley.com/doi/abs/10.2903/sp.efsa.2020.EN-1887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Elmore JC, Davis AC, Campbell RE (1934) The pepper weevil. </w:t>
      </w:r>
      <w:r>
        <w:rPr>
          <w:rFonts w:ascii="Calibri" w:hAnsi="Calibri" w:eastAsia="Calibri" w:cs="Calibri"/>
          <w:i/>
          <w:iCs/>
          <w:color w:val="000000"/>
          <w:sz w:val="22"/>
          <w:szCs w:val="22"/>
        </w:rPr>
        <w:t xml:space="preserve">USDA Techical Bulletin</w:t>
      </w:r>
      <w:r>
        <w:rPr>
          <w:rFonts w:ascii="Calibri" w:hAnsi="Calibri" w:eastAsia="Calibri" w:cs="Calibri"/>
          <w:color w:val="000000"/>
          <w:sz w:val="22"/>
          <w:szCs w:val="22"/>
        </w:rPr>
        <w:t xml:space="preserve"> No. 447.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Eradication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Italy. EPPO Reporting Service, article 2020/095: </w:t>
      </w:r>
      <w:hyperlink r:id="rId79796aaf4bd495f4a" w:history="1">
        <w:r>
          <w:rPr>
            <w:rFonts w:ascii="Calibri" w:hAnsi="Calibri" w:eastAsia="Calibri" w:cs="Calibri"/>
            <w:color w:val="0000CC"/>
            <w:sz w:val="22"/>
            <w:szCs w:val="22"/>
            <w:u w:val="single"/>
          </w:rPr>
          <w:t xml:space="preserve">https://gd.eppo.int/reporting/article-6773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PM 7/129 (1)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46 </w:t>
      </w:r>
      <w:r>
        <w:rPr>
          <w:rFonts w:ascii="Calibri" w:hAnsi="Calibri" w:eastAsia="Calibri" w:cs="Calibri"/>
          <w:color w:val="000000"/>
          <w:sz w:val="22"/>
          <w:szCs w:val="22"/>
        </w:rPr>
        <w:t xml:space="preserve">(3), 501-537. (Under revision new version to be published in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w:t>
      </w:r>
      <w:r>
        <w:rPr>
          <w:rFonts w:ascii="Calibri" w:hAnsi="Calibri" w:eastAsia="Calibri" w:cs="Calibri"/>
          <w:i/>
          <w:iCs/>
          <w:color w:val="000000"/>
          <w:sz w:val="22"/>
          <w:szCs w:val="22"/>
        </w:rPr>
        <w:t xml:space="preserve">Anthonomus eugenii eradicated</w:t>
      </w:r>
      <w:r>
        <w:rPr>
          <w:rFonts w:ascii="Calibri" w:hAnsi="Calibri" w:eastAsia="Calibri" w:cs="Calibri"/>
          <w:color w:val="000000"/>
          <w:sz w:val="22"/>
          <w:szCs w:val="22"/>
        </w:rPr>
        <w:t xml:space="preserve"> from the Netherlands. EPPO Reporting Service, article 2014/024: </w:t>
      </w:r>
      <w:hyperlink r:id="rId36656aaf4bd495ffd" w:history="1">
        <w:r>
          <w:rPr>
            <w:rFonts w:ascii="Calibri" w:hAnsi="Calibri" w:eastAsia="Calibri" w:cs="Calibri"/>
            <w:color w:val="0000CC"/>
            <w:sz w:val="22"/>
            <w:szCs w:val="22"/>
            <w:u w:val="single"/>
          </w:rPr>
          <w:t xml:space="preserve">https://gd.eppo.int/reporting/article-2744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(2012) First report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the Netherlands. EPPO Reporting Service, article 2012/203: </w:t>
      </w:r>
      <w:hyperlink r:id="rId48766aaf4bd49604f" w:history="1">
        <w:r>
          <w:rPr>
            <w:rFonts w:ascii="Calibri" w:hAnsi="Calibri" w:eastAsia="Calibri" w:cs="Calibri"/>
            <w:color w:val="0000CC"/>
            <w:sz w:val="22"/>
            <w:szCs w:val="22"/>
            <w:u w:val="single"/>
          </w:rPr>
          <w:t xml:space="preserve">https://gd.eppo.int/reporting/article-2409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Gordon R, Armstrong AM (1990) Biology of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Puerto Rico. </w:t>
      </w:r>
      <w:r>
        <w:rPr>
          <w:rFonts w:ascii="Calibri" w:hAnsi="Calibri" w:eastAsia="Calibri" w:cs="Calibri"/>
          <w:i/>
          <w:iCs/>
          <w:color w:val="000000"/>
          <w:sz w:val="22"/>
          <w:szCs w:val="22"/>
        </w:rPr>
        <w:t xml:space="preserve">Journal of the Agricultural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69-73.</w:t>
      </w:r>
    </w:p>
    <w:p>
      <w:pPr>
        <w:widowControl w:val="on"/>
        <w:pBdr/>
        <w:spacing w:before="220" w:after="220" w:line="240" w:lineRule="auto"/>
        <w:ind w:left="0" w:right="0"/>
        <w:jc w:val="left"/>
      </w:pPr>
      <w:r>
        <w:rPr>
          <w:rFonts w:ascii="Calibri" w:hAnsi="Calibri" w:eastAsia="Calibri" w:cs="Calibri"/>
          <w:color w:val="000000"/>
          <w:sz w:val="22"/>
          <w:szCs w:val="22"/>
        </w:rPr>
        <w:t xml:space="preserve">Hernández MS, Jones RW, Castillo PR (2013) A key to the Mexican and Central America Genera of </w:t>
      </w:r>
      <w:r>
        <w:rPr>
          <w:rFonts w:ascii="Calibri" w:hAnsi="Calibri" w:eastAsia="Calibri" w:cs="Calibri"/>
          <w:i/>
          <w:iCs/>
          <w:color w:val="000000"/>
          <w:sz w:val="22"/>
          <w:szCs w:val="22"/>
        </w:rPr>
        <w:t xml:space="preserve">Anthonomini </w:t>
      </w:r>
      <w:r>
        <w:rPr>
          <w:rFonts w:ascii="Calibri" w:hAnsi="Calibri" w:eastAsia="Calibri" w:cs="Calibri"/>
          <w:color w:val="000000"/>
          <w:sz w:val="22"/>
          <w:szCs w:val="22"/>
        </w:rPr>
        <w:t xml:space="preserve">(Curculionidae, Curculioninae). </w:t>
      </w:r>
      <w:r>
        <w:rPr>
          <w:rFonts w:ascii="Calibri" w:hAnsi="Calibri" w:eastAsia="Calibri" w:cs="Calibri"/>
          <w:i/>
          <w:iCs/>
          <w:color w:val="000000"/>
          <w:sz w:val="22"/>
          <w:szCs w:val="22"/>
        </w:rPr>
        <w:t xml:space="preserve">Zookeys, </w:t>
      </w:r>
      <w:r>
        <w:rPr>
          <w:rFonts w:ascii="Calibri" w:hAnsi="Calibri" w:eastAsia="Calibri" w:cs="Calibri"/>
          <w:b/>
          <w:bCs/>
          <w:color w:val="000000"/>
          <w:sz w:val="22"/>
          <w:szCs w:val="22"/>
        </w:rPr>
        <w:t xml:space="preserve">260</w:t>
      </w:r>
      <w:r>
        <w:rPr>
          <w:rFonts w:ascii="Calibri" w:hAnsi="Calibri" w:eastAsia="Calibri" w:cs="Calibri"/>
          <w:color w:val="000000"/>
          <w:sz w:val="22"/>
          <w:szCs w:val="22"/>
        </w:rPr>
        <w:t xml:space="preserve">, 31-47.</w:t>
      </w:r>
    </w:p>
    <w:p>
      <w:pPr>
        <w:widowControl w:val="on"/>
        <w:pBdr/>
        <w:spacing w:before="220" w:after="220" w:line="240" w:lineRule="auto"/>
        <w:ind w:left="0" w:right="0"/>
        <w:jc w:val="left"/>
      </w:pPr>
      <w:r>
        <w:rPr>
          <w:rFonts w:ascii="Calibri" w:hAnsi="Calibri" w:eastAsia="Calibri" w:cs="Calibri"/>
          <w:color w:val="000000"/>
          <w:sz w:val="22"/>
          <w:szCs w:val="22"/>
        </w:rPr>
        <w:t xml:space="preserve">O'Brien CW, Wibmer GJ (1982) Annotated checklist of the weevils (Curculionidae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of North America, Central America and the West Indies (Coleoptera: Curculionoidea). </w:t>
      </w:r>
      <w:r>
        <w:rPr>
          <w:rFonts w:ascii="Calibri" w:hAnsi="Calibri" w:eastAsia="Calibri" w:cs="Calibri"/>
          <w:i/>
          <w:iCs/>
          <w:color w:val="000000"/>
          <w:sz w:val="22"/>
          <w:szCs w:val="22"/>
        </w:rPr>
        <w:t xml:space="preserve">Memoirs of the American Entomological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107.</w:t>
      </w:r>
    </w:p>
    <w:p>
      <w:pPr>
        <w:widowControl w:val="on"/>
        <w:pBdr/>
        <w:spacing w:before="220" w:after="220" w:line="240" w:lineRule="auto"/>
        <w:ind w:left="0" w:right="0"/>
        <w:jc w:val="left"/>
      </w:pPr>
      <w:r>
        <w:rPr>
          <w:rFonts w:ascii="Calibri" w:hAnsi="Calibri" w:eastAsia="Calibri" w:cs="Calibri"/>
          <w:color w:val="000000"/>
          <w:sz w:val="22"/>
          <w:szCs w:val="22"/>
        </w:rPr>
        <w:t xml:space="preserve">Patrock RJ, Schuster DJ (1992) Feeding, oviposition and development of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on selected species of Solanaceae.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65-69.</w:t>
      </w:r>
    </w:p>
    <w:p>
      <w:pPr>
        <w:widowControl w:val="on"/>
        <w:pBdr/>
        <w:spacing w:before="220" w:after="220" w:line="240" w:lineRule="auto"/>
        <w:ind w:left="0" w:right="0"/>
        <w:jc w:val="left"/>
      </w:pPr>
      <w:r>
        <w:rPr>
          <w:rFonts w:ascii="Calibri" w:hAnsi="Calibri" w:eastAsia="Calibri" w:cs="Calibri"/>
          <w:color w:val="000000"/>
          <w:sz w:val="22"/>
          <w:szCs w:val="22"/>
        </w:rPr>
        <w:t xml:space="preserve">Riley DG, King E (1994) Biology and management of the pepper weevil: a review. </w:t>
      </w:r>
      <w:r>
        <w:rPr>
          <w:rFonts w:ascii="Calibri" w:hAnsi="Calibri" w:eastAsia="Calibri" w:cs="Calibri"/>
          <w:i/>
          <w:iCs/>
          <w:color w:val="000000"/>
          <w:sz w:val="22"/>
          <w:szCs w:val="22"/>
        </w:rPr>
        <w:t xml:space="preserve">Trends in Agricultural Science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109-121</w:t>
      </w:r>
    </w:p>
    <w:p>
      <w:pPr>
        <w:widowControl w:val="on"/>
        <w:pBdr/>
        <w:spacing w:before="220" w:after="220" w:line="240" w:lineRule="auto"/>
        <w:ind w:left="0" w:right="0"/>
        <w:jc w:val="left"/>
      </w:pPr>
      <w:r>
        <w:rPr>
          <w:rFonts w:ascii="Calibri" w:hAnsi="Calibri" w:eastAsia="Calibri" w:cs="Calibri"/>
          <w:color w:val="000000"/>
          <w:sz w:val="22"/>
          <w:szCs w:val="22"/>
        </w:rPr>
        <w:t xml:space="preserve">Riley DG, Schuster DJ (1994) Pepper weevil adult response to colored sticky traps in pepper fields.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93-107.</w:t>
      </w:r>
    </w:p>
    <w:p>
      <w:pPr>
        <w:widowControl w:val="on"/>
        <w:pBdr/>
        <w:spacing w:before="220" w:after="220" w:line="240" w:lineRule="auto"/>
        <w:ind w:left="0" w:right="0"/>
        <w:jc w:val="left"/>
      </w:pPr>
      <w:r>
        <w:rPr>
          <w:rFonts w:ascii="Calibri" w:hAnsi="Calibri" w:eastAsia="Calibri" w:cs="Calibri"/>
          <w:color w:val="000000"/>
          <w:sz w:val="22"/>
          <w:szCs w:val="22"/>
        </w:rPr>
        <w:t xml:space="preserve">Riley DG, Sparks AN (1995) The Pepper Weevil and its Management. Texas Agricultural Extension Service, Texas A &amp; M University. College Station, TX. </w:t>
      </w:r>
    </w:p>
    <w:p>
      <w:pPr>
        <w:widowControl w:val="on"/>
        <w:pBdr/>
        <w:spacing w:before="220" w:after="220" w:line="240" w:lineRule="auto"/>
        <w:ind w:left="0" w:right="0"/>
        <w:jc w:val="left"/>
      </w:pPr>
      <w:r>
        <w:rPr>
          <w:rFonts w:ascii="Calibri" w:hAnsi="Calibri" w:eastAsia="Calibri" w:cs="Calibri"/>
          <w:color w:val="000000"/>
          <w:sz w:val="22"/>
          <w:szCs w:val="22"/>
        </w:rPr>
        <w:t xml:space="preserve">Riley DG, Schuster DJ, Barfield CS (1992) Refined action threshold for pepper weevil adults in bell peppers.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1919-1925.</w:t>
      </w:r>
    </w:p>
    <w:p>
      <w:pPr>
        <w:widowControl w:val="on"/>
        <w:pBdr/>
        <w:spacing w:before="220" w:after="220" w:line="240" w:lineRule="auto"/>
        <w:ind w:left="0" w:right="0"/>
        <w:jc w:val="left"/>
      </w:pPr>
      <w:r>
        <w:rPr>
          <w:rFonts w:ascii="Calibri" w:hAnsi="Calibri" w:eastAsia="Calibri" w:cs="Calibri"/>
          <w:color w:val="000000"/>
          <w:sz w:val="22"/>
          <w:szCs w:val="22"/>
        </w:rPr>
        <w:t xml:space="preserve">Seal DR, Martin CG (2016) Pepper weevil (Coleoptera: Curculionidae) preferences for specific pepper cultivars, plant parts, fruit colors, fruit sizes, and timing.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9. </w:t>
      </w:r>
      <w:hyperlink r:id="rId29006aaf4bd4963ce" w:history="1">
        <w:r>
          <w:rPr>
            <w:rFonts w:ascii="Calibri" w:hAnsi="Calibri" w:eastAsia="Calibri" w:cs="Calibri"/>
            <w:color w:val="0000CC"/>
            <w:sz w:val="22"/>
            <w:szCs w:val="22"/>
            <w:u w:val="single"/>
          </w:rPr>
          <w:t xml:space="preserve">https://doi.org/10.3390/insects7010009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Segarra-Carmona AE, Pantoja A (1988) Sequential sampling plan, yield loss components and economic thresholds for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Agricultural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375-385.</w:t>
      </w:r>
    </w:p>
    <w:p>
      <w:pPr>
        <w:widowControl w:val="on"/>
        <w:pBdr/>
        <w:spacing w:before="220" w:after="220" w:line="240" w:lineRule="auto"/>
        <w:ind w:left="0" w:right="0"/>
        <w:jc w:val="left"/>
      </w:pPr>
      <w:r>
        <w:rPr>
          <w:rFonts w:ascii="Calibri" w:hAnsi="Calibri" w:eastAsia="Calibri" w:cs="Calibri"/>
          <w:color w:val="000000"/>
          <w:sz w:val="22"/>
          <w:szCs w:val="22"/>
        </w:rPr>
        <w:t xml:space="preserve">Sorensen KA, Baker JR (1994) Insects and related pests of vegetables - some important common and potential pests in the southeastern United States.</w:t>
      </w:r>
      <w:r>
        <w:rPr>
          <w:rFonts w:ascii="Calibri" w:hAnsi="Calibri" w:eastAsia="Calibri" w:cs="Calibri"/>
          <w:i/>
          <w:iCs/>
          <w:color w:val="000000"/>
          <w:sz w:val="22"/>
          <w:szCs w:val="22"/>
        </w:rPr>
        <w:t xml:space="preserve"> North Carolina Cooperative </w:t>
      </w:r>
      <w:r>
        <w:rPr>
          <w:rFonts w:ascii="Calibri" w:hAnsi="Calibri" w:eastAsia="Calibri" w:cs="Calibri"/>
          <w:color w:val="000000"/>
          <w:sz w:val="22"/>
          <w:szCs w:val="22"/>
        </w:rPr>
        <w:t xml:space="preserve">102-103.</w:t>
      </w:r>
    </w:p>
    <w:p>
      <w:pPr>
        <w:widowControl w:val="on"/>
        <w:pBdr/>
        <w:spacing w:before="220" w:after="220" w:line="240" w:lineRule="auto"/>
        <w:ind w:left="0" w:right="0"/>
        <w:jc w:val="left"/>
      </w:pPr>
      <w:r>
        <w:rPr>
          <w:rFonts w:ascii="Calibri" w:hAnsi="Calibri" w:eastAsia="Calibri" w:cs="Calibri"/>
          <w:color w:val="000000"/>
          <w:sz w:val="22"/>
          <w:szCs w:val="22"/>
        </w:rPr>
        <w:t xml:space="preserve">Speranza S, Colonnelli E, Garonna AP, Laudonia S (2014) First record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(Coleoptera, Curculionidae) in Italy.</w:t>
      </w:r>
      <w:r>
        <w:rPr>
          <w:rFonts w:ascii="Calibri" w:hAnsi="Calibri" w:eastAsia="Calibri" w:cs="Calibri"/>
          <w:i/>
          <w:iCs/>
          <w:color w:val="000000"/>
          <w:sz w:val="22"/>
          <w:szCs w:val="22"/>
        </w:rPr>
        <w:t xml:space="preserve"> Florida Entomologist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(2) 844- 845.</w:t>
      </w:r>
    </w:p>
    <w:p>
      <w:pPr>
        <w:widowControl w:val="on"/>
        <w:pBdr/>
        <w:spacing w:before="220" w:after="220" w:line="240" w:lineRule="auto"/>
        <w:ind w:left="0" w:right="0"/>
        <w:jc w:val="left"/>
      </w:pPr>
      <w:r>
        <w:rPr>
          <w:rFonts w:ascii="Calibri" w:hAnsi="Calibri" w:eastAsia="Calibri" w:cs="Calibri"/>
          <w:color w:val="000000"/>
          <w:sz w:val="22"/>
          <w:szCs w:val="22"/>
        </w:rPr>
        <w:t xml:space="preserve">Toapanta MA, Schuster D.J, Sansly PA (2005) Development and life history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(Coleoptera, Curculionidae) at constant temperatures.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34, </w:t>
      </w:r>
      <w:r>
        <w:rPr>
          <w:rFonts w:ascii="Calibri" w:hAnsi="Calibri" w:eastAsia="Calibri" w:cs="Calibri"/>
          <w:color w:val="000000"/>
          <w:sz w:val="22"/>
          <w:szCs w:val="22"/>
        </w:rPr>
        <w:t xml:space="preserve">999-1008.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Brigitta F Wessels.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EPPO datasheets on pests recommended for regulation. Available online. </w:t>
      </w:r>
      <w:hyperlink r:id="rId37766aaf4bd49664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1689600" name="name10376aaf4bd49674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916aaf4bd49674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04741">
    <w:multiLevelType w:val="hybridMultilevel"/>
    <w:lvl w:ilvl="0" w:tplc="15629675">
      <w:start w:val="1"/>
      <w:numFmt w:val="decimal"/>
      <w:lvlText w:val="%1."/>
      <w:lvlJc w:val="left"/>
      <w:pPr>
        <w:ind w:left="720" w:hanging="360"/>
      </w:pPr>
    </w:lvl>
    <w:lvl w:ilvl="1" w:tplc="15629675" w:tentative="1">
      <w:start w:val="1"/>
      <w:numFmt w:val="lowerLetter"/>
      <w:lvlText w:val="%2."/>
      <w:lvlJc w:val="left"/>
      <w:pPr>
        <w:ind w:left="1440" w:hanging="360"/>
      </w:pPr>
    </w:lvl>
    <w:lvl w:ilvl="2" w:tplc="15629675" w:tentative="1">
      <w:start w:val="1"/>
      <w:numFmt w:val="lowerRoman"/>
      <w:lvlText w:val="%3."/>
      <w:lvlJc w:val="right"/>
      <w:pPr>
        <w:ind w:left="2160" w:hanging="180"/>
      </w:pPr>
    </w:lvl>
    <w:lvl w:ilvl="3" w:tplc="15629675" w:tentative="1">
      <w:start w:val="1"/>
      <w:numFmt w:val="decimal"/>
      <w:lvlText w:val="%4."/>
      <w:lvlJc w:val="left"/>
      <w:pPr>
        <w:ind w:left="2880" w:hanging="360"/>
      </w:pPr>
    </w:lvl>
    <w:lvl w:ilvl="4" w:tplc="15629675" w:tentative="1">
      <w:start w:val="1"/>
      <w:numFmt w:val="lowerLetter"/>
      <w:lvlText w:val="%5."/>
      <w:lvlJc w:val="left"/>
      <w:pPr>
        <w:ind w:left="3600" w:hanging="360"/>
      </w:pPr>
    </w:lvl>
    <w:lvl w:ilvl="5" w:tplc="15629675" w:tentative="1">
      <w:start w:val="1"/>
      <w:numFmt w:val="lowerRoman"/>
      <w:lvlText w:val="%6."/>
      <w:lvlJc w:val="right"/>
      <w:pPr>
        <w:ind w:left="4320" w:hanging="180"/>
      </w:pPr>
    </w:lvl>
    <w:lvl w:ilvl="6" w:tplc="15629675" w:tentative="1">
      <w:start w:val="1"/>
      <w:numFmt w:val="decimal"/>
      <w:lvlText w:val="%7."/>
      <w:lvlJc w:val="left"/>
      <w:pPr>
        <w:ind w:left="5040" w:hanging="360"/>
      </w:pPr>
    </w:lvl>
    <w:lvl w:ilvl="7" w:tplc="15629675" w:tentative="1">
      <w:start w:val="1"/>
      <w:numFmt w:val="lowerLetter"/>
      <w:lvlText w:val="%8."/>
      <w:lvlJc w:val="left"/>
      <w:pPr>
        <w:ind w:left="5760" w:hanging="360"/>
      </w:pPr>
    </w:lvl>
    <w:lvl w:ilvl="8" w:tplc="15629675" w:tentative="1">
      <w:start w:val="1"/>
      <w:numFmt w:val="lowerRoman"/>
      <w:lvlText w:val="%9."/>
      <w:lvlJc w:val="right"/>
      <w:pPr>
        <w:ind w:left="6480" w:hanging="180"/>
      </w:pPr>
    </w:lvl>
  </w:abstractNum>
  <w:abstractNum w:abstractNumId="24704740">
    <w:multiLevelType w:val="hybridMultilevel"/>
    <w:lvl w:ilvl="0" w:tplc="31770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04740">
    <w:abstractNumId w:val="24704740"/>
  </w:num>
  <w:num w:numId="24704741">
    <w:abstractNumId w:val="2470474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1210128" Type="http://schemas.microsoft.com/office/2011/relationships/commentsExtended" Target="commentsExtended.xml"/><Relationship Id="rId159659360" Type="http://schemas.microsoft.com/office/2011/relationships/people" Target="people.xml"/><Relationship Id="rId58156aaf4bd493fa2" Type="http://schemas.openxmlformats.org/officeDocument/2006/relationships/hyperlink" Target="https://gd.eppo.int/taxon/ANTHEU/" TargetMode="External"/><Relationship Id="rId16206aaf4bd494019" Type="http://schemas.openxmlformats.org/officeDocument/2006/relationships/hyperlink" Target="https://gd.eppo.int/taxon/ANTHEU/categorization" TargetMode="External"/><Relationship Id="rId72426aaf4bd4941ec" Type="http://schemas.openxmlformats.org/officeDocument/2006/relationships/hyperlink" Target="https://gd.eppo.int/taxon/ANTHEU/photos" TargetMode="External"/><Relationship Id="rId17806aaf4bd495ca9" Type="http://schemas.openxmlformats.org/officeDocument/2006/relationships/hyperlink" Target="https://edis.ifas.ufl.edu/in555" TargetMode="External"/><Relationship Id="rId99116aaf4bd495e58" Type="http://schemas.openxmlformats.org/officeDocument/2006/relationships/hyperlink" Target="https://planthealthportal.defra.gov.uk/pests-and-diseases/contingency-planning/" TargetMode="External"/><Relationship Id="rId10086aaf4bd495eac" Type="http://schemas.openxmlformats.org/officeDocument/2006/relationships/hyperlink" Target="https://efsa.onlinelibrary.wiley.com/doi/abs/10.2903/sp.efsa.2020.EN-1887" TargetMode="External"/><Relationship Id="rId79796aaf4bd495f4a" Type="http://schemas.openxmlformats.org/officeDocument/2006/relationships/hyperlink" Target="https://gd.eppo.int/reporting/article-6773" TargetMode="External"/><Relationship Id="rId36656aaf4bd495ffd" Type="http://schemas.openxmlformats.org/officeDocument/2006/relationships/hyperlink" Target="https://gd.eppo.int/reporting/article-2744" TargetMode="External"/><Relationship Id="rId48766aaf4bd49604f" Type="http://schemas.openxmlformats.org/officeDocument/2006/relationships/hyperlink" Target="https://gd.eppo.int/reporting/article-2409" TargetMode="External"/><Relationship Id="rId29006aaf4bd4963ce" Type="http://schemas.openxmlformats.org/officeDocument/2006/relationships/hyperlink" Target="https://doi.org/10.3390/insects7010009" TargetMode="External"/><Relationship Id="rId37766aaf4bd496647" Type="http://schemas.openxmlformats.org/officeDocument/2006/relationships/hyperlink" Target="https://gd.eppo.int" TargetMode="External"/><Relationship Id="rId79786aaf4bd4940e0" Type="http://schemas.openxmlformats.org/officeDocument/2006/relationships/image" Target="media/imgrId79786aaf4bd4940e0.jpg"/><Relationship Id="rId12886aaf4bd494f4e" Type="http://schemas.openxmlformats.org/officeDocument/2006/relationships/image" Target="media/imgrId12886aaf4bd494f4e.jpg"/><Relationship Id="rId58916aaf4bd49674e" Type="http://schemas.openxmlformats.org/officeDocument/2006/relationships/image" Target="media/imgrId58916aaf4bd49674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