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ludens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ludens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ludens</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Anastrepha lathana</w:t>
            </w:r>
            <w:r>
              <w:rPr>
                <w:rFonts w:ascii="Calibri" w:hAnsi="Calibri" w:eastAsia="Calibri" w:cs="Calibri"/>
                <w:color w:val="000000"/>
                <w:position w:val="-3"/>
                <w:sz w:val="22"/>
                <w:szCs w:val="22"/>
              </w:rPr>
              <w:t xml:space="preserve"> Stone, </w:t>
            </w:r>
            <w:r>
              <w:rPr>
                <w:rFonts w:ascii="Calibri" w:hAnsi="Calibri" w:eastAsia="Calibri" w:cs="Calibri"/>
                <w:i/>
                <w:iCs/>
                <w:color w:val="000000"/>
                <w:position w:val="-3"/>
                <w:sz w:val="22"/>
                <w:szCs w:val="22"/>
              </w:rPr>
              <w:t xml:space="preserve">Trypeta ludens</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fruit fly</w:t>
            </w:r>
            <w:hyperlink r:id="rId6502662a0ede130d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97662a0ede1315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ANSTLU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237839" name="name8346662a0ede1347f" descr="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5.jpg"/>
                          <pic:cNvPicPr/>
                        </pic:nvPicPr>
                        <pic:blipFill>
                          <a:blip r:embed="rId9790662a0ede1347d" cstate="print"/>
                          <a:stretch>
                            <a:fillRect/>
                          </a:stretch>
                        </pic:blipFill>
                        <pic:spPr>
                          <a:xfrm>
                            <a:off x="0" y="0"/>
                            <a:ext cx="2160000" cy="1281600"/>
                          </a:xfrm>
                          <a:prstGeom prst="rect">
                            <a:avLst/>
                          </a:prstGeom>
                          <a:ln w="0">
                            <a:noFill/>
                          </a:ln>
                        </pic:spPr>
                      </pic:pic>
                    </a:graphicData>
                  </a:graphic>
                </wp:inline>
              </w:drawing>
            </w:r>
            <w:hyperlink r:id="rId6797662a0ede1357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in 1873 by Loew as </w:t>
      </w:r>
      <w:r>
        <w:rPr>
          <w:rFonts w:ascii="Calibri" w:hAnsi="Calibri" w:eastAsia="Calibri" w:cs="Calibri"/>
          <w:i/>
          <w:iCs/>
          <w:color w:val="000000"/>
          <w:sz w:val="22"/>
          <w:szCs w:val="22"/>
        </w:rPr>
        <w:t xml:space="preserve">Trypeta ludens</w:t>
      </w:r>
      <w:r>
        <w:rPr>
          <w:rFonts w:ascii="Calibri" w:hAnsi="Calibri" w:eastAsia="Calibri" w:cs="Calibri"/>
          <w:color w:val="000000"/>
          <w:sz w:val="22"/>
          <w:szCs w:val="22"/>
        </w:rPr>
        <w:t xml:space="preserve">. The current combination was proposed by Wulp (1900). The name </w:t>
      </w:r>
      <w:r>
        <w:rPr>
          <w:rFonts w:ascii="Calibri" w:hAnsi="Calibri" w:eastAsia="Calibri" w:cs="Calibri"/>
          <w:i/>
          <w:iCs/>
          <w:color w:val="000000"/>
          <w:sz w:val="22"/>
          <w:szCs w:val="22"/>
        </w:rPr>
        <w:t xml:space="preserve">Anastrepha lathana</w:t>
      </w:r>
      <w:r>
        <w:rPr>
          <w:rFonts w:ascii="Calibri" w:hAnsi="Calibri" w:eastAsia="Calibri" w:cs="Calibri"/>
          <w:color w:val="000000"/>
          <w:sz w:val="22"/>
          <w:szCs w:val="22"/>
        </w:rPr>
        <w:t xml:space="preserve"> Stone is considered a synonym. Name, host plant, and distribution data for this species and other fruit flies are available under Fruit Fly Databases on the </w:t>
      </w:r>
      <w:hyperlink r:id="rId8487662a0ede136a7" w:history="1">
        <w:r>
          <w:rPr>
            <w:rFonts w:ascii="Calibri" w:hAnsi="Calibri" w:eastAsia="Calibri" w:cs="Calibri"/>
            <w:color w:val="0000CC"/>
            <w:sz w:val="22"/>
            <w:szCs w:val="22"/>
            <w:u w:val="single"/>
          </w:rPr>
          <w:t xml:space="preserve">USDA Compendium of Fruit Fly Host Information</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various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grapefruit and oranges, are the most important commercial hosts (Hernandez-Ortiz, 1992)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various other fruit crops are attacked less frequently, but more than 40 plant species are reported as at least occasional field hosts of this polyphagous pest (Norrbom, 2004). Thomas (2004) provides an example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adaptive capability to infest new host plants, describing the discovery of the introduced manzano pepper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as an unexpected new host in Mexico. Nearly all of the commercial hosts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exotic.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(1944) considered </w:t>
      </w:r>
      <w:r>
        <w:rPr>
          <w:rFonts w:ascii="Calibri" w:hAnsi="Calibri" w:eastAsia="Calibri" w:cs="Calibri"/>
          <w:i/>
          <w:iCs/>
          <w:color w:val="000000"/>
          <w:sz w:val="22"/>
          <w:szCs w:val="22"/>
        </w:rPr>
        <w:t xml:space="preserve">Casimiroa greggii</w:t>
      </w:r>
      <w:r>
        <w:rPr>
          <w:rFonts w:ascii="Calibri" w:hAnsi="Calibri" w:eastAsia="Calibri" w:cs="Calibri"/>
          <w:color w:val="000000"/>
          <w:sz w:val="22"/>
          <w:szCs w:val="22"/>
        </w:rPr>
        <w:t xml:space="preserve"> (Rutaceae) to be the only native wild host, although three other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spp. (Jirón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several other wild native plants could also have been original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liebmanniana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tetrameria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jinicuil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capiri subsp. tempisque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occurs from Northeastern Mexico south to Panama. In Mexico there are fly free areas in Baja California and Northwestern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Frequent incursions are detected in the Rio Grande Valley of Texas in the USA and are subjected to eradication. Outbreaks have also occurred in California and less commonly in Arizona but have been eradicated (McCombs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occasionally trapped in other states of the USA (e.g., Florida) and in other countries, but it is not established there. The record of this species from Colombia (Núñez Bueno, 1981) was based on misidentification of </w:t>
      </w:r>
      <w:r>
        <w:rPr>
          <w:rFonts w:ascii="Calibri" w:hAnsi="Calibri" w:eastAsia="Calibri" w:cs="Calibri"/>
          <w:i/>
          <w:iCs/>
          <w:color w:val="000000"/>
          <w:sz w:val="22"/>
          <w:szCs w:val="22"/>
        </w:rPr>
        <w:t xml:space="preserve">Anastrepha manizaliensis</w:t>
      </w:r>
      <w:r>
        <w:rPr>
          <w:rFonts w:ascii="Calibri" w:hAnsi="Calibri" w:eastAsia="Calibri" w:cs="Calibri"/>
          <w:color w:val="000000"/>
          <w:sz w:val="22"/>
          <w:szCs w:val="22"/>
        </w:rPr>
        <w:t xml:space="preserve">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There are no valid reports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from Colombia.</w:t>
      </w:r>
    </w:p>
    <w:p>
      <w:pPr>
        <w:widowControl w:val="on"/>
        <w:pBdr/>
        <w:spacing w:before="220" w:after="220" w:line="240" w:lineRule="auto"/>
        <w:ind w:left="0" w:right="0"/>
        <w:jc w:val="both"/>
      </w:pPr>
      <w:r>
        <w:rPr>
          <w:rFonts w:ascii="Calibri" w:hAnsi="Calibri" w:eastAsia="Calibri" w:cs="Calibri"/>
          <w:color w:val="000000"/>
          <w:sz w:val="22"/>
          <w:szCs w:val="22"/>
        </w:rPr>
        <w:t xml:space="preserve">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(1944) considered this species to be native only to northeastern Mexico, but Jirón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did not support that hypothesis, the latter finding higher genetic diversity in populations in southern Mexico and Central America.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identified four populations (Western Mexico, Eastern Mexico, Guatemala/Belize/Honduras, and Costa Rica/Panama) but found significant intergradation and could not identify an ancestral range.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was rare in Costa Rica and was not a pest of citrus prior to the mid-1990s, when it suddenly became common in the central highlands and was found attacking orange and grapefruit, including at a research station where Jirón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had worked extensively and had not found it attacking these fruits. It has subsequently been detected in western and central Panama, where it is invasive. This suggests that there was an introduction of a northern population into Costa Rica leading to the spread of this species into Panama. </w:t>
      </w:r>
    </w:p>
    <w:p>
      <w:r>
        <w:drawing>
          <wp:inline distT="0" distB="0" distL="0" distR="0">
            <wp:extent cx="6120000" cy="3067200"/>
            <wp:docPr id="89416242" name="name9792662a0ede14b33" descr="ANSTL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LU_distribution_map.jpg"/>
                    <pic:cNvPicPr/>
                  </pic:nvPicPr>
                  <pic:blipFill>
                    <a:blip r:embed="rId2020662a0ede14b3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eggs are laid in the host fruit, in the case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these are laid singly or in clutches of up to 40 eggs, with clutch size related to fruit size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Development time for eggs has been reported as 3 days to as long as 6-12 days; larvae pass through three instars, with development time varying from 8–30 days depending on the host fruit and temperature and other environmental conditions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feed in the albedo or pulp of commercial fruits but can feed on the seeds of native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hosts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Mature larvae exit the fruit and pupariate in the soil. Adults emerge after 12 to 32 days, depending upon temperature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Adults can be long lived, up to a year under certain conditions, and occur throughout the year (Christenson &amp; Foote, 1960, Aluja, 1994). Adult males produce a pheromone and lek to attract females for mating. Calling occurs in late afternoon, with mating at dusk (Aluja, 1994;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like those of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the third stage larva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can usually be distinguished from those of most of the other economically important species of the genus using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or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include 13 or 15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respectively. Carroll and Wharton (1989) provided a detailed description of the egg, larva (all 3 instars), and puparium, and Heppner (1984), and White and Elson-Harris (1992) also provided descriptions of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up to 11.1 mm in length, lacking an external head capsule. The two mandibles, or mouthhooks, are strongly developed and equal in size. The body is tapered anteriorly and truncate posteriorly. Posterior spiracular plate weak, unpigmented, without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Carroll and Wharton (1989) and White and Elson-Harris (1994): Length 5.8-11.1 mm; width 1.2-2.5 mm. Head: Stomal sensory organ large, rounded, with 5 small sensilla; 11-17 oral ridges with margins entire or slightly undulant; accessory plates small; mandible moderately sclerotized, with single large slender curved apical tooth. Thoracic and abdominal segments: T1-T3 middorsally with 4-6, 3-5, and 1-2 rows of spinules, respectively; A1-A8 without dorsal spinules medially; creeping welt on A1 with 7-9 rows of spinules, those on A2-A8 with 9-17 rows; A8 with intermediate lobes moderately developed; caudal segment with tubercles and sensilla small but obvious. Anterior spiracle with 12-21 tubules. Posterior spiracle with spiracular slits about 3.5 times as long as broad, with moderately sclerotised rimae; spiracular hairs short (about one-third to one-fifth length of spiracular slit), often branched on apical third; dorsal and ventral bundles of 6-13 hairs, lateral bundles of 4-7 hairs. Anal area with lobes large, protuberant, usually distinctly bifid; surrounded by 3-4 discontinuous rows of small spinules.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1.37-1.60 mm long, at greatest width 0.18-0.21 mm; white, spindle-shaped, broad anteriorly, tapering posteriorly; micropyle slightly to one side of apex of anterior pole; faint reticulation near micropyle consisting primarily of irregular pentagons and hexagons, these becoming very faint and elongated on posterior portion of egg; distinct openings into chorion at vertices of polygons on anterior end (Carroll and Wharton, 1989).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like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level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red brown; thorax dorsally without brown markings except usually with a medial brown spot on scuto-scutellar suture; scutellum entirely white or yellow except extreme base; subscutellum (lens-shaped sclerite below scutellum) orange medially, dark brown laterally, brown markings often extending ventrally onto mediotergite; wing with C-band orange posterior to pterostigma except narrowly on distal margin in cells r</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and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C-band and S-band usually connected, occasionally separated; oviscape (in female) entirely yellow to orange brown, 3.54–6.17 mm long, oviscape length/mesonotum length 1.1–1.55; aculeus length 3.37–5.76 mm; aculeus tip length 0.28–0.42 mm; phallus length 5.2–6.1 mm; phallus (in male) length/mesonotum length 1.51–1.81.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differences in the DNA barcode region of the cytochrome oxidase I gene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examined its genetic diversity and population structure using two mitochondrial genes (COI and ND6), and more recently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using genomic data, analyzed its population structure and developed a set of diagnostic single nucleotide polymorphisms (SNPs) for source determination.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and adult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have been reported to fly as far as 135 km (Aluja, 1994). Natural movement is therefore an important means of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fruits liable to carry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to a lesser extent various minor hosts.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considered the most important fruit fly pest in Mexico and Central America, especially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and mango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(Bateman, 1982; Roessler, 1989; McCombs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Cultural practices, such as destroying all fallen and infested fruits,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Classical biological control was tried against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in Texas (USA), but introduced parasitoids had little impact (Wharton, 1989). However,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(Braconidae) continues to be mass reared and released in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has been used effectively against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in southern Texas and northern Mexico for suppression and eradication (McCombs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it is used in area-wide management programs to control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in Mexico, primarily in the north to maintain fly free areas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has a broad range of hosts and is a major pest throughout its range. It occurs in higher, more temperate areas of Central America and Mexico than most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thus it may pose a higher risk of establishment in other subtropical areas of the world than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It is invasive at least in Panama and has been trapped in California and other states in the USA.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limited to the warmer southern parts of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from countries where this pest occurs should be inspected for symptoms of infestation and those suspected should be cut open in order to look for larvae. Such fruits should come from an area where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does not occur or from a place of production found free from the pest by regular inspection for 3 months before harvest. Fruits may also be treated in transit by cold treatment (e.g., 18, 20 or 22 days at 0.5, 1 or 1.5°C, respectively) or, for certain types of fruits, by hot water treatment (for mango, 46°C for 65 to 110 minutes depending on fruit size) or by vapour heat (e.g., keeping at 43°C for 4-6 h) (USDA, 2020), or forced hot-air treatment (Mangan &amp; Ingle, 1994). Ethylene dibromide was previously widely used as a fumigant but is now generally withdrawn because of its carcinogenicity. Methyl bromide is approved on a very limited basis; e.g., 1 treatment schedule (T101-j-2-1;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is currently approved by USDA (2020) to treat oranges, tangerines and grapefruit from Mexico under pre-clearance.  Irradiation at 70 gy is considered effective treatment for immature stages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(USDA,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occurs should be free from soil, or the soil should not contain fruits or seeds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(1994) Bionomics and management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39, 155-178. </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w:t>
      </w:r>
      <w:r>
        <w:rPr>
          <w:rFonts w:ascii="Calibri" w:hAnsi="Calibri" w:eastAsia="Calibri" w:cs="Calibri"/>
          <w:i/>
          <w:iCs/>
          <w:color w:val="000000"/>
          <w:sz w:val="22"/>
          <w:szCs w:val="22"/>
        </w:rPr>
        <w:t xml:space="preserve">Fruit flies (Tephritidae): Phylogeny and evolution of behavior</w:t>
      </w:r>
      <w:r>
        <w:rPr>
          <w:rFonts w:ascii="Calibri" w:hAnsi="Calibri" w:eastAsia="Calibri" w:cs="Calibri"/>
          <w:color w:val="000000"/>
          <w:sz w:val="22"/>
          <w:szCs w:val="22"/>
        </w:rPr>
        <w:t xml:space="preserve"> (Ed. by Aluja, M.; Norrbom, A. L.), pp. 375-406. CRC Press, Boca Raton. [16] + 944 p. </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Birke A, Guillén L, Midgarden D, Aluja M (2013) Fruit flies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(Macquart) and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(Macquart) (Diptera: Tephritidae): Three pestiferous tropical fruit flies that could potentially expand their range to temperate areas.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By Peña), pp. 192-213. CAB International, Wallingford, 440 p.</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In: Invasive Species Compendium. Wallingford, UK: CAB International. </w:t>
      </w:r>
      <w:hyperlink r:id="rId9963662a0ede16145" w:history="1">
        <w:r>
          <w:rPr>
            <w:rFonts w:ascii="Calibri" w:hAnsi="Calibri" w:eastAsia="Calibri" w:cs="Calibri"/>
            <w:color w:val="0000CC"/>
            <w:sz w:val="22"/>
            <w:szCs w:val="22"/>
            <w:u w:val="single"/>
          </w:rPr>
          <w:t xml:space="preserve">www.cabi.org/isc</w:t>
        </w:r>
      </w:hyperlink>
      <w:r>
        <w:rPr>
          <w:rFonts w:ascii="Calibri" w:hAnsi="Calibri" w:eastAsia="Calibri" w:cs="Calibri"/>
          <w:color w:val="000000"/>
          <w:sz w:val="22"/>
          <w:szCs w:val="22"/>
        </w:rPr>
        <w:t xml:space="preserve">.Carroll LE, Wharton RA (1989) Morphology of the immature stages of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201-214. </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 https://www.delta-intkey.com/ffl/index.htm</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JR, Ruiz‐Arce R, Barr NB, Thomas DB, Geib SM (2019) Range‐wide population genomics of the Mexican fruit fly: Toward development of pathway analysis tools.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1641–1660.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Eskafi FM (1988) Infestation of citrus by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in high coastal plains of Guatemala.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52-58. </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L, Lopez F (1989) Mexico, Central and South America.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 83-90. Elsevier Science Publishers, Amsterdam. xii + 372 pp.</w:t>
      </w:r>
    </w:p>
    <w:p>
      <w:pPr>
        <w:widowControl w:val="on"/>
        <w:pBdr/>
        <w:spacing w:before="220" w:after="220" w:line="240" w:lineRule="auto"/>
        <w:ind w:left="0" w:right="0"/>
        <w:jc w:val="left"/>
      </w:pPr>
      <w:r>
        <w:rPr>
          <w:rFonts w:ascii="Calibri" w:hAnsi="Calibri" w:eastAsia="Calibri" w:cs="Calibri"/>
          <w:color w:val="000000"/>
          <w:sz w:val="22"/>
          <w:szCs w:val="22"/>
        </w:rPr>
        <w:t xml:space="preserve">Heppner JB (1984) Larvae of fruit flies. I.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(Mexican fruit fly) and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(Caribbean fruit fly) (Diptera: Tephritidae). </w:t>
      </w:r>
      <w:r>
        <w:rPr>
          <w:rFonts w:ascii="Calibri" w:hAnsi="Calibri" w:eastAsia="Calibri" w:cs="Calibri"/>
          <w:i/>
          <w:iCs/>
          <w:color w:val="000000"/>
          <w:sz w:val="22"/>
          <w:szCs w:val="22"/>
        </w:rPr>
        <w:t xml:space="preserve">Entomology Circular, Division of Plant Industry, Florida Department of Agricultural and Consumer Services</w:t>
      </w:r>
      <w:r>
        <w:rPr>
          <w:rFonts w:ascii="Calibri" w:hAnsi="Calibri" w:eastAsia="Calibri" w:cs="Calibri"/>
          <w:color w:val="000000"/>
          <w:sz w:val="22"/>
          <w:szCs w:val="22"/>
        </w:rPr>
        <w:t xml:space="preserve"> No. 260.</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Hernandez-Ortiz V (1992) El género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en México. Taxonomía, distribución y sus plantas huéspedes. Instituto de Ecología, Xalapa, Mexico.</w:t>
      </w:r>
    </w:p>
    <w:p>
      <w:pPr>
        <w:widowControl w:val="on"/>
        <w:pBdr/>
        <w:spacing w:before="220" w:after="220" w:line="240" w:lineRule="auto"/>
        <w:ind w:left="0" w:right="0"/>
        <w:jc w:val="left"/>
      </w:pPr>
      <w:r>
        <w:rPr>
          <w:rFonts w:ascii="Calibri" w:hAnsi="Calibri" w:eastAsia="Calibri" w:cs="Calibri"/>
          <w:color w:val="000000"/>
          <w:sz w:val="22"/>
          <w:szCs w:val="22"/>
        </w:rPr>
        <w:t xml:space="preserve">Mangan RL, Ingle SJ (1994) Forced hot-air quarantine treatment for grapefruit infested with Mexican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1574-1579.</w:t>
      </w:r>
    </w:p>
    <w:p>
      <w:pPr>
        <w:widowControl w:val="on"/>
        <w:pBdr/>
        <w:spacing w:before="220" w:after="220" w:line="240" w:lineRule="auto"/>
        <w:ind w:left="0" w:right="0"/>
        <w:jc w:val="left"/>
      </w:pPr>
      <w:r>
        <w:rPr>
          <w:rFonts w:ascii="Calibri" w:hAnsi="Calibri" w:eastAsia="Calibri" w:cs="Calibri"/>
          <w:color w:val="000000"/>
          <w:sz w:val="22"/>
          <w:szCs w:val="22"/>
        </w:rPr>
        <w:t xml:space="preserve">McCombs SD, McGovern TE, Reyes-Flores J, de los Santos Ramos M, Gersabeck EF (2010) Final report, Animal and Plant Health Inspection Service United States and Mexico Lower Rio Grande Valley Mexican fruit fly eradication program review. United States Department of Agriculture, Animal and Plant Health Inspection Service, 128 pp.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Science Publishers, Amsterdam. xii + 372 pp.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https://www.delta-intkey.com/anatox/index.htm</w:t>
      </w:r>
    </w:p>
    <w:p>
      <w:pPr>
        <w:widowControl w:val="on"/>
        <w:pBdr/>
        <w:spacing w:before="220" w:after="220" w:line="240" w:lineRule="auto"/>
        <w:ind w:left="0" w:right="0"/>
        <w:jc w:val="left"/>
      </w:pPr>
      <w:r>
        <w:rPr>
          <w:rFonts w:ascii="Calibri" w:hAnsi="Calibri" w:eastAsia="Calibri" w:cs="Calibri"/>
          <w:color w:val="000000"/>
          <w:sz w:val="22"/>
          <w:szCs w:val="22"/>
        </w:rPr>
        <w:t xml:space="preserve">Ramírez y Ramírez F, Hernández Livera RÁ, Bello Rivera A (2020) El Programa Nacional de Moscas de la Fruta en México. In: Moscas de la fruta: Fundamentos y procedimientos para su manejo (Ed. by Montoya, P.; Toledo, J.; Hernández, E.), pp. 3-20. S y G editores, Ciudad de México.</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Owen CL, Thomas DB, Barr NB, McPheron BA (2015) Phylogeographic structure in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(Diptera: Tephritidae) populations inferred with mtDNA sequencing.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1324-1336.</w:t>
      </w:r>
    </w:p>
    <w:p>
      <w:pPr>
        <w:widowControl w:val="on"/>
        <w:pBdr/>
        <w:spacing w:before="220" w:after="220" w:line="240" w:lineRule="auto"/>
        <w:ind w:left="0" w:right="0"/>
        <w:jc w:val="left"/>
      </w:pPr>
      <w:r>
        <w:rPr>
          <w:rFonts w:ascii="Calibri" w:hAnsi="Calibri" w:eastAsia="Calibri" w:cs="Calibri"/>
          <w:color w:val="000000"/>
          <w:sz w:val="22"/>
          <w:szCs w:val="22"/>
        </w:rPr>
        <w:t xml:space="preserve">Stark JD, Vargas RI, Souder SK, Fox AJ, Smith TR, Leblanc L, Mackey B (2014) Simulated field applications of insecticide soil drenches for control of Tephritid fruit flies.  </w:t>
      </w:r>
      <w:r>
        <w:rPr>
          <w:rFonts w:ascii="Calibri" w:hAnsi="Calibri" w:eastAsia="Calibri" w:cs="Calibri"/>
          <w:i/>
          <w:iCs/>
          <w:color w:val="000000"/>
          <w:sz w:val="22"/>
          <w:szCs w:val="22"/>
        </w:rPr>
        <w:t xml:space="preserve">Biopesticides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136-142</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92,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Wharton RH (1989) Control; classical biological control of fruit-infesting Tephritidae.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303-313.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Allen L. Norrbom (Systematic Entomology Laboratory, ARS, USDA).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EPPO datasheets on pests recommended for regulation. Available online. </w:t>
      </w:r>
      <w:hyperlink r:id="rId4360662a0ede16b2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9187662a0ede16cc3"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58560334" name="name7020662a0ede16e8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66662a0ede16e8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080991">
    <w:multiLevelType w:val="hybridMultilevel"/>
    <w:lvl w:ilvl="0" w:tplc="27090357">
      <w:start w:val="1"/>
      <w:numFmt w:val="decimal"/>
      <w:lvlText w:val="%1."/>
      <w:lvlJc w:val="left"/>
      <w:pPr>
        <w:ind w:left="720" w:hanging="360"/>
      </w:pPr>
    </w:lvl>
    <w:lvl w:ilvl="1" w:tplc="27090357" w:tentative="1">
      <w:start w:val="1"/>
      <w:numFmt w:val="lowerLetter"/>
      <w:lvlText w:val="%2."/>
      <w:lvlJc w:val="left"/>
      <w:pPr>
        <w:ind w:left="1440" w:hanging="360"/>
      </w:pPr>
    </w:lvl>
    <w:lvl w:ilvl="2" w:tplc="27090357" w:tentative="1">
      <w:start w:val="1"/>
      <w:numFmt w:val="lowerRoman"/>
      <w:lvlText w:val="%3."/>
      <w:lvlJc w:val="right"/>
      <w:pPr>
        <w:ind w:left="2160" w:hanging="180"/>
      </w:pPr>
    </w:lvl>
    <w:lvl w:ilvl="3" w:tplc="27090357" w:tentative="1">
      <w:start w:val="1"/>
      <w:numFmt w:val="decimal"/>
      <w:lvlText w:val="%4."/>
      <w:lvlJc w:val="left"/>
      <w:pPr>
        <w:ind w:left="2880" w:hanging="360"/>
      </w:pPr>
    </w:lvl>
    <w:lvl w:ilvl="4" w:tplc="27090357" w:tentative="1">
      <w:start w:val="1"/>
      <w:numFmt w:val="lowerLetter"/>
      <w:lvlText w:val="%5."/>
      <w:lvlJc w:val="left"/>
      <w:pPr>
        <w:ind w:left="3600" w:hanging="360"/>
      </w:pPr>
    </w:lvl>
    <w:lvl w:ilvl="5" w:tplc="27090357" w:tentative="1">
      <w:start w:val="1"/>
      <w:numFmt w:val="lowerRoman"/>
      <w:lvlText w:val="%6."/>
      <w:lvlJc w:val="right"/>
      <w:pPr>
        <w:ind w:left="4320" w:hanging="180"/>
      </w:pPr>
    </w:lvl>
    <w:lvl w:ilvl="6" w:tplc="27090357" w:tentative="1">
      <w:start w:val="1"/>
      <w:numFmt w:val="decimal"/>
      <w:lvlText w:val="%7."/>
      <w:lvlJc w:val="left"/>
      <w:pPr>
        <w:ind w:left="5040" w:hanging="360"/>
      </w:pPr>
    </w:lvl>
    <w:lvl w:ilvl="7" w:tplc="27090357" w:tentative="1">
      <w:start w:val="1"/>
      <w:numFmt w:val="lowerLetter"/>
      <w:lvlText w:val="%8."/>
      <w:lvlJc w:val="left"/>
      <w:pPr>
        <w:ind w:left="5760" w:hanging="360"/>
      </w:pPr>
    </w:lvl>
    <w:lvl w:ilvl="8" w:tplc="27090357" w:tentative="1">
      <w:start w:val="1"/>
      <w:numFmt w:val="lowerRoman"/>
      <w:lvlText w:val="%9."/>
      <w:lvlJc w:val="right"/>
      <w:pPr>
        <w:ind w:left="6480" w:hanging="180"/>
      </w:pPr>
    </w:lvl>
  </w:abstractNum>
  <w:abstractNum w:abstractNumId="58080990">
    <w:multiLevelType w:val="hybridMultilevel"/>
    <w:lvl w:ilvl="0" w:tplc="365387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080990">
    <w:abstractNumId w:val="58080990"/>
  </w:num>
  <w:num w:numId="58080991">
    <w:abstractNumId w:val="580809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9718283" Type="http://schemas.microsoft.com/office/2011/relationships/commentsExtended" Target="commentsExtended.xml"/><Relationship Id="rId953791455" Type="http://schemas.microsoft.com/office/2011/relationships/people" Target="people.xml"/><Relationship Id="rId6502662a0ede130d1" Type="http://schemas.openxmlformats.org/officeDocument/2006/relationships/hyperlink" Target="https://gd.eppo.int/taxon/ANSTLU/" TargetMode="External"/><Relationship Id="rId5397662a0ede13157" Type="http://schemas.openxmlformats.org/officeDocument/2006/relationships/hyperlink" Target="https://gd.eppo.int/taxon/ANSTLU/categorization" TargetMode="External"/><Relationship Id="rId6797662a0ede13577" Type="http://schemas.openxmlformats.org/officeDocument/2006/relationships/hyperlink" Target="https://gd.eppo.int/taxon/ANSTLU/photos" TargetMode="External"/><Relationship Id="rId8487662a0ede136a7" Type="http://schemas.openxmlformats.org/officeDocument/2006/relationships/hyperlink" Target="https://coffhi.cphst.org/" TargetMode="External"/><Relationship Id="rId9963662a0ede16145" Type="http://schemas.openxmlformats.org/officeDocument/2006/relationships/hyperlink" Target="http://www.cabi.org/isc" TargetMode="External"/><Relationship Id="rId4360662a0ede16b24" Type="http://schemas.openxmlformats.org/officeDocument/2006/relationships/hyperlink" Target="https://gd.eppo.int" TargetMode="External"/><Relationship Id="rId9187662a0ede16cc3" Type="http://schemas.openxmlformats.org/officeDocument/2006/relationships/hyperlink" Target="https://doi.org/10.1111/j.1365-2338.1983.tb01715.x" TargetMode="External"/><Relationship Id="rId9790662a0ede1347d" Type="http://schemas.openxmlformats.org/officeDocument/2006/relationships/image" Target="media/imgrId9790662a0ede1347d.jpg"/><Relationship Id="rId2020662a0ede14b30" Type="http://schemas.openxmlformats.org/officeDocument/2006/relationships/image" Target="media/imgrId2020662a0ede14b30.jpg"/><Relationship Id="rId3166662a0ede16e82" Type="http://schemas.openxmlformats.org/officeDocument/2006/relationships/image" Target="media/imgrId3166662a0ede16e8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