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Anoplophora chinensis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chinensis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(Forster)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malasiaca</w:t>
            </w:r>
            <w:r>
              <w:rPr>
                <w:rFonts w:ascii="Calibri" w:hAnsi="Calibri" w:eastAsia="Calibri" w:cs="Calibri"/>
                <w:color w:val="000000"/>
                <w:position w:val="-3"/>
                <w:sz w:val="22"/>
                <w:szCs w:val="22"/>
              </w:rPr>
              <w:t xml:space="preserve"> (Thomson), </w:t>
            </w:r>
            <w:r>
              <w:rPr>
                <w:rFonts w:ascii="Calibri" w:hAnsi="Calibri" w:eastAsia="Calibri" w:cs="Calibri"/>
                <w:i/>
                <w:iCs/>
                <w:color w:val="000000"/>
                <w:position w:val="-3"/>
                <w:sz w:val="22"/>
                <w:szCs w:val="22"/>
              </w:rPr>
              <w:t xml:space="preserve">Cerambyx chinensis</w:t>
            </w:r>
            <w:r>
              <w:rPr>
                <w:rFonts w:ascii="Calibri" w:hAnsi="Calibri" w:eastAsia="Calibri" w:cs="Calibri"/>
                <w:color w:val="000000"/>
                <w:position w:val="-3"/>
                <w:sz w:val="22"/>
                <w:szCs w:val="22"/>
              </w:rPr>
              <w:t xml:space="preserve"> Forster, </w:t>
            </w:r>
            <w:r>
              <w:rPr>
                <w:rFonts w:ascii="Calibri" w:hAnsi="Calibri" w:eastAsia="Calibri" w:cs="Calibri"/>
                <w:i/>
                <w:iCs/>
                <w:color w:val="000000"/>
                <w:position w:val="-3"/>
                <w:sz w:val="22"/>
                <w:szCs w:val="22"/>
              </w:rPr>
              <w:t xml:space="preserve">Cerambyx farinosus</w:t>
            </w:r>
            <w:r>
              <w:rPr>
                <w:rFonts w:ascii="Calibri" w:hAnsi="Calibri" w:eastAsia="Calibri" w:cs="Calibri"/>
                <w:color w:val="000000"/>
                <w:position w:val="-3"/>
                <w:sz w:val="22"/>
                <w:szCs w:val="22"/>
              </w:rPr>
              <w:t xml:space="preserve"> Houttuyn, </w:t>
            </w:r>
            <w:r>
              <w:rPr>
                <w:rFonts w:ascii="Calibri" w:hAnsi="Calibri" w:eastAsia="Calibri" w:cs="Calibri"/>
                <w:i/>
                <w:iCs/>
                <w:color w:val="000000"/>
                <w:position w:val="-3"/>
                <w:sz w:val="22"/>
                <w:szCs w:val="22"/>
              </w:rPr>
              <w:t xml:space="preserve">Lamia punctator</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Melanauster chinensis</w:t>
            </w:r>
            <w:r>
              <w:rPr>
                <w:rFonts w:ascii="Calibri" w:hAnsi="Calibri" w:eastAsia="Calibri" w:cs="Calibri"/>
                <w:color w:val="000000"/>
                <w:position w:val="-3"/>
                <w:sz w:val="22"/>
                <w:szCs w:val="22"/>
              </w:rPr>
              <w:t xml:space="preserve"> Thomson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black and white longhorn, citrus long-horned beetle, citrus longhorn, citrus root cerambycid, white-spotted longicorn beetle</w:t>
            </w:r>
            <w:hyperlink r:id="rId2711697c078db5d9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B)</w:t>
            </w:r>
            <w:hyperlink r:id="rId6309697c078db5e0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ANOLCN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070509" name="name1184697c078db5eed" descr="11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74.jpg"/>
                          <pic:cNvPicPr/>
                        </pic:nvPicPr>
                        <pic:blipFill>
                          <a:blip r:embed="rId2145697c078db5eec" cstate="print"/>
                          <a:stretch>
                            <a:fillRect/>
                          </a:stretch>
                        </pic:blipFill>
                        <pic:spPr>
                          <a:xfrm>
                            <a:off x="0" y="0"/>
                            <a:ext cx="2160000" cy="1281600"/>
                          </a:xfrm>
                          <a:prstGeom prst="rect">
                            <a:avLst/>
                          </a:prstGeom>
                          <a:ln w="0">
                            <a:noFill/>
                          </a:ln>
                        </pic:spPr>
                      </pic:pic>
                    </a:graphicData>
                  </a:graphic>
                </wp:inline>
              </w:drawing>
            </w:r>
            <w:hyperlink r:id="rId1059697c078db602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is currently a single taxonomic entity. In the past some authors referred to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but in line with the revised taxonomy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which occurred in 2002, </w:t>
      </w:r>
      <w:r>
        <w:rPr>
          <w:rFonts w:ascii="Calibri" w:hAnsi="Calibri" w:eastAsia="Calibri" w:cs="Calibri"/>
          <w:i/>
          <w:iCs/>
          <w:color w:val="000000"/>
          <w:sz w:val="22"/>
          <w:szCs w:val="22"/>
        </w:rPr>
        <w:t xml:space="preserve">A. malasiaca</w:t>
      </w:r>
      <w:r>
        <w:rPr>
          <w:rFonts w:ascii="Calibri" w:hAnsi="Calibri" w:eastAsia="Calibri" w:cs="Calibri"/>
          <w:color w:val="000000"/>
          <w:sz w:val="22"/>
          <w:szCs w:val="22"/>
        </w:rPr>
        <w:t xml:space="preserve"> is synonymized with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(Lingafelter &amp; Hoebeke, 2002; Wang, 2017). However, despite the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the name </w:t>
      </w:r>
      <w:r>
        <w:rPr>
          <w:rFonts w:ascii="Calibri" w:hAnsi="Calibri" w:eastAsia="Calibri" w:cs="Calibri"/>
          <w:i/>
          <w:iCs/>
          <w:color w:val="000000"/>
          <w:sz w:val="22"/>
          <w:szCs w:val="22"/>
        </w:rPr>
        <w:t xml:space="preserve">A. malasiaca</w:t>
      </w:r>
      <w:r>
        <w:rPr>
          <w:rFonts w:ascii="Calibri" w:hAnsi="Calibri" w:eastAsia="Calibri" w:cs="Calibri"/>
          <w:color w:val="000000"/>
          <w:sz w:val="22"/>
          <w:szCs w:val="22"/>
        </w:rPr>
        <w:t xml:space="preserve"> is still used in Japan (Iwaizumi, 2016; Fujiwara-Tsujii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Yasuda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w:t>
      </w:r>
      <w:r>
        <w:rPr>
          <w:rFonts w:ascii="Calibri" w:hAnsi="Calibri" w:eastAsia="Calibri" w:cs="Calibri"/>
          <w:i/>
          <w:iCs/>
          <w:color w:val="000000"/>
          <w:sz w:val="22"/>
          <w:szCs w:val="22"/>
        </w:rPr>
        <w:t xml:space="preserve"> chinensis</w:t>
      </w:r>
      <w:r>
        <w:rPr>
          <w:rFonts w:ascii="Calibri" w:hAnsi="Calibri" w:eastAsia="Calibri" w:cs="Calibri"/>
          <w:color w:val="000000"/>
          <w:sz w:val="22"/>
          <w:szCs w:val="22"/>
        </w:rPr>
        <w:t xml:space="preserve"> is polyphagous on woody hosts, having been recorded on many living plants belonging to more than 30 families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a serious pest of citrus orchards (Mitomi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and has a wider host range which also includes conifers in the genera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(Wang &amp; Chen, 1984; Lingafelter &amp; Hoebeke,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has been indicated as the most commonly infested genus, followed by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Italy,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primarily attacks species of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(almost exclusively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(Cavagna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has also been found on species of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2019; Regione Lombardia, 2020a).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oblongum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firma var. multinervis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sieboldiana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 subsp.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rhombea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integra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koriyanagi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pierotii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Stranvaesia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bungeanum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is native to Asia. This species occurs primarily in China, Japan and the Korean peninsula and it is also reported in Vietnam, Taiwan, the Philippines, Myanmar, Malaysia and Indonesia (Gressitt, 1951; Lingafelter &amp; Hoebeke,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1999 and 2001,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found in the USA and was considered eradicated in 2005. Before this, in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only reported to occur in the USA in Hawaii (Sorauer, 1954; EPPO, 1999; Gyeltshen &amp; Hodges,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this species was first reported in 1980 in the Netherlands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several outbreaks occurred from 2000 to the present day. In Italy,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detected for the first time in 2000 in Lombardy Region, later it was reported in Lazio Region (2008) and in Tuscany Region (2014 and 2017). In some outbreaks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eradicated, in others containment measures are in place (Colombo &amp; Limonta, 2001; EPPO,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reported and subsequently eradicated in Netherlands (2003, eradicated in 2010), Germany (2008, eradicated in 2017), Denmark (2011, eradicated in 2015) and Switzerland (2014, eradicated in 2019) (EFSA, 2019; EPPO, 2020a).</w:t>
      </w:r>
    </w:p>
    <w:p>
      <w:pPr>
        <w:widowControl w:val="on"/>
        <w:pBdr/>
        <w:spacing w:before="220" w:after="220" w:line="240" w:lineRule="auto"/>
        <w:ind w:left="0" w:right="0"/>
        <w:jc w:val="both"/>
      </w:pPr>
      <w:r>
        <w:rPr>
          <w:rFonts w:ascii="Calibri" w:hAnsi="Calibri" w:eastAsia="Calibri" w:cs="Calibri"/>
          <w:color w:val="000000"/>
          <w:sz w:val="22"/>
          <w:szCs w:val="22"/>
        </w:rPr>
        <w:t xml:space="preserve">This beetle has also been reported in France (2003 and 2008), Croatia (2007) and Turkey (2015) where eradication measures are in place (EPPO, 2020a).    </w:t>
      </w:r>
    </w:p>
    <w:p>
      <w:r>
        <w:drawing>
          <wp:inline distT="0" distB="0" distL="0" distR="0">
            <wp:extent cx="6120000" cy="3067200"/>
            <wp:docPr id="36134608" name="name4483697c078db8d0c" descr="ANOLC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LCN_distribution_map.jpg"/>
                    <pic:cNvPicPr/>
                  </pic:nvPicPr>
                  <pic:blipFill>
                    <a:blip r:embed="rId1212697c078db8d0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Italy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Fujian, Gansu, Guangdong, Guangxi, Guizhou, Hainan, Hebei, Hubei, Hunan, Jiangsu, Jiangxi, Liaoning, Shaanxi, Sichuan, Xianggang (Hong Kong), Xizhang, Yunnan, Zhejiang), Indonesia (Sumatra), Japan (Hokkaido, Honshu, Kyushu, Ryukyu Archipelago, Shikoku), Korea, Democratic People's Republic of, Korea, Republic of, Malaysia (West), Myanmar, Philippines,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generally completes its life cycle in one year, however occasionally the lifecycle can take two years to complete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Adults can be observed from May to October with a peak emergence usually from May to July.  However, if the environmental conditions are optimal, adults can be observed until December. Newly emerged adults undertake maturation feeding for 10-15 days on leaves, twigs, petioles and bark before mate-finding and copulation occurs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2013;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After copulation the females lays eggs, one by one, under the bark of the lower trunk, on exposed roots and along root collar region. At the time of oviposition, they make ‘T-shaped’ incisions with their mandibles on the bark of the host plant, in order to be able to introduce the ovipositor and lay the eggs. Females lay an average of 70 eggs in their lifetimes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dig long feeding tunnels in both trunks and exposed roots, initially in the cambial region and later enter the woody tissues of the lowest portions of the trunk and roots, in the heartwood and sapwood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Most individuals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overwinter as larvae at various stage of their development, depending on the egg laying period. The mature overwintering larvae pupate usually during spring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symptoms may indicate that a host is infested with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presence of larvae inside the wood is revealed by frass and woodpulp expelled from the trunk (visible near the collar) and emerging roots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Vukadin &amp; Hrašovec, 2010; Ciampitti &amp; Cavagna, 2013;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Circular exit holes (usually 10-15 mm) made by emerging adults can be observed at the base of the trunk and on the emerging roots of host plants; another symptom of adults infestation are the ‘T-shaped’ oviposition incisions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Ciampitti &amp; Cavagna, 2013), however they are very difficult to find without a thorough 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of the presence of adults are the signs of feeding on twigs and suckers, as well as wilting foliage, stem discoloration and branch desiccation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Ciampitti &amp; Cavagna, 2013; EFSA,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5 mm long, elongate, subcylindrical and tapering towards both ends. Creamy-white but towards hatching gradually turning yellowish-brown (Lieu, 1945).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an elongate, cylindrical, legless grub. It is creamy-white, with some yellow, chitinized patterns on the prothorax. It ranges from about 5 mm long for the newly hatched larvae up to about 50 mm long for the mature larvae. The head is brown, prognathous and usually retracted into the prothorax. The prothorax is always larger than the abdomen, meso- and metathorax and about twice the width of the head. A distinct pigmented band is present anterior to the pronotal shield. The antennae are very short, three-segmented. The ocelli, one on each side, are ventro-lateral to the antennae (Lieu, 1945; Nakamura, 1981; Gyeltshen &amp; Hodges, 2005;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exarate and 27 to 38 mm long; they have elytra that only partially cover the membranous hind wings and curve around to the ventral surface of the body (Gyeltshen &amp; Hodges, 2005).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cerambycid in shape; the body length usually ranges between 19 and 37 mm. Antennae 1.7-2 times length of body in male; 1.2 times length of body in female. The beetle is black with several white hair spots on the elytra. Adults of both sexes have the characteristic of possessing 20–40 small projections (tubercles) on the basal one fifth of each elytron. This character can allow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to be distinguished from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(Lingafelter &amp; Hoebeke, 2002; Thomas, 2004;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2016a; EFSA,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at the beginning of infestation is difficult due to the small amount of frass ejected externally by larvae. However, the frass becomes easier to see as the larvae mature as there is an accumulation of frass outside of the trunk on the ground (near collar region) and on emerging roots. This sign can be confused with frass ejected by larvae of xylophagous </w:t>
      </w:r>
      <w:r>
        <w:rPr>
          <w:rFonts w:ascii="Calibri" w:hAnsi="Calibri" w:eastAsia="Calibri" w:cs="Calibri"/>
          <w:i/>
          <w:iCs/>
          <w:color w:val="000000"/>
          <w:sz w:val="22"/>
          <w:szCs w:val="22"/>
        </w:rPr>
        <w:t xml:space="preserve">Lepidoptera</w:t>
      </w:r>
      <w:r>
        <w:rPr>
          <w:rFonts w:ascii="Calibri" w:hAnsi="Calibri" w:eastAsia="Calibri" w:cs="Calibri"/>
          <w:color w:val="000000"/>
          <w:sz w:val="22"/>
          <w:szCs w:val="22"/>
        </w:rPr>
        <w:t xml:space="preserve"> (e.g.</w:t>
      </w:r>
      <w:r>
        <w:rPr>
          <w:rFonts w:ascii="Calibri" w:hAnsi="Calibri" w:eastAsia="Calibri" w:cs="Calibri"/>
          <w:i/>
          <w:iCs/>
          <w:color w:val="000000"/>
          <w:sz w:val="22"/>
          <w:szCs w:val="22"/>
        </w:rPr>
        <w:t xml:space="preserve"> Cossus cossus</w:t>
      </w:r>
      <w:r>
        <w:rPr>
          <w:rFonts w:ascii="Calibri" w:hAnsi="Calibri" w:eastAsia="Calibri" w:cs="Calibri"/>
          <w:color w:val="000000"/>
          <w:sz w:val="22"/>
          <w:szCs w:val="22"/>
        </w:rPr>
        <w:t xml:space="preserve">) and others xylophagous Coleoptera. A molecular test (nested PCR) allowing the detection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DNA in frass has been developed (Strangi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limited validation data are available for this test. Exit holes may be visual on the trunk of host plants after the first generation has emerged.</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traps could be coupled with others detection and inspection methods. In 2015 a study was published where a male-produced attractant pheromone was identified in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Yasui &amp; Fujiwara-Tsujii, 2016). However, according to the literature, there is no commercial trapping system available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specifically (EFSA, 2019). In Italy (Lombardy Region) some results were obtained using Cross Vane Panel Traps and Multi Funnel Traps loaded with various mixtures of the plant volatiles in combination with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attractants; the traps were positioned in areas of recent outbreaks and in those where eradication is close to being achieved. In addition, the traps are used for early detection in sites considered to be at risk (e.g. areas for green composting)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Public awareness is a very effective tool for surveillance and plays a fundamental role. In Italy (Lombardy Region) the active role of citizens was considered fundamental to detect new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infestation and to prevent its spread (Ciampitti &amp; Cavagna, 2014). Citizens can also support the surveillance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through citizen science apps such as FitoDetective (Regione Lombardia, 2020b).</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that a plant is infested by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and not by another xylophagus species, it is essential to identify the larva(e) or the adult specimen(s) found by morphological or molecular analyses.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Lingafelter &amp; Hoebecke, 2002 published useful taxonomical keys for the morphological identification of late instar larvae and of the adults respectively. An EPPO diagnostic protocol is in preparation for this pest. Molecular identification of specimens can be performed using DNA barcoding (see EPPO Standard PM 7/129 (EPPO, 2016b)).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pathway for the introduction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the import of host plants from areas where this species is present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most likely to be moved as eggs, larvae or pupae in live woody plants such as bonsai and nursery stock.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2001, 2002; CABI,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fly readily, as is the case for other Cerambycidae. EFSA (2019) estimated that the maximum distance of natural spread in one year is about 194 m (with a 95% uncertainty range of 42–904 m). The specific scenario considers a population with a 2-year cycle based on average conditions in the European Union. In Italy, a geographic study shows that new infestations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could be found within 500 m of the previously infested trees in urban areas and within 663 m in agricultural areas (Cavagna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is caused by larvae. These bore into the wood of living trees reducing the quality and value of the wood and causing the death of trees (Eschen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As previously reported, 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considered a serious pest of citrus orchards where it causes important economic losses (Gressitt, 1942; Lieu, 1945; Mitomi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Because of this, citrus plantations near import locations are risk areas that should be considered for surveillance and monitoring, particularly in regions where citrus cultivation is of economic relevance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also an important pest of many stone and pome fruit, and mulberry trees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Due to its wide host range,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could have extremely high economic impacts in countries where it is introduced. </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found mostly in urban areas. Often the destruction of infested plants is required to prevent its spread.  In the case of private gardens this may involve not only economic costs, but also have a social impact on local inhabitants.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against the spread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consist of the destruction and the removal of infested trees including roots. Using root grinding equipment can help ensure effectiveness. In addition, for effective control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 urban areas, the collaboration of citizens is essential, for this reason it is very important to replace the destroyed infested plants with non-host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oviposition occurs mainly on the lower trunk it is possible to apply techniques to exclude ovipositing adults (Adachi, 1989). In Italy wire nets are applied for this purpose on particularly valuable plants or in situations where it is not technically possible to destroy the stumps.</w:t>
      </w:r>
    </w:p>
    <w:p>
      <w:pPr>
        <w:widowControl w:val="on"/>
        <w:pBdr/>
        <w:spacing w:before="220" w:after="220" w:line="240" w:lineRule="auto"/>
        <w:ind w:left="0" w:right="0"/>
        <w:jc w:val="both"/>
      </w:pPr>
      <w:r>
        <w:rPr>
          <w:rFonts w:ascii="Calibri" w:hAnsi="Calibri" w:eastAsia="Calibri" w:cs="Calibri"/>
          <w:color w:val="000000"/>
          <w:sz w:val="22"/>
          <w:szCs w:val="22"/>
        </w:rPr>
        <w:t xml:space="preserve">A wide variety of insecticides have been tested for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spp., mainly on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Asia, for example, the fumigant aluminum phosphide is placed directly in larval galleries, organophosphates are used as systemic treatments, and pyrethroids are commonly used as trunk and foliar sprays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Another promising pyrethroid is lambda-cyhalothrin, which can be applied as an encapsulated contact insecticide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larvae is usually not very effective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however, chemical studies conducted in Italy in 2013 achieved some promising results when the basal trunks were initially treated with pyrethroid solutions and after 20 days treated with a mixture of pyrethroids and neonicotinoids (Cavalieri, 2013;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Some biological control agents have been studied and tested. In Italy (Lombardy Region), in 2002 in Parabiago area (Milano Province) a Eulophid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n. sp. has been reported on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eggs. Several field trials with </w:t>
      </w:r>
      <w:r>
        <w:rPr>
          <w:rFonts w:ascii="Calibri" w:hAnsi="Calibri" w:eastAsia="Calibri" w:cs="Calibri"/>
          <w:i/>
          <w:iCs/>
          <w:color w:val="000000"/>
          <w:sz w:val="22"/>
          <w:szCs w:val="22"/>
        </w:rPr>
        <w:t xml:space="preserve">A. anoplophorae</w:t>
      </w:r>
      <w:r>
        <w:rPr>
          <w:rFonts w:ascii="Calibri" w:hAnsi="Calibri" w:eastAsia="Calibri" w:cs="Calibri"/>
          <w:color w:val="000000"/>
          <w:sz w:val="22"/>
          <w:szCs w:val="22"/>
        </w:rPr>
        <w:t xml:space="preserve"> have been held in Lombardy Region (Delvare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Brabbs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Maspero, 2015). In the literature several potential control agents are reported such as the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the entomopathogenic fungus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and some insect parasitoids (e.g. </w:t>
      </w:r>
      <w:r>
        <w:rPr>
          <w:rFonts w:ascii="Calibri" w:hAnsi="Calibri" w:eastAsia="Calibri" w:cs="Calibri"/>
          <w:i/>
          <w:iCs/>
          <w:color w:val="000000"/>
          <w:sz w:val="22"/>
          <w:szCs w:val="22"/>
        </w:rPr>
        <w:t xml:space="preserve">Spathius erythrocephalus</w:t>
      </w:r>
      <w:r>
        <w:rPr>
          <w:rFonts w:ascii="Calibri" w:hAnsi="Calibri" w:eastAsia="Calibri" w:cs="Calibri"/>
          <w:color w:val="000000"/>
          <w:sz w:val="22"/>
          <w:szCs w:val="22"/>
        </w:rPr>
        <w:t xml:space="preserve">) (Kashio, 1982, 1986; Kashio &amp; Ujiye, 1988; Brabbs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highly polyphagous. The availability of host plants is not a limiting factor for its establishment and spread in the EPPO countries as well as climatic conditions, except in the most northern areas. The findings and outbreaks that have occurred in Europe from 2000 to date demonstrate the beetle’s adaptation to different climates and environments; due to this, the risk of establishment, spread and damage is considered very high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able to attack and cause damage to fruit trees, ornamental and forest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infestations is very problematic because often the infested plants are without signs and infestations may remain undetected for many years and allow the growth of a large population. In this case, eradication and control activities become long and costly. For this reason, it is very important to set up an accurate surveillance of the territory and implement strategies of early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movement of live plants are the main pathway of movement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it is important that the host plants are only imported from pest-free areas. Alternatively, the plants should be grown under carefully supervised conditions in registered nurseries. Suitable precautions would be to grow the plants for at least two years before dispatch in an insect-proof enclosure, inspecting them several times a year for the presence of </w:t>
      </w:r>
      <w:r>
        <w:rPr>
          <w:rFonts w:ascii="Calibri" w:hAnsi="Calibri" w:eastAsia="Calibri" w:cs="Calibri"/>
          <w:i/>
          <w:iCs/>
          <w:color w:val="000000"/>
          <w:sz w:val="22"/>
          <w:szCs w:val="22"/>
        </w:rPr>
        <w:t xml:space="preserve">A. chinensis.</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Castanea, Quercus, Betula, Populus, Salix, Fagus, Ulmus and Juglans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2017a,b,c,d,2018, 2020a,b).</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subjected to emergency measures under Commission Implementing Decision 2012/138/EU of 1 March 2012 as regards emergency measures to prevent the introduction into and the spread within the Union.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Adachi I &amp; Korenaga R (1989). Control methods for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in citrus groves. 1. Comparison of effects in several methods for preventing oviposition.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Brabbs T, Collins D, Hérard F, Maspero M &amp; Eyre D (2015) Prospects for the use of biological control agents against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7–14.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(black and white citrus longhorn). Available at </w:t>
      </w:r>
      <w:hyperlink r:id="rId6201697c078dba1a5" w:history="1">
        <w:r>
          <w:rPr>
            <w:rFonts w:ascii="Calibri" w:hAnsi="Calibri" w:eastAsia="Calibri" w:cs="Calibri"/>
            <w:color w:val="0000CC"/>
            <w:sz w:val="22"/>
            <w:szCs w:val="22"/>
            <w:u w:val="single"/>
          </w:rPr>
          <w:t xml:space="preserve">https://www.cabi.org/isc/datasheet/5556</w:t>
        </w:r>
      </w:hyperlink>
      <w:r>
        <w:rPr>
          <w:rFonts w:ascii="Calibri" w:hAnsi="Calibri" w:eastAsia="Calibri" w:cs="Calibri"/>
          <w:color w:val="000000"/>
          <w:sz w:val="22"/>
          <w:szCs w:val="22"/>
        </w:rPr>
        <w:t xml:space="preserve"> [accessed on 11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Cavagna B, Ciampitti M, Bianchi A, Rossi S &amp; Luchelli M. (2013) Lombardy Region experience to support the prediction and detection strategies.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Cavalieri G. (2013) Summary of 2008-2011 trials on the possibility of controlling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with pesticides.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(2013)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new tools for predicting, detecting and fighting. How to save our forests and our urban green spaces.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(2014) Public awareness: a useful tool for the early detection and a successful eradication of the longhorned beetles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Cesana G, Asti S &amp; Cavagna B (2018) FitoDetective: mobile application to support pest surveillance. </w:t>
      </w:r>
      <w:r>
        <w:rPr>
          <w:rFonts w:ascii="Calibri" w:hAnsi="Calibri" w:eastAsia="Calibri" w:cs="Calibri"/>
          <w:i/>
          <w:iCs/>
          <w:color w:val="000000"/>
          <w:sz w:val="22"/>
          <w:szCs w:val="22"/>
        </w:rPr>
        <w:t xml:space="preserve">World Forum on Urban Forest Mantova 27/11-01/12/2018</w:t>
      </w:r>
    </w:p>
    <w:p>
      <w:pPr>
        <w:widowControl w:val="on"/>
        <w:pBdr/>
        <w:spacing w:before="220" w:after="220" w:line="240" w:lineRule="auto"/>
        <w:ind w:left="0" w:right="0"/>
        <w:jc w:val="left"/>
      </w:pPr>
      <w:r>
        <w:rPr>
          <w:rFonts w:ascii="Calibri" w:hAnsi="Calibri" w:eastAsia="Calibri" w:cs="Calibri"/>
          <w:color w:val="000000"/>
          <w:sz w:val="22"/>
          <w:szCs w:val="22"/>
        </w:rPr>
        <w:t xml:space="preserve">Colombo M &amp; Limonta L (2001)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Lamiinae Lamiini) in Europe.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65-68.</w:t>
      </w:r>
    </w:p>
    <w:p>
      <w:pPr>
        <w:widowControl w:val="on"/>
        <w:pBdr/>
        <w:spacing w:before="220" w:after="220" w:line="240" w:lineRule="auto"/>
        <w:ind w:left="0" w:right="0"/>
        <w:jc w:val="left"/>
      </w:pPr>
      <w:r>
        <w:rPr>
          <w:rFonts w:ascii="Calibri" w:hAnsi="Calibri" w:eastAsia="Calibri" w:cs="Calibri"/>
          <w:color w:val="000000"/>
          <w:sz w:val="22"/>
          <w:szCs w:val="22"/>
        </w:rPr>
        <w:t xml:space="preserve">Delvare G., Bon MC, Hérard F, Cocquempot C, Maspero M &amp; Colombo M. (2004) Description of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n. sp. (Hymenoptera: Eulophidae), a new egg parasitoid of the invasive pest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(Förster) (Coleoptera: Cerambycidae). In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(3-4), 227-233.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found under glasshouse in Georgia (US).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article 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1999/101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Phytosanitary incidents reported on bonsai and pot plants in the Netherlands.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article 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2001/045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National regulatory systems. PM 9/16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518-526.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PM 3/79(1) Consignment inspection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glabripennis.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58–67.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8/6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(2017e) PM 8/8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8/9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Update on the situation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 no.</w:t>
      </w:r>
      <w:r>
        <w:rPr>
          <w:rFonts w:ascii="Calibri" w:hAnsi="Calibri" w:eastAsia="Calibri" w:cs="Calibri"/>
          <w:color w:val="000000"/>
          <w:sz w:val="22"/>
          <w:szCs w:val="22"/>
        </w:rPr>
        <w:t xml:space="preserve"> 2019/235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w:t>
      </w:r>
      <w:r>
        <w:rPr>
          <w:rFonts w:ascii="Calibri" w:hAnsi="Calibri" w:eastAsia="Calibri" w:cs="Calibri"/>
          <w:i/>
          <w:iCs/>
          <w:color w:val="000000"/>
          <w:sz w:val="22"/>
          <w:szCs w:val="22"/>
        </w:rPr>
        <w:t xml:space="preserve">Anoplophora chinensis </w:t>
      </w:r>
      <w:r>
        <w:rPr>
          <w:rFonts w:ascii="Calibri" w:hAnsi="Calibri" w:eastAsia="Calibri" w:cs="Calibri"/>
          <w:color w:val="000000"/>
          <w:sz w:val="22"/>
          <w:szCs w:val="22"/>
        </w:rPr>
        <w:t xml:space="preserve">(ANOLCN) </w:t>
      </w:r>
      <w:r>
        <w:rPr>
          <w:rFonts w:ascii="Calibri" w:hAnsi="Calibri" w:eastAsia="Calibri" w:cs="Calibri"/>
          <w:i/>
          <w:iCs/>
          <w:color w:val="000000"/>
          <w:sz w:val="22"/>
          <w:szCs w:val="22"/>
        </w:rPr>
        <w:t xml:space="preserve">Reporting Service articles</w:t>
      </w:r>
      <w:r>
        <w:rPr>
          <w:rFonts w:ascii="Calibri" w:hAnsi="Calibri" w:eastAsia="Calibri" w:cs="Calibri"/>
          <w:color w:val="000000"/>
          <w:sz w:val="22"/>
          <w:szCs w:val="22"/>
        </w:rPr>
        <w:t xml:space="preserve">. </w:t>
      </w:r>
      <w:hyperlink r:id="rId7175697c078dbab2b" w:history="1">
        <w:r>
          <w:rPr>
            <w:rFonts w:ascii="Calibri" w:hAnsi="Calibri" w:eastAsia="Calibri" w:cs="Calibri"/>
            <w:color w:val="0000CC"/>
            <w:sz w:val="22"/>
            <w:szCs w:val="22"/>
            <w:u w:val="single"/>
          </w:rPr>
          <w:t xml:space="preserve">https://gd.eppo.int/taxon/ANOLCN/reporting</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8/10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88-98.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(2020c) PM 8/12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Eschen R, Grégoire JC, Hengeveld GM, Bram M, Rigaux L &amp; Potting R P (2015) Trade patterns of the tree nursery industry in Europe and changes following findings of citrus longhorn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(EFSA), Hoppe B, Schrader G, Kinkar M &amp; Vos S.(2019) Pest survey card on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1747E.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228/2013,(EU) No 652/2014 and (EU) No 1143/2014 of the European Parliament and of the Council and repealing Council Directives 69/464/EEC, 74/647/EEC, 93/85/EEC, 98/57/EC, 2000/29/EC, 2006/91/EC and 2007/33/EC. </w:t>
      </w:r>
      <w:r>
        <w:rPr>
          <w:rFonts w:ascii="Calibri" w:hAnsi="Calibri" w:eastAsia="Calibri" w:cs="Calibri"/>
          <w:i/>
          <w:iCs/>
          <w:color w:val="000000"/>
          <w:sz w:val="22"/>
          <w:szCs w:val="22"/>
        </w:rPr>
        <w:t xml:space="preserve">Official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317</w:t>
      </w:r>
      <w:r>
        <w:rPr>
          <w:rFonts w:ascii="Calibri" w:hAnsi="Calibri" w:eastAsia="Calibri" w:cs="Calibri"/>
          <w:color w:val="000000"/>
          <w:sz w:val="22"/>
          <w:szCs w:val="22"/>
        </w:rPr>
        <w:t xml:space="preserve">, 4-104.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of 1 August 2019 supplementing Regulation (EU) 2016/2031 of the European Parliament and of the Council by establishing the list of priority pests.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8-10.</w:t>
      </w:r>
    </w:p>
    <w:p>
      <w:pPr>
        <w:widowControl w:val="on"/>
        <w:pBdr/>
        <w:spacing w:before="220" w:after="220" w:line="240" w:lineRule="auto"/>
        <w:ind w:left="0" w:right="0"/>
        <w:jc w:val="left"/>
      </w:pPr>
      <w:r>
        <w:rPr>
          <w:rFonts w:ascii="Calibri" w:hAnsi="Calibri" w:eastAsia="Calibri" w:cs="Calibri"/>
          <w:color w:val="000000"/>
          <w:sz w:val="22"/>
          <w:szCs w:val="22"/>
        </w:rPr>
        <w:t xml:space="preserve">Fujiwara-Tsujii N, Yasui H, Yasuda T, Wakamura S, Akino T, Fukaya M, Suziki T, Hoshi T, Hagiwara H &amp; Ono H (2019) Contact sex pheromone activity of synthetic Gomadalactones in male white-spotted longhorn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440-446.</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JL (1942) Destructive long-horned beetle borers at Canton, China (1). </w:t>
      </w:r>
      <w:r>
        <w:rPr>
          <w:rFonts w:ascii="Calibri" w:hAnsi="Calibri" w:eastAsia="Calibri" w:cs="Calibri"/>
          <w:i/>
          <w:iCs/>
          <w:color w:val="000000"/>
          <w:sz w:val="22"/>
          <w:szCs w:val="22"/>
        </w:rPr>
        <w:t xml:space="preserve">Special. Publication. Lingnan Natural History Survey</w:t>
      </w:r>
      <w:r>
        <w:rPr>
          <w:rFonts w:ascii="Calibri" w:hAnsi="Calibri" w:eastAsia="Calibri" w:cs="Calibri"/>
          <w:color w:val="000000"/>
          <w:sz w:val="22"/>
          <w:szCs w:val="22"/>
        </w:rPr>
        <w:t xml:space="preserve"> No.1 pp.60 pp.</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JL (1951) Longicorn beetles of China. </w:t>
      </w:r>
      <w:r>
        <w:rPr>
          <w:rFonts w:ascii="Calibri" w:hAnsi="Calibri" w:eastAsia="Calibri" w:cs="Calibri"/>
          <w:i/>
          <w:iCs/>
          <w:color w:val="000000"/>
          <w:sz w:val="22"/>
          <w:szCs w:val="22"/>
        </w:rPr>
        <w:t xml:space="preserve">Lepesme P.:  Longicornia, études et notes sur les longicornes, Volume 2. Paris: Paul Lechevalier.</w:t>
      </w:r>
      <w:r>
        <w:rPr>
          <w:rFonts w:ascii="Calibri" w:hAnsi="Calibri" w:eastAsia="Calibri" w:cs="Calibri"/>
          <w:color w:val="000000"/>
          <w:sz w:val="22"/>
          <w:szCs w:val="22"/>
        </w:rPr>
        <w:t xml:space="preserve"> 667 pp.</w:t>
      </w:r>
    </w:p>
    <w:p>
      <w:pPr>
        <w:widowControl w:val="on"/>
        <w:pBdr/>
        <w:spacing w:before="220" w:after="220" w:line="240" w:lineRule="auto"/>
        <w:ind w:left="0" w:right="0"/>
        <w:jc w:val="left"/>
      </w:pPr>
      <w:r>
        <w:rPr>
          <w:rFonts w:ascii="Calibri" w:hAnsi="Calibri" w:eastAsia="Calibri" w:cs="Calibri"/>
          <w:color w:val="000000"/>
          <w:sz w:val="22"/>
          <w:szCs w:val="22"/>
        </w:rPr>
        <w:t xml:space="preserve">Gyeltshen J &amp; Hodges A (2005)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(Forster)(Insecta: Coleoptera: Cerambycidae). </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 A, Hérard F, Sun J, &amp; Turgeon JJ (2010) Managing invasive populations of Asian longhorned beetle and citrus longhorned beetle: a worldwide perspective.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521-546.</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L, Xu T, Wickham J, Chen Y, Hao D, Hanks L M, Millar JG, &amp; Teale SA (2015) Identification of a male-produced pheromone component of the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e0134358.</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Cocquempot C, Lopez J, Covi J, Colombo M &amp; Maspero M (2005) Field study to evaluate the egg parasitoid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sp. n. (Hymenoptera: Eulophidae) on two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hosts. </w:t>
      </w:r>
      <w:r>
        <w:rPr>
          <w:rFonts w:ascii="Calibri" w:hAnsi="Calibri" w:eastAsia="Calibri" w:cs="Calibri"/>
          <w:i/>
          <w:iCs/>
          <w:color w:val="000000"/>
          <w:sz w:val="22"/>
          <w:szCs w:val="22"/>
        </w:rPr>
        <w:t xml:space="preserve">Gottschalk, Kurt W., ed. Proceedings, XV US Department of Agriculture</w:t>
      </w:r>
      <w:r>
        <w:rPr>
          <w:rFonts w:ascii="Calibri" w:hAnsi="Calibri" w:eastAsia="Calibri" w:cs="Calibri"/>
          <w:color w:val="000000"/>
          <w:sz w:val="22"/>
          <w:szCs w:val="22"/>
        </w:rPr>
        <w:t xml:space="preserve">, MD, pp.40-42.</w:t>
      </w:r>
    </w:p>
    <w:p>
      <w:pPr>
        <w:widowControl w:val="on"/>
        <w:pBdr/>
        <w:spacing w:before="220" w:after="220" w:line="240" w:lineRule="auto"/>
        <w:ind w:left="0" w:right="0"/>
        <w:jc w:val="left"/>
      </w:pPr>
      <w:r>
        <w:rPr>
          <w:rFonts w:ascii="Calibri" w:hAnsi="Calibri" w:eastAsia="Calibri" w:cs="Calibri"/>
          <w:color w:val="000000"/>
          <w:sz w:val="22"/>
          <w:szCs w:val="22"/>
        </w:rPr>
        <w:t xml:space="preserve">Hu J, Angeli S, Schuetz S, Luo Y &amp; Hajek AE (2009) Ecology and management of exotic and endemic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Agricultural and Forest Entomology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359–375.</w:t>
      </w:r>
    </w:p>
    <w:p>
      <w:pPr>
        <w:widowControl w:val="on"/>
        <w:pBdr/>
        <w:spacing w:before="220" w:after="220" w:line="240" w:lineRule="auto"/>
        <w:ind w:left="0" w:right="0"/>
        <w:jc w:val="left"/>
      </w:pPr>
      <w:r>
        <w:rPr>
          <w:rFonts w:ascii="Calibri" w:hAnsi="Calibri" w:eastAsia="Calibri" w:cs="Calibri"/>
          <w:color w:val="000000"/>
          <w:sz w:val="22"/>
          <w:szCs w:val="22"/>
        </w:rPr>
        <w:t xml:space="preserve">Iwaizumi R (2016) Notes on the reproductive behavior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51-56.</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(1982) [Laboratory evaluation of entomogenous nematodes, </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eoaplectana carpocapsae</w:t>
      </w:r>
      <w:r>
        <w:rPr>
          <w:rFonts w:ascii="Calibri" w:hAnsi="Calibri" w:eastAsia="Calibri" w:cs="Calibri"/>
          <w:color w:val="000000"/>
          <w:sz w:val="22"/>
          <w:szCs w:val="22"/>
        </w:rPr>
        <w:t xml:space="preserve"> Weiser, as a biological control agent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Thompson].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194-197. </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(1986) [Application of bark compost containing entomogenous nematodes,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DD-136, for the control of white 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175-178. </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&amp; Ujiye T (1988) [Evaluation of the use of the entomogenous fungus, </w:t>
      </w:r>
      <w:r>
        <w:rPr>
          <w:rFonts w:ascii="Calibri" w:hAnsi="Calibri" w:eastAsia="Calibri" w:cs="Calibri"/>
          <w:i/>
          <w:iCs/>
          <w:color w:val="000000"/>
          <w:sz w:val="22"/>
          <w:szCs w:val="22"/>
        </w:rPr>
        <w:t xml:space="preserve">Beauveria tenella</w:t>
      </w:r>
      <w:r>
        <w:rPr>
          <w:rFonts w:ascii="Calibri" w:hAnsi="Calibri" w:eastAsia="Calibri" w:cs="Calibri"/>
          <w:color w:val="000000"/>
          <w:sz w:val="22"/>
          <w:szCs w:val="22"/>
        </w:rPr>
        <w:t xml:space="preserve">, isolated from the yellow spotted longicorn beetle,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for the biological control of the white 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190-193.</w:t>
      </w:r>
    </w:p>
    <w:p>
      <w:pPr>
        <w:widowControl w:val="on"/>
        <w:pBdr/>
        <w:spacing w:before="220" w:after="220" w:line="240" w:lineRule="auto"/>
        <w:ind w:left="0" w:right="0"/>
        <w:jc w:val="left"/>
      </w:pPr>
      <w:r>
        <w:rPr>
          <w:rFonts w:ascii="Calibri" w:hAnsi="Calibri" w:eastAsia="Calibri" w:cs="Calibri"/>
          <w:color w:val="000000"/>
          <w:sz w:val="22"/>
          <w:szCs w:val="22"/>
        </w:rPr>
        <w:t xml:space="preserve">Li-ying, Li &amp; Ren, Wang &amp; Waterhouse, Doug F (1997). The distribution and importance of arthropod pests and weeds of agriculture and forestry plantations in Southern China,</w:t>
      </w:r>
      <w:r>
        <w:rPr>
          <w:rFonts w:ascii="Calibri" w:hAnsi="Calibri" w:eastAsia="Calibri" w:cs="Calibri"/>
          <w:i/>
          <w:iCs/>
          <w:color w:val="000000"/>
          <w:sz w:val="22"/>
          <w:szCs w:val="22"/>
        </w:rPr>
        <w:t xml:space="preserve"> Monographs, Australian Centre for International Agricultural Research, number 117177, Summer.</w:t>
      </w:r>
    </w:p>
    <w:p>
      <w:pPr>
        <w:widowControl w:val="on"/>
        <w:pBdr/>
        <w:spacing w:before="220" w:after="220" w:line="240" w:lineRule="auto"/>
        <w:ind w:left="0" w:right="0"/>
        <w:jc w:val="left"/>
      </w:pPr>
      <w:r>
        <w:rPr>
          <w:rFonts w:ascii="Calibri" w:hAnsi="Calibri" w:eastAsia="Calibri" w:cs="Calibri"/>
          <w:color w:val="000000"/>
          <w:sz w:val="22"/>
          <w:szCs w:val="22"/>
        </w:rPr>
        <w:t xml:space="preserve">Lingafelter SW &amp; Hoebeke ER (2002)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(Coleoptera: Cerambycidae) (No. 595.7648 L5). Washington, DC: </w:t>
      </w:r>
      <w:r>
        <w:rPr>
          <w:rFonts w:ascii="Calibri" w:hAnsi="Calibri" w:eastAsia="Calibri" w:cs="Calibri"/>
          <w:i/>
          <w:iCs/>
          <w:color w:val="000000"/>
          <w:sz w:val="22"/>
          <w:szCs w:val="22"/>
        </w:rPr>
        <w:t xml:space="preserve">Entomological Society of Washington</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Lieu KOV (1945) The study of wood borers in China. I.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61-101. </w:t>
      </w:r>
    </w:p>
    <w:p>
      <w:pPr>
        <w:widowControl w:val="on"/>
        <w:pBdr/>
        <w:spacing w:before="220" w:after="220" w:line="240" w:lineRule="auto"/>
        <w:ind w:left="0" w:right="0"/>
        <w:jc w:val="left"/>
      </w:pPr>
      <w:r>
        <w:rPr>
          <w:rFonts w:ascii="Calibri" w:hAnsi="Calibri" w:eastAsia="Calibri" w:cs="Calibri"/>
          <w:color w:val="000000"/>
          <w:sz w:val="22"/>
          <w:szCs w:val="22"/>
        </w:rPr>
        <w:t xml:space="preserve">Maspero M, Cavalieri G, D’Angelo G, Jucker C, Valentini M, Colombo M, Herard F, Lopez J, Ramualde,N, Ciampitti M, Caremi G &amp; Cavagna B (2007)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 Eradication programme in Lombardia (Italy). </w:t>
      </w:r>
      <w:hyperlink r:id="rId9111697c078dbb4b4" w:history="1">
        <w:r>
          <w:rPr>
            <w:rFonts w:ascii="Calibri" w:hAnsi="Calibri" w:eastAsia="Calibri" w:cs="Calibri"/>
            <w:color w:val="0000CC"/>
            <w:sz w:val="22"/>
            <w:szCs w:val="22"/>
            <w:u w:val="single"/>
          </w:rPr>
          <w:t xml:space="preserve">https://www.eppo.int/ACTIVITIES/plant_quarantine/shortnotes_qps/anoplophora_chinensis_eradication</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Mitomi M, Kuroda E &amp; Okamoto H (1990) [Ecological study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I. Investigation of adult emergence holes in citrus orchards in Kagawa Prefecture].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7-13. </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(1981) Immature stages of Taiwanese cerambycid beetles (Coleoptera, Cerambycidae), with notes on their habit. </w:t>
      </w:r>
      <w:r>
        <w:rPr>
          <w:rFonts w:ascii="Calibri" w:hAnsi="Calibri" w:eastAsia="Calibri" w:cs="Calibri"/>
          <w:i/>
          <w:iCs/>
          <w:color w:val="000000"/>
          <w:sz w:val="22"/>
          <w:szCs w:val="22"/>
        </w:rPr>
        <w:t xml:space="preserve">Kontyu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155-165. </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Peverieri GS, Jucker C, Allegro G &amp; Roversi PF (2012) A key for the identification of larvae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Anoplophora glabripennis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(Coleoptera Cerambycidae Lamiinae) in Europe.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(Tarlo asiatico). Scheda informativa. </w:t>
      </w:r>
      <w:hyperlink r:id="rId2026697c078dbb6c4" w:history="1">
        <w:r>
          <w:rPr>
            <w:rFonts w:ascii="Calibri" w:hAnsi="Calibri" w:eastAsia="Calibri" w:cs="Calibri"/>
            <w:color w:val="0000CC"/>
            <w:sz w:val="22"/>
            <w:szCs w:val="22"/>
            <w:u w:val="single"/>
          </w:rPr>
          <w:t xml:space="preserve">https://www.regione.lombardia.it/wps/portal/istituzionale/HP/DettaglioRedazionale/servizi-e-informazioni/Imprese/Imprese-agricole/servizio-fitosanitario-regionale/organismi-nocivi/anoplophora-chinensis/anoplophora-chinensis-glabripennis</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App FitoDetective. Available at </w:t>
      </w:r>
      <w:hyperlink r:id="rId3139697c078dbb706" w:history="1">
        <w:r>
          <w:rPr>
            <w:rFonts w:ascii="Calibri" w:hAnsi="Calibri" w:eastAsia="Calibri" w:cs="Calibri"/>
            <w:b/>
            <w:bCs/>
            <w:color w:val="0000CC"/>
            <w:sz w:val="22"/>
            <w:szCs w:val="22"/>
            <w:u w:val="single"/>
          </w:rPr>
          <w:t xml:space="preserve">LINK</w:t>
        </w:r>
      </w:hyperlink>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[accessed on 09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Quarantine Pests of Europe (2nd edn). CAB International with EPPO.</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Turgeon JJ, de Groot P &amp; Gasman B (2009)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lessons learned and opportunities to improve the process of eradication and management. </w:t>
      </w:r>
      <w:r>
        <w:rPr>
          <w:rFonts w:ascii="Calibri" w:hAnsi="Calibri" w:eastAsia="Calibri" w:cs="Calibri"/>
          <w:i/>
          <w:iCs/>
          <w:color w:val="000000"/>
          <w:sz w:val="22"/>
          <w:szCs w:val="22"/>
        </w:rPr>
        <w:t xml:space="preserve">American Entomologist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21–25.</w:t>
      </w:r>
    </w:p>
    <w:p>
      <w:pPr>
        <w:widowControl w:val="on"/>
        <w:pBdr/>
        <w:spacing w:before="220" w:after="220" w:line="240" w:lineRule="auto"/>
        <w:ind w:left="0" w:right="0"/>
        <w:jc w:val="left"/>
      </w:pPr>
      <w:r>
        <w:rPr>
          <w:rFonts w:ascii="Calibri" w:hAnsi="Calibri" w:eastAsia="Calibri" w:cs="Calibri"/>
          <w:color w:val="000000"/>
          <w:sz w:val="22"/>
          <w:szCs w:val="22"/>
        </w:rPr>
        <w:t xml:space="preserve">Sorauer P (1954) </w:t>
      </w:r>
      <w:r>
        <w:rPr>
          <w:rFonts w:ascii="Calibri" w:hAnsi="Calibri" w:eastAsia="Calibri" w:cs="Calibri"/>
          <w:i/>
          <w:iCs/>
          <w:color w:val="000000"/>
          <w:sz w:val="22"/>
          <w:szCs w:val="22"/>
        </w:rPr>
        <w:t xml:space="preserve">Handbuch der Pflanzenkrankheiten. Tierische Schädlinge an Nutzpflanzen Vol. 5, II.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p. 239. Paul Parey, Berlin, Germany. </w:t>
      </w:r>
    </w:p>
    <w:p>
      <w:pPr>
        <w:widowControl w:val="on"/>
        <w:pBdr/>
        <w:spacing w:before="220" w:after="220" w:line="240" w:lineRule="auto"/>
        <w:ind w:left="0" w:right="0"/>
        <w:jc w:val="left"/>
      </w:pPr>
      <w:r>
        <w:rPr>
          <w:rFonts w:ascii="Calibri" w:hAnsi="Calibri" w:eastAsia="Calibri" w:cs="Calibri"/>
          <w:color w:val="000000"/>
          <w:sz w:val="22"/>
          <w:szCs w:val="22"/>
        </w:rPr>
        <w:t xml:space="preserve">Strangi A, Sabbatini Peverieri G &amp; Roversi PF (2013) Managing outbreaks of the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 in Europe: molecular diagnosis of plant infestation.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627–634.</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(2004) Pest Alert. A second Asian longhorned beetle in the U.S. Florida Department of Agriculture and Consumer Services, Division of Plant Industry,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Ciampitti M, Cavagna B, Maspero M &amp; Herard F (2008) Pest Risk Analysis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Plant Protection Service., Wageningen, the Netherlands. </w:t>
      </w:r>
      <w:hyperlink r:id="rId5929697c078dbb92a" w:history="1">
        <w:r>
          <w:rPr>
            <w:rFonts w:ascii="Calibri" w:hAnsi="Calibri" w:eastAsia="Calibri" w:cs="Calibri"/>
            <w:color w:val="0000CC"/>
            <w:sz w:val="22"/>
            <w:szCs w:val="22"/>
            <w:u w:val="single"/>
          </w:rPr>
          <w:t xml:space="preserve">https://edepot.wur.nl/117610</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Vukadin A &amp; Hrašovec B (2010) Citrus longhorn beetle situation in Croatia – Two years after the first discovery.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38-39.</w:t>
      </w:r>
    </w:p>
    <w:p>
      <w:pPr>
        <w:widowControl w:val="on"/>
        <w:pBdr/>
        <w:spacing w:before="220" w:after="220" w:line="240" w:lineRule="auto"/>
        <w:ind w:left="0" w:right="0"/>
        <w:jc w:val="left"/>
      </w:pPr>
      <w:r>
        <w:rPr>
          <w:rFonts w:ascii="Calibri" w:hAnsi="Calibri" w:eastAsia="Calibri" w:cs="Calibri"/>
          <w:color w:val="000000"/>
          <w:sz w:val="22"/>
          <w:szCs w:val="22"/>
        </w:rPr>
        <w:t xml:space="preserve">Wang TZ &amp; Chen DP (1984) Notes on the damage done by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 and Technology Linye Keji Tongxun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26-27.</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(Ed.) (2017) Cerambycidae of the world: Biology and Pest Management. </w:t>
      </w:r>
      <w:r>
        <w:rPr>
          <w:rFonts w:ascii="Calibri" w:hAnsi="Calibri" w:eastAsia="Calibri" w:cs="Calibri"/>
          <w:i/>
          <w:iCs/>
          <w:color w:val="000000"/>
          <w:sz w:val="22"/>
          <w:szCs w:val="22"/>
        </w:rPr>
        <w:t xml:space="preserve">CRC press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Yasuda T, Mishiro K, Kusunoki M, Fujiwara-Tsujii N, Yasui H, Uechi N, Fujimura T, Inokuchi R, Fujita K, Kanegae Y, Miura Y, Kato I &amp; Mitsunaga T (2020) Inspection of frass ejection could decrease the risk of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(Coleoptera: Cerambycidae) infestation of Japanese pine bonsais to negligible levels.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205-212.</w:t>
      </w:r>
    </w:p>
    <w:p>
      <w:pPr>
        <w:widowControl w:val="on"/>
        <w:pBdr/>
        <w:spacing w:before="220" w:after="220" w:line="240" w:lineRule="auto"/>
        <w:ind w:left="0" w:right="0"/>
        <w:jc w:val="left"/>
      </w:pPr>
      <w:r>
        <w:rPr>
          <w:rFonts w:ascii="Calibri" w:hAnsi="Calibri" w:eastAsia="Calibri" w:cs="Calibri"/>
          <w:color w:val="000000"/>
          <w:sz w:val="22"/>
          <w:szCs w:val="22"/>
        </w:rPr>
        <w:t xml:space="preserve">Yasui H &amp; Fujiwara-Tsujii N (2016) Host plant affects the sexual attractiveness of the female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Matteo Zugno and Mariangela Ciampitti.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EPPO datasheets on pests recommended for regulation. Available online. </w:t>
      </w:r>
      <w:hyperlink r:id="rId3997697c078dbbc2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6045422" name="name5578697c078dbbd8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25697c078dbbd8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492317">
    <w:multiLevelType w:val="hybridMultilevel"/>
    <w:lvl w:ilvl="0" w:tplc="96351809">
      <w:start w:val="1"/>
      <w:numFmt w:val="decimal"/>
      <w:lvlText w:val="%1."/>
      <w:lvlJc w:val="left"/>
      <w:pPr>
        <w:ind w:left="720" w:hanging="360"/>
      </w:pPr>
    </w:lvl>
    <w:lvl w:ilvl="1" w:tplc="96351809" w:tentative="1">
      <w:start w:val="1"/>
      <w:numFmt w:val="lowerLetter"/>
      <w:lvlText w:val="%2."/>
      <w:lvlJc w:val="left"/>
      <w:pPr>
        <w:ind w:left="1440" w:hanging="360"/>
      </w:pPr>
    </w:lvl>
    <w:lvl w:ilvl="2" w:tplc="96351809" w:tentative="1">
      <w:start w:val="1"/>
      <w:numFmt w:val="lowerRoman"/>
      <w:lvlText w:val="%3."/>
      <w:lvlJc w:val="right"/>
      <w:pPr>
        <w:ind w:left="2160" w:hanging="180"/>
      </w:pPr>
    </w:lvl>
    <w:lvl w:ilvl="3" w:tplc="96351809" w:tentative="1">
      <w:start w:val="1"/>
      <w:numFmt w:val="decimal"/>
      <w:lvlText w:val="%4."/>
      <w:lvlJc w:val="left"/>
      <w:pPr>
        <w:ind w:left="2880" w:hanging="360"/>
      </w:pPr>
    </w:lvl>
    <w:lvl w:ilvl="4" w:tplc="96351809" w:tentative="1">
      <w:start w:val="1"/>
      <w:numFmt w:val="lowerLetter"/>
      <w:lvlText w:val="%5."/>
      <w:lvlJc w:val="left"/>
      <w:pPr>
        <w:ind w:left="3600" w:hanging="360"/>
      </w:pPr>
    </w:lvl>
    <w:lvl w:ilvl="5" w:tplc="96351809" w:tentative="1">
      <w:start w:val="1"/>
      <w:numFmt w:val="lowerRoman"/>
      <w:lvlText w:val="%6."/>
      <w:lvlJc w:val="right"/>
      <w:pPr>
        <w:ind w:left="4320" w:hanging="180"/>
      </w:pPr>
    </w:lvl>
    <w:lvl w:ilvl="6" w:tplc="96351809" w:tentative="1">
      <w:start w:val="1"/>
      <w:numFmt w:val="decimal"/>
      <w:lvlText w:val="%7."/>
      <w:lvlJc w:val="left"/>
      <w:pPr>
        <w:ind w:left="5040" w:hanging="360"/>
      </w:pPr>
    </w:lvl>
    <w:lvl w:ilvl="7" w:tplc="96351809" w:tentative="1">
      <w:start w:val="1"/>
      <w:numFmt w:val="lowerLetter"/>
      <w:lvlText w:val="%8."/>
      <w:lvlJc w:val="left"/>
      <w:pPr>
        <w:ind w:left="5760" w:hanging="360"/>
      </w:pPr>
    </w:lvl>
    <w:lvl w:ilvl="8" w:tplc="96351809" w:tentative="1">
      <w:start w:val="1"/>
      <w:numFmt w:val="lowerRoman"/>
      <w:lvlText w:val="%9."/>
      <w:lvlJc w:val="right"/>
      <w:pPr>
        <w:ind w:left="6480" w:hanging="180"/>
      </w:pPr>
    </w:lvl>
  </w:abstractNum>
  <w:abstractNum w:abstractNumId="70492316">
    <w:multiLevelType w:val="hybridMultilevel"/>
    <w:lvl w:ilvl="0" w:tplc="967501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492316">
    <w:abstractNumId w:val="70492316"/>
  </w:num>
  <w:num w:numId="70492317">
    <w:abstractNumId w:val="704923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4974738" Type="http://schemas.microsoft.com/office/2011/relationships/commentsExtended" Target="commentsExtended.xml"/><Relationship Id="rId565557919" Type="http://schemas.microsoft.com/office/2011/relationships/people" Target="people.xml"/><Relationship Id="rId2711697c078db5d91" Type="http://schemas.openxmlformats.org/officeDocument/2006/relationships/hyperlink" Target="https://gd.eppo.int/taxon/ANOLCN/" TargetMode="External"/><Relationship Id="rId6309697c078db5e00" Type="http://schemas.openxmlformats.org/officeDocument/2006/relationships/hyperlink" Target="https://gd.eppo.int/taxon/ANOLCN/categorization" TargetMode="External"/><Relationship Id="rId1059697c078db602f" Type="http://schemas.openxmlformats.org/officeDocument/2006/relationships/hyperlink" Target="https://gd.eppo.int/taxon/ANOLCN/photos" TargetMode="External"/><Relationship Id="rId6201697c078dba1a5" Type="http://schemas.openxmlformats.org/officeDocument/2006/relationships/hyperlink" Target="https://www.cabi.org/isc/datasheet/5556" TargetMode="External"/><Relationship Id="rId7175697c078dbab2b" Type="http://schemas.openxmlformats.org/officeDocument/2006/relationships/hyperlink" Target="https://gd.eppo.int/taxon/ANOLCN/reporting" TargetMode="External"/><Relationship Id="rId9111697c078dbb4b4" Type="http://schemas.openxmlformats.org/officeDocument/2006/relationships/hyperlink" Target="https://www.eppo.int/ACTIVITIES/plant_quarantine/shortnotes_qps/anoplophora_chinensis_eradication" TargetMode="External"/><Relationship Id="rId2026697c078dbb6c4" Type="http://schemas.openxmlformats.org/officeDocument/2006/relationships/hyperlink" Target="https://www.regione.lombardia.it/wps/portal/istituzionale/HP/DettaglioRedazionale/servizi-e-informazioni/Imprese/Imprese-agricole/servizio-fitosanitario-regionale/organismi-nocivi/anoplophora-chinensis/anoplophora-chinensis-glabripennis" TargetMode="External"/><Relationship Id="rId3139697c078dbb706" Type="http://schemas.openxmlformats.org/officeDocument/2006/relationships/hyperlink" Target="https://www.regione.lombardia.it/wps/portal/istituzionale/HP/DettaglioRedazionale/servizi-e-informazioni/cittadini/agricoltura/servizio-fitosanitario-regionale/app-fito-detective/app-fito-detective" TargetMode="External"/><Relationship Id="rId5929697c078dbb92a" Type="http://schemas.openxmlformats.org/officeDocument/2006/relationships/hyperlink" Target="https://edepot.wur.nl/117610" TargetMode="External"/><Relationship Id="rId3997697c078dbbc2b" Type="http://schemas.openxmlformats.org/officeDocument/2006/relationships/hyperlink" Target="https://gd.eppo.int" TargetMode="External"/><Relationship Id="rId2145697c078db5eec" Type="http://schemas.openxmlformats.org/officeDocument/2006/relationships/image" Target="media/imgrId2145697c078db5eec.jpg"/><Relationship Id="rId1212697c078db8d08" Type="http://schemas.openxmlformats.org/officeDocument/2006/relationships/image" Target="media/imgrId1212697c078db8d08.jpg"/><Relationship Id="rId4825697c078dbbd89" Type="http://schemas.openxmlformats.org/officeDocument/2006/relationships/image" Target="media/imgrId4825697c078dbbd8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