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planipennis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planipennis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Fairmaire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marcopoli ulmi</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marcopoli</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emerald ash borer</w:t>
            </w:r>
            <w:hyperlink r:id="rId890566983db265d2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w:t>
            </w:r>
            <w:hyperlink r:id="rId632066983db265d9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AGRLPL</w:t>
            </w:r>
          </w:p>
        </w:tc>
        <w:tc>
          <w:tcPr>
            <w:tcW w:w="2000" w:type="pct"/>
            <w:tcMar>
              <w:top w:w="15" w:type="dxa"/>
              <w:left w:w="15" w:type="dxa"/>
              <w:bottom w:w="15" w:type="dxa"/>
              <w:right w:w="15" w:type="dxa"/>
            </w:tcMar>
            <w:vAlign w:val="center"/>
          </w:tcPr>
          <w:p>
            <w:r>
              <w:rPr>
                <w:position w:val="8"/>
              </w:rPr>
              <w:drawing>
                <wp:inline distT="0" distB="0" distL="0" distR="0">
                  <wp:extent cx="2160000" cy="0"/>
                  <wp:docPr id="290070" name="name206666983db2665f4" descr="6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6.jpg"/>
                          <pic:cNvPicPr/>
                        </pic:nvPicPr>
                        <pic:blipFill>
                          <a:blip r:embed="rId245966983db2665f2" cstate="print"/>
                          <a:stretch>
                            <a:fillRect/>
                          </a:stretch>
                        </pic:blipFill>
                        <pic:spPr>
                          <a:xfrm>
                            <a:off x="0" y="0"/>
                            <a:ext cx="2160000" cy="0"/>
                          </a:xfrm>
                          <a:prstGeom prst="rect">
                            <a:avLst/>
                          </a:prstGeom>
                          <a:ln w="0">
                            <a:noFill/>
                          </a:ln>
                        </pic:spPr>
                      </pic:pic>
                    </a:graphicData>
                  </a:graphic>
                </wp:inline>
              </w:drawing>
            </w:r>
            <w:hyperlink r:id="rId334766983db271b2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Jendek (1994) synonymized three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under the name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(1888; type China), including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Obenberger (1936; type Taiwan),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Obenberger (1930; type China), and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Kurosawa (1956; type Japan). Much of the early literature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refers to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in China and to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in Japan. More recently,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reclassified the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specimens from Taiwan as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along with specimens from Laos.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almost exclusively species of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The known Asian species include </w:t>
      </w:r>
      <w:r>
        <w:rPr>
          <w:rFonts w:ascii="Calibri" w:hAnsi="Calibri" w:eastAsia="Calibri" w:cs="Calibri"/>
          <w:i/>
          <w:iCs/>
          <w:color w:val="000000"/>
          <w:sz w:val="22"/>
          <w:szCs w:val="22"/>
        </w:rPr>
        <w:t xml:space="preserve">Fraxinus chinensis, F. chinensis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F. spaethiana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Mori, 2012). In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all species of native ash so far encountered, including </w:t>
      </w:r>
      <w:r>
        <w:rPr>
          <w:rFonts w:ascii="Calibri" w:hAnsi="Calibri" w:eastAsia="Calibri" w:cs="Calibri"/>
          <w:i/>
          <w:iCs/>
          <w:color w:val="000000"/>
          <w:sz w:val="22"/>
          <w:szCs w:val="22"/>
        </w:rPr>
        <w:t xml:space="preserve">Fraxinus americana, Fraxinus latifolia. 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 Fraxinus profunda,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Poland and McCullough, 2006; Herms, 2015), as well as </w:t>
      </w:r>
      <w:r>
        <w:rPr>
          <w:rFonts w:ascii="Calibri" w:hAnsi="Calibri" w:eastAsia="Calibri" w:cs="Calibri"/>
          <w:i/>
          <w:iCs/>
          <w:color w:val="000000"/>
          <w:sz w:val="22"/>
          <w:szCs w:val="22"/>
        </w:rPr>
        <w:t xml:space="preserve">Chionanthus virginicus </w:t>
      </w:r>
      <w:r>
        <w:rPr>
          <w:rFonts w:ascii="Calibri" w:hAnsi="Calibri" w:eastAsia="Calibri" w:cs="Calibri"/>
          <w:color w:val="000000"/>
          <w:sz w:val="22"/>
          <w:szCs w:val="22"/>
        </w:rPr>
        <w:t xml:space="preserve">(Peterson &amp; Cipollini, 2017). In European Russia,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completed development in </w:t>
      </w:r>
      <w:r>
        <w:rPr>
          <w:rFonts w:ascii="Calibri" w:hAnsi="Calibri" w:eastAsia="Calibri" w:cs="Calibri"/>
          <w:i/>
          <w:iCs/>
          <w:color w:val="000000"/>
          <w:sz w:val="22"/>
          <w:szCs w:val="22"/>
        </w:rPr>
        <w:t xml:space="preserve">Fraxinus angustifolia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North American species </w:t>
      </w:r>
      <w:r>
        <w:rPr>
          <w:rFonts w:ascii="Calibri" w:hAnsi="Calibri" w:eastAsia="Calibri" w:cs="Calibri"/>
          <w:i/>
          <w:iCs/>
          <w:color w:val="000000"/>
          <w:sz w:val="22"/>
          <w:szCs w:val="22"/>
        </w:rPr>
        <w:t xml:space="preserve">Fraxinus velutina </w:t>
      </w:r>
      <w:r>
        <w:rPr>
          <w:rFonts w:ascii="Calibri" w:hAnsi="Calibri" w:eastAsia="Calibri" w:cs="Calibri"/>
          <w:color w:val="000000"/>
          <w:sz w:val="22"/>
          <w:szCs w:val="22"/>
        </w:rPr>
        <w:t xml:space="preserve">has been attacked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laboratory studies,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successfully completed development in cut trunk sections of </w:t>
      </w:r>
      <w:r>
        <w:rPr>
          <w:rFonts w:ascii="Calibri" w:hAnsi="Calibri" w:eastAsia="Calibri" w:cs="Calibri"/>
          <w:i/>
          <w:iCs/>
          <w:color w:val="000000"/>
          <w:sz w:val="22"/>
          <w:szCs w:val="22"/>
        </w:rPr>
        <w:t xml:space="preserve">Fraxinus uhdei </w:t>
      </w:r>
      <w:r>
        <w:rPr>
          <w:rFonts w:ascii="Calibri" w:hAnsi="Calibri" w:eastAsia="Calibri" w:cs="Calibri"/>
          <w:color w:val="000000"/>
          <w:sz w:val="22"/>
          <w:szCs w:val="22"/>
        </w:rPr>
        <w:t xml:space="preserve">(Herms, 2015) 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(Cipollini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Reports from Japan (Akiyama &amp; Ohmomo, 1997; Sugiura, 2008)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complete development in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 davidiana</w:t>
      </w:r>
      <w:r>
        <w:rPr>
          <w:rFonts w:ascii="Calibri" w:hAnsi="Calibri" w:eastAsia="Calibri" w:cs="Calibri"/>
          <w:color w:val="000000"/>
          <w:sz w:val="22"/>
          <w:szCs w:val="22"/>
        </w:rPr>
        <w:t xml:space="preserve"> are now considered incorrect larval host records (referring to personal communications in section 7, p. 12 - EPPO, 2013a; Sigiura N, pers. comm.). Although </w:t>
      </w:r>
      <w:r>
        <w:rPr>
          <w:rFonts w:ascii="Calibri" w:hAnsi="Calibri" w:eastAsia="Calibri" w:cs="Calibri"/>
          <w:i/>
          <w:iCs/>
          <w:color w:val="000000"/>
          <w:sz w:val="22"/>
          <w:szCs w:val="22"/>
        </w:rPr>
        <w:t xml:space="preserve">Fraxinus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lanuginosa</w:t>
      </w:r>
      <w:r>
        <w:rPr>
          <w:rFonts w:ascii="Calibri" w:hAnsi="Calibri" w:eastAsia="Calibri" w:cs="Calibri"/>
          <w:color w:val="000000"/>
          <w:sz w:val="22"/>
          <w:szCs w:val="22"/>
        </w:rPr>
        <w:t xml:space="preserve"> have been reported as larval hosts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by various authors, no published rearing records have been found.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 subsp.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 subsp.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native to several Asian countries (China, Japan, North Korea, South Korea, and the Russian Far East). Early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occurring in Mongolia (Yu, 1992; Jendek, 1994) have been questioned in recent publications (Orlova-Bienkowskaja &amp; Volkovitsh, 2018,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Schaefer (2005) reported that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are absent in Mongolia and that no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specimens were present in Mongolia’s National University insect collection in Ulaanbaatar. Similarly,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being native to Taiwan (Jendek, 1994) and Laos (Jendek &amp; Grebennikov, 2011), are now uncertain given that these specimens were recently reassigned to the species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Jendek &amp; Chamorro (Jendek &amp; Chamorro, 2012;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is highly similar in appearance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Clearly, more research is needed to define the true native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South-Eastern Asia.</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decades,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spread to new parts of China as well as to North America and Europe. In China,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recently reported in the western province of Xinjiang, where it is considered non-native (Orlova-Bienkowskaja &amp; Volkovitsh, 2018).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was first reported in 2002 near Detroit, Michigan, US and in neighboring Windsor, Ontario, CA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 of December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found in 35 US states and the District of Columbia and in five Canadian provinces (EABinfo, 2020). In Europe,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were first collected in European Russia near Moscow in 2003 but not positively identified until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of 2020,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spread to several regions of European Russia and into Western Ukraine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Volkovitsh &amp; Suslov, 2020). The exact pathways by which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first reached North America and European Russia are unknown. However, wood packaging is considered the likely original source in North America, and either nursery stock or wood packaging in Russia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0"/>
            <wp:docPr id="23187207" name="name710966983db274287" descr="AGRL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PL_distribution_map.jpg"/>
                    <pic:cNvPicPr/>
                  </pic:nvPicPr>
                  <pic:blipFill>
                    <a:blip r:embed="rId783466983db274284"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Far East, Southern Russia),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Shandong, Tianjin, Xinjiang), Japan (Hokkaido, Honshu, Kyushu, Shikoku),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Nova Scotia, Ontario, Québec), United States of America (Alabama, Arkansas, Colorado, Connecticut, Delaware, District of Columbia, Georgia, Illinois, Indiana, Iowa, Kansas, Kentucky, Louisiana, Maine, Maryland, Massachusetts, Michigan, Minnesota, Missouri, Nebraska, New Hampshire, New Jersey, New York, North Carolina, Ohio, Oklahoma, Oregon,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is the largest genus of animals worldwide, with over 3200 recognized species (Kelnarova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native to Africa, Asia, Australia, Europe and the Americas, but not New Zealand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typically feed and develop in the cambial region of woody plants (vines, shrubs, and trees) as well as internally in the lower stems and roots of some herbaceous perennials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often have striking metallic colours and members of the family Buprestidae are often referred to as jewel beetles.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are of economic importance in forestry, arboriculture, and agriculture. No native European or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and kill ash trees, although some infest branches which are dying or recently dead, e.g., </w:t>
      </w:r>
      <w:r>
        <w:rPr>
          <w:rFonts w:ascii="Calibri" w:hAnsi="Calibri" w:eastAsia="Calibri" w:cs="Calibri"/>
          <w:i/>
          <w:iCs/>
          <w:color w:val="000000"/>
          <w:sz w:val="22"/>
          <w:szCs w:val="22"/>
        </w:rPr>
        <w:t xml:space="preserve">A. convexicollis</w:t>
      </w:r>
      <w:r>
        <w:rPr>
          <w:rFonts w:ascii="Calibri" w:hAnsi="Calibri" w:eastAsia="Calibri" w:cs="Calibri"/>
          <w:color w:val="000000"/>
          <w:sz w:val="22"/>
          <w:szCs w:val="22"/>
        </w:rPr>
        <w:t xml:space="preserve"> Redtenbacher in Europe (Orlova-Bienkowskaja &amp; Volkovitsh, 2015) and </w:t>
      </w:r>
      <w:r>
        <w:rPr>
          <w:rFonts w:ascii="Calibri" w:hAnsi="Calibri" w:eastAsia="Calibri" w:cs="Calibri"/>
          <w:i/>
          <w:iCs/>
          <w:color w:val="000000"/>
          <w:sz w:val="22"/>
          <w:szCs w:val="22"/>
        </w:rPr>
        <w:t xml:space="preserve">A. subcinctus</w:t>
      </w:r>
      <w:r>
        <w:rPr>
          <w:rFonts w:ascii="Calibri" w:hAnsi="Calibri" w:eastAsia="Calibri" w:cs="Calibri"/>
          <w:color w:val="000000"/>
          <w:sz w:val="22"/>
          <w:szCs w:val="22"/>
        </w:rPr>
        <w:t xml:space="preserve"> Gory in North America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and reviews have been published on the life-history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 China, Europe, and North America. Below is a summary based largely on Yu (1992),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Cappaert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Herms &amp; McCullough (2014),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Orlova-Bienkowskaja &amp; Bieńkowski (2016), Valenta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typically has one generation per year although some individuals may require two years when developing in vigorous hosts, when developing from eggs laid in late summer, or where summer temperatures are cool. Depending on latitude and local temperatures, adult emergence usually begins in May or June, peaks in late May to early July, and adult activity can persist into September. After emergence, adults feed on host foliage for 1-2 weeks to become sexually mature. Adults are most active on sunny days. Adult males orient visually towards females when seeking mates. Adult females produce at least one short-range pheromone and two contact pheromones. Mating occurs on foliage and the bark surface of host trees. Adults feed throughout their lifespan and will mate multiple times. Eggs are laid singly or in small groups on the bark surface, usually in bark cracks and crevices. Adults usually live 3-9 weeks and females lay an average of 40 to 90 eggs in their lifetime. Eggs hatch in 1-2 weeks. Newly hatched larvae tunnel through the outer bark to the cambial region where they tunnel and feed in the inner bark (phloem) and outermost sapwood, creating meandering frass-packed galleries. There are four larval instars. Fourth-instar larvae construct pupal cells in the outer bark if the bark is sufficiently thick or in the outer sapwood. Most individuals overwinter as fourth-instar larvae, in a doubled-over position and referred to as J-shaped larvae or prepupae. Crosthwaite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supercooling point of about -30 °C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prepupae. However, Orlova-Bienkowskaja &amp; Bieńkowski (2020) noted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populations have survived in areas experiencing -30 °C but so far not in areas experiencing -34 °C or below. If larvae do not become fourth instars by autumn, they overwinter in the cambial region and complete larval development the next summer, and then overwinter a second time before becoming adults. Pupation usually begins in April or May and takes about 3-4 weeks. Newly formed adults take about 1 week to harden their exoskeleton before chewing their way out of the tree through D-shaped exit holes that are about 3–4 mm wide.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are physical damage to the plant usually made by the insect pest, whereas symptoms are a tree’s response to the infestation. In the case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the two most commonly observed signs include frass-filled larval galleries in the cambial region and adult exit holes on the bark surface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Another sign, although less often seen, are notches along the leaf margins where adults have fed. Some vertebrates produce signs that can be used to locate infested trees such as woodpeckers that produce holes in the bark when feeding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or squirrels that feed on larvae and leave behind strips of ragged bark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Typical symptoms include yellowing and thinning of foliage, crown dieback and eventual tree mortality. On some ash trees, epicormic shoots develop along the lower trunk of heavily infested trees, and at times the bark produces vertical splits or cracks, 5-15 cm long, usually over larval galleries where the sapwood has produced callus tissue in response to larval feeding. As no European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the trunks of ash, the occurrence of galleries and exit holes typical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 ash tree trunks and larger branches should automatically be suspect.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traps and lures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the focus of many studies (Herms &amp; McCullough, 2014;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Various shades of green and purple are highly attractive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Both funnel traps and sticky prism traps have been used in regional surveys. Traps can be placed in the canopy, beneath the canopy, or near ground level. Traps baited with certain green leaf volatiles [e.g., (3Z)-hexenol] or pheromones [e.g., (3Z)-lactone] capture more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than unbaited traps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Girdled ash trees are more attractive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than non-girdled trees and therefore can be used as a detection tool. For example, individual ash trees could be girdled in late spring or early summer to attract ovipositing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and then debarked in autumn or winter to look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larvae and their galleries (Herms &amp; McCullough, 2014). Survey methods and strategies for eradication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populations discovered in Europe have been published (EPPO, 2013b;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Evans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papers provide detailed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including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Photos of all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immature stages are presented in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Haack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and EFSA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 among others. Additional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can be found in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creamy yellow when first laid, turning reddish brown before hatching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Eggs are oval in cross section and somewhat flattened, measuring about-1.0–1.2 mm long; 0.6 mm wide, and 0.3 mm high. A glue-like substance on the bottom of the egg helps fasten it to the bark surface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fourth-instar larvae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26–36 mm long and creamy white (Yu, 1992;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body is elongate, and dorsoventrally flattened. The head is small, brown, and retracted into the prothorax, exposing only the mouthparts. The prothorax is enlarged, and the meso and metathorax are slightly narrower. Spiracles are found on the mesothorax and abdominal segments 1-8.  The abdomen is 10-segmented terminates in a pair of brownish, sclerotized tooth-like structures that are often called urogomphi, anal forceps, or terminal processes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Such terminal processes are characteristic of all known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prothoracic plate is pigmented with a bifurcated pronotal groove and abdominal segments 2–7 are trapezoidal or bell-shaped in appearance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cells that were constructed in the outer sapwood or outer bark by the mature larvae prior to overwintering. The larva contracts its body and then molts to the pupal stage. Pupae are 10-18 mm long, 4-6 mm wide, and creamy white at first. As pupation progresses the eyes darken first, then the mouthparts, and lastly the elytra, until the entire pupa darkens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antennae stretch back to the base of the elytra and the last few segments of the abdomen bend slightly ventrad (Yu,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8.5–15.0 mm long and 3.0–3.5 mm wide (Yu, 1992; DeGroot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body is narrow, elongate, cuneiform, and a beautiful metallic blue-green colour. The elytra are glabrous. The head is flat and the vertex is shield-shaped. The compound eyes are kidney-shaped and somewhat bronze-coloured. The prothorax is transversely rectangular and slightly wider than the head, but the same width as the anterior margin of the elytra. The anterior margin of the elytra is raised, forming a transverse ridge.</w:t>
      </w:r>
    </w:p>
    <w:p>
      <w:pPr>
        <w:widowControl w:val="on"/>
        <w:pBdr/>
        <w:spacing w:before="0" w:after="0" w:line="240" w:lineRule="auto"/>
        <w:ind w:left="0" w:right="0"/>
        <w:jc w:val="left"/>
      </w:pPr>
      <w:r>
        <w:rPr>
          <w:rFonts w:ascii="Calibri" w:hAnsi="Calibri" w:eastAsia="Calibri" w:cs="Calibri"/>
          <w:color w:val="000000"/>
          <w:sz w:val="22"/>
          <w:szCs w:val="22"/>
        </w:rPr>
        <w:t xml:space="preserve">
More information on the detection and identification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be found in the EPPO Standard PM 7/154 (EPPO,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laboratory conditions,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long-distance movement that involves 10s or 100s of kilometers likely results from human assistance. Although there have been no reports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being intercepted in wood packaging material,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individuals that were identified only to the genus level have been intercepted. For example, between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recovered from dunnage, 4 from crating, 5 from live plants or plant parts, and 1 specimen was found loose in the ship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moved in ash nursery stock, ash logs, ash firewood, and also been found hitch-hiking on the outside and inside of vehicles (Buck and Marshall,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Short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suggested that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could hitch-hike on trains. Petrice &amp; Haack (2006) reported that a small percentage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emerge from firewood for two seasons after the wood was cut from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killed ash trees in Asia where the pest is native as well as in Europe and North America where it has been introduced.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readily kills stressed ash trees, but in addition it can kill healthy ash trees especially if the trees are non-coevolved ash species such as those native to Europe and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infest and kill large mature ash trees as well as trees and branches as small as 1 cm in diameter (EPPO, 2013b). Hundreds of millions of ash trees have been killed in North America, resulting in billions of dollars spent on tree protection, removal, and replacement (Herms &amp; McCullough, 2014).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considered the most costly non-native forest insect to have invaded the United States (Aukema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so far killed mostly plantations of the North American ash species </w:t>
      </w:r>
      <w:r>
        <w:rPr>
          <w:rFonts w:ascii="Calibri" w:hAnsi="Calibri" w:eastAsia="Calibri" w:cs="Calibri"/>
          <w:i/>
          <w:iCs/>
          <w:color w:val="000000"/>
          <w:sz w:val="22"/>
          <w:szCs w:val="22"/>
        </w:rPr>
        <w:t xml:space="preserve">F. pennsylvanica </w:t>
      </w:r>
      <w:r>
        <w:rPr>
          <w:rFonts w:ascii="Calibri" w:hAnsi="Calibri" w:eastAsia="Calibri" w:cs="Calibri"/>
          <w:color w:val="000000"/>
          <w:sz w:val="22"/>
          <w:szCs w:val="22"/>
        </w:rPr>
        <w:t xml:space="preserve">(Orlova-Bienkowskaja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as the pest spreads in Europe major economic impacts are expected given that several ash species are common throughout Europe and many are already known to be susceptible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non-ash larval host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so far documented in North America has been the white fringetree </w:t>
      </w:r>
      <w:r>
        <w:rPr>
          <w:rFonts w:ascii="Calibri" w:hAnsi="Calibri" w:eastAsia="Calibri" w:cs="Calibri"/>
          <w:i/>
          <w:iCs/>
          <w:color w:val="000000"/>
          <w:sz w:val="22"/>
          <w:szCs w:val="22"/>
        </w:rPr>
        <w:t xml:space="preserve">Chionanthus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(Peterson &amp; Cipollini, 2017). </w:t>
      </w:r>
      <w:r>
        <w:rPr>
          <w:rFonts w:ascii="Calibri" w:hAnsi="Calibri" w:eastAsia="Calibri" w:cs="Calibri"/>
          <w:i/>
          <w:iCs/>
          <w:color w:val="000000"/>
          <w:sz w:val="22"/>
          <w:szCs w:val="22"/>
        </w:rPr>
        <w:t xml:space="preserve">Chionanthus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are both genera in the Oleaceae family.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at multiple sites in at least four US states; however, compared to ash trees, mortality rates of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are much lower (Peterson &amp; Cipollini 2017).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ecological impacts have been documented in North America following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example, Klooster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documented over 99% ash tree mortality in several forest stands in Michigan, an ending of ash seed production, increased openings in the forest canopy, an accumulation of coarse woody debris resulting from the dying ash trees, an increase in alien invasive plants, and changes to arthropod and bird communities. In addition, Wagner &amp; Todd (2016) documented 98 arthropods in the United States that are ash specialists as larvae or adults, including 32 species of Lepidoptera, 25 Hemiptera, 24 Coleoptera, 9 Diptera, 5 Acari, and 3 Hymenoptera. In European Russia, populations of various ash-associated xylophagous beetles and their natural enemies are increasing as the geographic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expands (Orlova-Bienkowskaja, 2015; Orlova-Bienkowskaja &amp; Volkovitsh,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tested in North America to protect ash trees from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Depending on the product label, these insecticides can be applied as soil drenches, soil injections, trunk injections, or cover sprays on the trunk, branches and foliage.  The systemic insecticide emamectin benzoate gives 2 to 3 years of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expense of treatment, insecticides are typically used on high-value landscape ash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be cut down and chipped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To ensure high pest mortality when chipping, the openings in the chipper screen should be 2.5 cm in size or smaller.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100%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mortality in small ash logs subjected to a core temperature of 56 °C for 30 minutes while holding the heating chamber temperature constant at 60°, 65°, 70° or 75°C. In other studies, summarized by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few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have survived various heat treatment schedules but in none of these tests did the researchers follow ISPM-15 guidelines exactly.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have been reported in the literature from Asia, Europe, and North America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Orlova-Bienkowskaja &amp; Belokobylskij, 2014; 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egg parasitoids include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(Encyrtidae) and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(Encyrtidae).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Balcha</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Cubocephalus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Dolichomitus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Eupelmus</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Orthizema</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Sclerodermus</w:t>
      </w:r>
      <w:r>
        <w:rPr>
          <w:rFonts w:ascii="Calibri" w:hAnsi="Calibri" w:eastAsia="Calibri" w:cs="Calibri"/>
          <w:color w:val="000000"/>
          <w:sz w:val="22"/>
          <w:szCs w:val="22"/>
        </w:rPr>
        <w:t xml:space="preserve"> (Bethylidae), and </w:t>
      </w:r>
      <w:r>
        <w:rPr>
          <w:rFonts w:ascii="Calibri" w:hAnsi="Calibri" w:eastAsia="Calibri" w:cs="Calibri"/>
          <w:i/>
          <w:iCs/>
          <w:color w:val="000000"/>
          <w:sz w:val="22"/>
          <w:szCs w:val="22"/>
        </w:rPr>
        <w:t xml:space="preserve">Tetrastichus</w:t>
      </w:r>
      <w:r>
        <w:rPr>
          <w:rFonts w:ascii="Calibri" w:hAnsi="Calibri" w:eastAsia="Calibri" w:cs="Calibri"/>
          <w:color w:val="000000"/>
          <w:sz w:val="22"/>
          <w:szCs w:val="22"/>
        </w:rPr>
        <w:t xml:space="preserve"> (Eulophidae). In North America, three biocontrol agents from China and one from the Russian Far East have been released to help control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parasitoids from China include the encyrtid egg parasitoid </w:t>
      </w:r>
      <w:r>
        <w:rPr>
          <w:rFonts w:ascii="Calibri" w:hAnsi="Calibri" w:eastAsia="Calibri" w:cs="Calibri"/>
          <w:i/>
          <w:iCs/>
          <w:color w:val="000000"/>
          <w:sz w:val="22"/>
          <w:szCs w:val="22"/>
        </w:rPr>
        <w:t xml:space="preserve">Oobius agrili </w:t>
      </w:r>
      <w:r>
        <w:rPr>
          <w:rFonts w:ascii="Calibri" w:hAnsi="Calibri" w:eastAsia="Calibri" w:cs="Calibri"/>
          <w:color w:val="000000"/>
          <w:sz w:val="22"/>
          <w:szCs w:val="22"/>
        </w:rPr>
        <w:t xml:space="preserve">and two larval parasitoids, the braconid</w:t>
      </w:r>
      <w:r>
        <w:rPr>
          <w:rFonts w:ascii="Calibri" w:hAnsi="Calibri" w:eastAsia="Calibri" w:cs="Calibri"/>
          <w:i/>
          <w:iCs/>
          <w:color w:val="000000"/>
          <w:sz w:val="22"/>
          <w:szCs w:val="22"/>
        </w:rPr>
        <w:t xml:space="preserve"> Spathius agrili </w:t>
      </w:r>
      <w:r>
        <w:rPr>
          <w:rFonts w:ascii="Calibri" w:hAnsi="Calibri" w:eastAsia="Calibri" w:cs="Calibri"/>
          <w:color w:val="000000"/>
          <w:sz w:val="22"/>
          <w:szCs w:val="22"/>
        </w:rPr>
        <w:t xml:space="preserve">and the eulophid</w:t>
      </w:r>
      <w:r>
        <w:rPr>
          <w:rFonts w:ascii="Calibri" w:hAnsi="Calibri" w:eastAsia="Calibri" w:cs="Calibri"/>
          <w:i/>
          <w:iCs/>
          <w:color w:val="000000"/>
          <w:sz w:val="22"/>
          <w:szCs w:val="22"/>
        </w:rPr>
        <w:t xml:space="preserve"> Tetrastichus planipennisi</w:t>
      </w:r>
      <w:r>
        <w:rPr>
          <w:rFonts w:ascii="Calibri" w:hAnsi="Calibri" w:eastAsia="Calibri" w:cs="Calibri"/>
          <w:color w:val="000000"/>
          <w:sz w:val="22"/>
          <w:szCs w:val="22"/>
        </w:rPr>
        <w:t xml:space="preserve"> and from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braconid</w:t>
      </w:r>
      <w:r>
        <w:rPr>
          <w:rFonts w:ascii="Calibri" w:hAnsi="Calibri" w:eastAsia="Calibri" w:cs="Calibri"/>
          <w:i/>
          <w:iCs/>
          <w:color w:val="000000"/>
          <w:sz w:val="22"/>
          <w:szCs w:val="22"/>
        </w:rPr>
        <w:t xml:space="preserve"> Spathius galinae </w:t>
      </w:r>
      <w:r>
        <w:rPr>
          <w:rFonts w:ascii="Calibri" w:hAnsi="Calibri" w:eastAsia="Calibri" w:cs="Calibri"/>
          <w:color w:val="000000"/>
          <w:sz w:val="22"/>
          <w:szCs w:val="22"/>
        </w:rPr>
        <w:t xml:space="preserve">was introduced. Of the three Chinese parasitoids, </w:t>
      </w:r>
      <w:r>
        <w:rPr>
          <w:rFonts w:ascii="Calibri" w:hAnsi="Calibri" w:eastAsia="Calibri" w:cs="Calibri"/>
          <w:i/>
          <w:iCs/>
          <w:color w:val="000000"/>
          <w:sz w:val="22"/>
          <w:szCs w:val="22"/>
        </w:rPr>
        <w:t xml:space="preserve">O. agrili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planipennisi</w:t>
      </w:r>
      <w:r>
        <w:rPr>
          <w:rFonts w:ascii="Calibri" w:hAnsi="Calibri" w:eastAsia="Calibri" w:cs="Calibri"/>
          <w:color w:val="000000"/>
          <w:sz w:val="22"/>
          <w:szCs w:val="22"/>
        </w:rPr>
        <w:t xml:space="preserve"> appear to be well established and spreading naturally in North America, whereas it is too early to assess the Russian parasitoid, which was first released in 2016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2019b). As for predators of</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woodpeckers (Picidae) are the most important group (Jennings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of the insect predators associated with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species of Cleridae, Passandridae, and Trogossitidae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widespread components of mixed deciduous forests in Europe as far as the Caucasus, throughout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in the south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and in the centre and southeast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are commonly grown for amenity purposes and are known to be susceptible to</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The North American species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is planted for timber and shelter in Central and South-Eastern Europe and is highly susceptible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into North America and European Russia shows that there are pathways to disseminate this pest outside its area of origin, especially in wood packaging material. Ash mortality has been reported in both North America and European Russia. Control and detection of this type of wood-boring insect is difficult. In view of its area of origin and the areas where it has been introduced, it is highly probable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could become established in most of Europe where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Asian buprestid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first detected in North America (USA and Canada) in 2002 and then in the European part of Russia (Moscow region) in 2005.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added to EPPO A1 List of pests recommended for regulation in 2004 based on a PRA performed by the EPPO Panel on Quarantine Pests for Forestry in 2003. Later, in 2009,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transferred to the A2 List given its establishment in European Russia (EPPO, 2013a). EPPO member countries are thus recommended to regulate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a quarantine pest. Suggested phytosanitary measures are specified in the PRA performed by EPPO (EPPO, 2013a) and they are as follows. Plants for planting (except seeds) of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(and currently a few other tree genera that were listed as potential hosts in Japan) should originate from countries found free from the pest. Alternatively, they may be grown under insect-proof conditions. Wood chips, wood waste, firewood, bark, and cut branches should originate from countries found free from the pest. If bark is present on firewood, lumber, logs or furniture made from untreated wood then the bark should be removed as well as the outer 2.5 cm of sapwood. Wood packaging should be treated to ISPM-15 standards. 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Fraxinus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Akiyama K &amp; Ohmomo S (1997) A checklist of the Japanese Buprestidae. </w:t>
      </w:r>
      <w:r>
        <w:rPr>
          <w:rFonts w:ascii="Calibri" w:hAnsi="Calibri" w:eastAsia="Calibri" w:cs="Calibri"/>
          <w:i/>
          <w:iCs/>
          <w:color w:val="000000"/>
          <w:sz w:val="22"/>
          <w:szCs w:val="22"/>
        </w:rPr>
        <w:t xml:space="preserve">Gekkan-Mushi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Aukema JE, Leung B, Kovacs K, Chivers C, Britton KO, Englin J, Frankel SJ, Haight, RG, Holmes TP. Liebhold AM, McCullough DG &amp; Von Holle B (2011) Economic impacts of non-native forest insects in the continental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e24587.</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Mozolevskaya E, Yurchenko G &amp; Kenis M (2008) Occurrence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in Russia and its potential impact on European forestry.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233–238.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Seraya L &amp; Grinash M (2014) All European ash species are susceptible to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 a Far Eastern invader</w:t>
      </w:r>
      <w:r>
        <w:rPr>
          <w:rFonts w:ascii="Calibri" w:hAnsi="Calibri" w:eastAsia="Calibri" w:cs="Calibri"/>
          <w:i/>
          <w:iCs/>
          <w:color w:val="000000"/>
          <w:sz w:val="22"/>
          <w:szCs w:val="22"/>
        </w:rPr>
        <w:t xml:space="preserve">. Siberian Journal of Forest Science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80–85.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Bauer LS, Duan JJ, Gould JG &amp; Van Driesche RG (2015) Progress in the classical biological control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300-317.</w:t>
      </w:r>
    </w:p>
    <w:p>
      <w:pPr>
        <w:widowControl w:val="on"/>
        <w:pBdr/>
        <w:spacing w:before="220" w:after="220" w:line="240" w:lineRule="auto"/>
        <w:ind w:left="0" w:right="0"/>
        <w:jc w:val="left"/>
      </w:pPr>
      <w:r>
        <w:rPr>
          <w:rFonts w:ascii="Calibri" w:hAnsi="Calibri" w:eastAsia="Calibri" w:cs="Calibri"/>
          <w:color w:val="000000"/>
          <w:sz w:val="22"/>
          <w:szCs w:val="22"/>
        </w:rPr>
        <w:t xml:space="preserve">Buck HB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Cappaert D, McCullough DG, Poland TM &amp; Siegert NW (2005) Emerald ash borer in North America: a research and regulatory challenge.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152-164.</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 Woodley NE, Konstantinov AS, Volkvitsh MG, Yang X-K &amp; Grebennikov V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Publishers, Sofia (BG).</w:t>
      </w:r>
    </w:p>
    <w:p>
      <w:pPr>
        <w:widowControl w:val="on"/>
        <w:pBdr/>
        <w:spacing w:before="220" w:after="220" w:line="240" w:lineRule="auto"/>
        <w:ind w:left="0" w:right="0"/>
        <w:jc w:val="left"/>
      </w:pPr>
      <w:r>
        <w:rPr>
          <w:rFonts w:ascii="Calibri" w:hAnsi="Calibri" w:eastAsia="Calibri" w:cs="Calibri"/>
          <w:color w:val="000000"/>
          <w:sz w:val="22"/>
          <w:szCs w:val="22"/>
        </w:rPr>
        <w:t xml:space="preserve">Cipollini D, Rigsby CM &amp; Peterson DL (2017) Feeding and development of emerald ash borer (Coleoptera: Buprestidae) on cultivated olive,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1935–1937.</w:t>
      </w:r>
    </w:p>
    <w:p>
      <w:pPr>
        <w:widowControl w:val="on"/>
        <w:pBdr/>
        <w:spacing w:before="220" w:after="220" w:line="240" w:lineRule="auto"/>
        <w:ind w:left="0" w:right="0"/>
        <w:jc w:val="left"/>
      </w:pPr>
      <w:r>
        <w:rPr>
          <w:rFonts w:ascii="Calibri" w:hAnsi="Calibri" w:eastAsia="Calibri" w:cs="Calibri"/>
          <w:color w:val="000000"/>
          <w:sz w:val="22"/>
          <w:szCs w:val="22"/>
        </w:rPr>
        <w:t xml:space="preserve">Crosthwaite JC, Sobek S, Lyons DB, Bernards MA &amp; Sinclair BJ (2011) The overwintering physiology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Journal of Insect Physiology 57, 166-173.</w:t>
      </w:r>
    </w:p>
    <w:p>
      <w:pPr>
        <w:widowControl w:val="on"/>
        <w:pBdr/>
        <w:spacing w:before="220" w:after="220" w:line="240" w:lineRule="auto"/>
        <w:ind w:left="0" w:right="0"/>
        <w:jc w:val="left"/>
      </w:pPr>
      <w:r>
        <w:rPr>
          <w:rFonts w:ascii="Calibri" w:hAnsi="Calibri" w:eastAsia="Calibri" w:cs="Calibri"/>
          <w:color w:val="000000"/>
          <w:sz w:val="22"/>
          <w:szCs w:val="22"/>
        </w:rPr>
        <w:t xml:space="preserve">DeGroot P, Biggs WD, Lyons DB, Scarr T, Czwerwinski E, Evans HJ, Ingram W &amp; Marchant K (2006) A visual guide to detecting emerald ash borer damage. Natural Resources Canada and Ontario Ministry of Natural Resources, Sault Ste. Marie,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Schmude JM, Larson KM, Fuester RW, Gould JR &amp; Ulyshen MD (2019a) Field parasitism and host specificity of </w:t>
      </w:r>
      <w:r>
        <w:rPr>
          <w:rFonts w:ascii="Calibri" w:hAnsi="Calibri" w:eastAsia="Calibri" w:cs="Calibri"/>
          <w:i/>
          <w:iCs/>
          <w:color w:val="000000"/>
          <w:sz w:val="22"/>
          <w:szCs w:val="22"/>
        </w:rPr>
        <w:t xml:space="preserve">Oobius primorskyensis</w:t>
      </w:r>
      <w:r>
        <w:rPr>
          <w:rFonts w:ascii="Calibri" w:hAnsi="Calibri" w:eastAsia="Calibri" w:cs="Calibri"/>
          <w:color w:val="000000"/>
          <w:sz w:val="22"/>
          <w:szCs w:val="22"/>
        </w:rPr>
        <w:t xml:space="preserve"> (Hymenoptera: Encyrtidae), an egg parasitoid of the emerald ash borer (Coleoptera: Buprestidae) in the Russian Far East.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44–50.</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Van Driesche RG, Crandall RS, Schmude JM, Rutledge CE, Slager BH, Gould JR &amp; Elkinton JS (2019b) Establishment and early impact of </w:t>
      </w:r>
      <w:r>
        <w:rPr>
          <w:rFonts w:ascii="Calibri" w:hAnsi="Calibri" w:eastAsia="Calibri" w:cs="Calibri"/>
          <w:i/>
          <w:iCs/>
          <w:color w:val="000000"/>
          <w:sz w:val="22"/>
          <w:szCs w:val="22"/>
        </w:rPr>
        <w:t xml:space="preserve">Spathius galinae</w:t>
      </w:r>
      <w:r>
        <w:rPr>
          <w:rFonts w:ascii="Calibri" w:hAnsi="Calibri" w:eastAsia="Calibri" w:cs="Calibri"/>
          <w:color w:val="000000"/>
          <w:sz w:val="22"/>
          <w:szCs w:val="22"/>
        </w:rPr>
        <w:t xml:space="preserve"> (Hymenoptera: Braconidae) on emerald ash borer (Coleoptera: Buprestidae)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2121–2130.</w:t>
      </w:r>
    </w:p>
    <w:p>
      <w:pPr>
        <w:widowControl w:val="on"/>
        <w:pBdr/>
        <w:spacing w:before="220" w:after="220" w:line="240" w:lineRule="auto"/>
        <w:ind w:left="0" w:right="0"/>
        <w:jc w:val="left"/>
      </w:pPr>
      <w:r>
        <w:rPr>
          <w:rFonts w:ascii="Calibri" w:hAnsi="Calibri" w:eastAsia="Calibri" w:cs="Calibri"/>
          <w:color w:val="000000"/>
          <w:sz w:val="22"/>
          <w:szCs w:val="22"/>
        </w:rPr>
        <w:t xml:space="preserve">EABINFO (2020) Emerald ash borer Information network. </w:t>
      </w:r>
      <w:hyperlink r:id="rId533266983db2815de" w:history="1">
        <w:r>
          <w:rPr>
            <w:rFonts w:ascii="Calibri" w:hAnsi="Calibri" w:eastAsia="Calibri" w:cs="Calibri"/>
            <w:color w:val="0000CC"/>
            <w:sz w:val="22"/>
            <w:szCs w:val="22"/>
            <w:u w:val="single"/>
          </w:rPr>
          <w:t xml:space="preserve">http://www.emeraldashborer.info/</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Schans J, Schrader G, Delbianco A, Graziosi &amp; Vos S (2020) Pest survey card on </w:t>
      </w:r>
      <w:r>
        <w:rPr>
          <w:rFonts w:ascii="Calibri" w:hAnsi="Calibri" w:eastAsia="Calibri" w:cs="Calibri"/>
          <w:i/>
          <w:iCs/>
          <w:color w:val="000000"/>
          <w:sz w:val="22"/>
          <w:szCs w:val="22"/>
        </w:rPr>
        <w:t xml:space="preserve">Agrilus planipennis. </w:t>
      </w:r>
      <w:hyperlink r:id="rId302966983db281639" w:history="1">
        <w:r>
          <w:rPr>
            <w:rFonts w:ascii="Calibri" w:hAnsi="Calibri" w:eastAsia="Calibri" w:cs="Calibri"/>
            <w:color w:val="0000CC"/>
            <w:sz w:val="22"/>
            <w:szCs w:val="22"/>
            <w:u w:val="single"/>
          </w:rPr>
          <w:t xml:space="preserve">https://efsa.onlinelibrary.wiley.com/doi/pdfdirect/10.2903/sp.efsa.2020.EN-1945</w:t>
        </w:r>
      </w:hyperlink>
      <w:r>
        <w:rPr>
          <w:rFonts w:ascii="Calibri" w:hAnsi="Calibri" w:eastAsia="Calibri" w:cs="Calibri"/>
          <w:color w:val="000000"/>
          <w:sz w:val="22"/>
          <w:szCs w:val="22"/>
        </w:rPr>
        <w:t xml:space="preserve"> [last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Pest risk analysis for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hyperlink r:id="rId387666983db281699" w:history="1">
        <w:r>
          <w:rPr>
            <w:rFonts w:ascii="Calibri" w:hAnsi="Calibri" w:eastAsia="Calibri" w:cs="Calibri"/>
            <w:color w:val="0000CC"/>
            <w:sz w:val="22"/>
            <w:szCs w:val="22"/>
            <w:u w:val="single"/>
          </w:rPr>
          <w:t xml:space="preserve">https://gd.eppo.int/taxon/AGRLPL/documents</w:t>
        </w:r>
      </w:hyperlink>
      <w:r>
        <w:rPr>
          <w:rFonts w:ascii="Calibri" w:hAnsi="Calibri" w:eastAsia="Calibri" w:cs="Calibri"/>
          <w:color w:val="000000"/>
          <w:sz w:val="22"/>
          <w:szCs w:val="22"/>
        </w:rPr>
        <w:t xml:space="preserve">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Standards. National Regulatory Control Systems. PM 9/14 (1)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499–509.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Commodity-specific Phytosanitary Measures. PM 8/11 (1)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285-308.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Houping Liu Marchant KR, Petrice TR, Poland TM &amp; Hui Ye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(3-4),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KN Vasilaky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(2015) Host range and host resistance, pp. 65–73.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&amp; McCullough DG (2014) Emerald ash borer invasion of North America: history, biology, ecology, impact and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238966983db281a9c"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[last accessed on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(1994) Studies in the East Palaearctic species of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Problems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9–25.</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VV (2011)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of East Asia. Jan Farkac, Prague, 362 pp.</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Chamorro ML (2012) Six new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1825 (Coleoptera, Buprestidae, Agrilinae) from the Oriental Region related to the emerald ash borer,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Fairmaire, 1888 and synonymy of </w:t>
      </w:r>
      <w:r>
        <w:rPr>
          <w:rFonts w:ascii="Calibri" w:hAnsi="Calibri" w:eastAsia="Calibri" w:cs="Calibri"/>
          <w:i/>
          <w:iCs/>
          <w:color w:val="000000"/>
          <w:sz w:val="22"/>
          <w:szCs w:val="22"/>
        </w:rPr>
        <w:t xml:space="preserve">Sarawakita </w:t>
      </w:r>
      <w:r>
        <w:rPr>
          <w:rFonts w:ascii="Calibri" w:hAnsi="Calibri" w:eastAsia="Calibri" w:cs="Calibri"/>
          <w:color w:val="000000"/>
          <w:sz w:val="22"/>
          <w:szCs w:val="22"/>
        </w:rPr>
        <w:t xml:space="preserve">Obenberger, 1924.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71–94. </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DE, Duan JJ, Bauer LS, Wetherington MT, Schmude JM &amp; Shrewsbury PM (2016) Temporal dynamics of woodpecker predation on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the northeastern U.S.A.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Kelnarova I, Jendek E, VVGrebennikov &amp; Bocak L (2019) First molecular phylogeny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the largest genus on Earth, with DNA barcode database for forestry pest diagnostics.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200–211.</w:t>
      </w:r>
    </w:p>
    <w:p>
      <w:pPr>
        <w:widowControl w:val="on"/>
        <w:pBdr/>
        <w:spacing w:before="220" w:after="220" w:line="240" w:lineRule="auto"/>
        <w:ind w:left="0" w:right="0"/>
        <w:jc w:val="left"/>
      </w:pPr>
      <w:r>
        <w:rPr>
          <w:rFonts w:ascii="Calibri" w:hAnsi="Calibri" w:eastAsia="Calibri" w:cs="Calibri"/>
          <w:color w:val="000000"/>
          <w:sz w:val="22"/>
          <w:szCs w:val="22"/>
        </w:rPr>
        <w:t xml:space="preserve">Klooster WS, Gandhi KJK, Long LC, Perry KI, Rice KB &amp; Herms DA (2018) ecological impacts of emerald ash borer in forests at the epicenter of the invasion in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250.</w:t>
      </w:r>
    </w:p>
    <w:p>
      <w:pPr>
        <w:widowControl w:val="on"/>
        <w:pBdr/>
        <w:spacing w:before="220" w:after="220" w:line="240" w:lineRule="auto"/>
        <w:ind w:left="0" w:right="0"/>
        <w:jc w:val="left"/>
      </w:pPr>
      <w:r>
        <w:rPr>
          <w:rFonts w:ascii="Calibri" w:hAnsi="Calibri" w:eastAsia="Calibri" w:cs="Calibri"/>
          <w:color w:val="000000"/>
          <w:sz w:val="22"/>
          <w:szCs w:val="22"/>
        </w:rPr>
        <w:t xml:space="preserve">Liu HP, Bauer LS, Gao R, Zhao T, Petrice TR &amp; Haack RA (2003) Exploratory survey for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191–204.</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Tluczek AR, Anulewicz AC, Wieferich J &amp; Siegert NW (2019) Emerald ash borer (Coleoptera: Buprestidae) densities over a 6-yr period on untreated trees and trees treated with systemic insecticides at 1-, 2-, and 3-yr intervals in a central Michigan forest.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201-212.</w:t>
      </w:r>
    </w:p>
    <w:p>
      <w:pPr>
        <w:widowControl w:val="on"/>
        <w:pBdr/>
        <w:spacing w:before="220" w:after="220" w:line="240" w:lineRule="auto"/>
        <w:ind w:left="0" w:right="0"/>
        <w:jc w:val="left"/>
      </w:pPr>
      <w:r>
        <w:rPr>
          <w:rFonts w:ascii="Calibri" w:hAnsi="Calibri" w:eastAsia="Calibri" w:cs="Calibri"/>
          <w:color w:val="000000"/>
          <w:sz w:val="22"/>
          <w:szCs w:val="22"/>
        </w:rPr>
        <w:t xml:space="preserve">Mori M (2012) About the host plant of emerald ash borer. </w:t>
      </w:r>
      <w:r>
        <w:rPr>
          <w:rFonts w:ascii="Calibri" w:hAnsi="Calibri" w:eastAsia="Calibri" w:cs="Calibri"/>
          <w:i/>
          <w:iCs/>
          <w:color w:val="000000"/>
          <w:sz w:val="22"/>
          <w:szCs w:val="22"/>
        </w:rPr>
        <w:t xml:space="preserve">Sayabane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50-51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(2015) Cascading ecological effects caused by the establishment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European Russia.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778–789.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Belokobylskij SA (2014) Discovery of the first European parasitoid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594–596.</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(2016) The life cycle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European Russia and comparisons with its life cycles in Asia and North America.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182-188.</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(2020) Minimum winter temperature as a limiting factor of the potential spread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 alien pest of ash trees, in Europe.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258.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(2015) Range expansion of </w:t>
      </w:r>
      <w:r>
        <w:rPr>
          <w:rFonts w:ascii="Calibri" w:hAnsi="Calibri" w:eastAsia="Calibri" w:cs="Calibri"/>
          <w:i/>
          <w:iCs/>
          <w:color w:val="000000"/>
          <w:sz w:val="22"/>
          <w:szCs w:val="22"/>
        </w:rPr>
        <w:t xml:space="preserve">Agrilus convexicollis</w:t>
      </w:r>
      <w:r>
        <w:rPr>
          <w:rFonts w:ascii="Calibri" w:hAnsi="Calibri" w:eastAsia="Calibri" w:cs="Calibri"/>
          <w:color w:val="000000"/>
          <w:sz w:val="22"/>
          <w:szCs w:val="22"/>
        </w:rPr>
        <w:t xml:space="preserve"> in European Russia expedited by the invasion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537-544.</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(2018) Are native ranges of the most destructive invasive pests well known? A case study of the native range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1275–1286.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Drogvalenko AN, Zabaluev IA, Sazhnev AS, Peregudova HY, Mazurov SG, Komarov EV, Andrzej O &amp; Bieńkowski AO, 2020. Current range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 alien pest of ash trees, in European Russia and Ukraine.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29.</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Cipollini D (2017) Distribution, predictors, and impacts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infestation of white fringetree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Strazanac JS &amp; Lelito JP (2009) Biology and larval morphology of </w:t>
      </w:r>
      <w:r>
        <w:rPr>
          <w:rFonts w:ascii="Calibri" w:hAnsi="Calibri" w:eastAsia="Calibri" w:cs="Calibri"/>
          <w:i/>
          <w:iCs/>
          <w:color w:val="000000"/>
          <w:sz w:val="22"/>
          <w:szCs w:val="22"/>
        </w:rPr>
        <w:t xml:space="preserve">Agrilus subcinctus </w:t>
      </w:r>
      <w:r>
        <w:rPr>
          <w:rFonts w:ascii="Calibri" w:hAnsi="Calibri" w:eastAsia="Calibri" w:cs="Calibri"/>
          <w:color w:val="000000"/>
          <w:sz w:val="22"/>
          <w:szCs w:val="22"/>
        </w:rPr>
        <w:t xml:space="preserve">(Coleoptera: Buprestidae), with comparisons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173-184.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Schaefer PW (2005) Foreign exploration for emerald ash borer and its natural enemies, pp. 67-68. In: Mastro V, Reardon R (eds) 2004 Emerald ash borer research and technology development meeting. Romulus, Michigan, October 5-6, 2004. USDA Forest Service, Forest Health Technology Enterprise Team. Morgantown, WV. FHTET-2004-15</w:t>
      </w:r>
    </w:p>
    <w:p>
      <w:pPr>
        <w:widowControl w:val="on"/>
        <w:pBdr/>
        <w:spacing w:before="220" w:after="220" w:line="240" w:lineRule="auto"/>
        <w:ind w:left="0" w:right="0"/>
        <w:jc w:val="left"/>
      </w:pPr>
      <w:r>
        <w:rPr>
          <w:rFonts w:ascii="Calibri" w:hAnsi="Calibri" w:eastAsia="Calibri" w:cs="Calibri"/>
          <w:color w:val="000000"/>
          <w:sz w:val="22"/>
          <w:szCs w:val="22"/>
        </w:rPr>
        <w:t xml:space="preserve">Short MA, Chase KD, Feeley TE, Kees AM, Wittman JT &amp; Aukema B (2019) Rail transport as a vector of emerald ash borer.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Silk P, Ryall K &amp; Roscoe L (2020)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detection and monitoring in Canada.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273–279.</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N (2008) Jewel beetles in Japan and Fukushima Prefecture. </w:t>
      </w:r>
      <w:hyperlink r:id="rId239666983db28267c" w:history="1">
        <w:r>
          <w:rPr>
            <w:rFonts w:ascii="Calibri" w:hAnsi="Calibri" w:eastAsia="Calibri" w:cs="Calibri"/>
            <w:color w:val="0000CC"/>
            <w:sz w:val="22"/>
            <w:szCs w:val="22"/>
            <w:u w:val="single"/>
          </w:rPr>
          <w:t xml:space="preserve">http://buprestidae.iinaa.net/index.html</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M &amp; van Driesche R (2012) Parasitoid guilds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woodborers (Coleoptera: Buprestidae): Their diversity and potential for use in biological control. </w:t>
      </w:r>
      <w:r>
        <w:rPr>
          <w:rFonts w:ascii="Calibri" w:hAnsi="Calibri" w:eastAsia="Calibri" w:cs="Calibri"/>
          <w:i/>
          <w:iCs/>
          <w:color w:val="000000"/>
          <w:sz w:val="22"/>
          <w:szCs w:val="22"/>
        </w:rPr>
        <w:t xml:space="preserve">Psyche. </w:t>
      </w:r>
      <w:r>
        <w:rPr>
          <w:rFonts w:ascii="Calibri" w:hAnsi="Calibri" w:eastAsia="Calibri" w:cs="Calibri"/>
          <w:color w:val="000000"/>
          <w:sz w:val="22"/>
          <w:szCs w:val="22"/>
        </w:rPr>
        <w:t xml:space="preserve">DOI: 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Valenta V, Moser D, Kapeller S &amp; Essl F (2017) A new forest pest in Europe: a review of emerald ash borer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invasion.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507–526.</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&amp; Suslov DV (2020) The first record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Saint Petersburg signals a real threat to the palace and park ensembles of Peterhof and Oranienbaum, pp. 121-122. In DL Musolin, NI Kirichenko &amp; AV Selikhovkin (eds.), Dendrobiotic invertebrates and fungi and their role in forest ecosystems. Saint Petersburg State Forest Technical University, Saint Petersburg, Russia. DOI: 10.21266/SPBFTU.2020.KATAEV</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Orlova-Bienkowskaja MJ, Kovalev AV, Bieńkowski AO (2020) An illustrated guide to distinguish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from its congeners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316–325.</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DL &amp; Todd KJ (2016) New ecological assessment for the emerald ash borer: a cautionary tale about unvetted host-plant literature.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26-35.</w:t>
      </w:r>
    </w:p>
    <w:p>
      <w:pPr>
        <w:widowControl w:val="on"/>
        <w:pBdr/>
        <w:spacing w:before="220" w:after="220" w:line="240" w:lineRule="auto"/>
        <w:ind w:left="0" w:right="0"/>
        <w:jc w:val="left"/>
      </w:pPr>
      <w:r>
        <w:rPr>
          <w:rFonts w:ascii="Calibri" w:hAnsi="Calibri" w:eastAsia="Calibri" w:cs="Calibri"/>
          <w:color w:val="000000"/>
          <w:sz w:val="22"/>
          <w:szCs w:val="22"/>
        </w:rPr>
        <w:t xml:space="preserve">Wang XY, Yang ZQ, Gould JR, Zhang YN, Liu GJ &amp; Liu ES (2010) The biology and ecology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Wei X, Reardon D, Yun W &amp; Sun JH (2004)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in China: a review and distribution survey.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679–685.</w:t>
      </w:r>
    </w:p>
    <w:p>
      <w:pPr>
        <w:widowControl w:val="on"/>
        <w:pBdr/>
        <w:spacing w:before="220" w:after="220" w:line="240" w:lineRule="auto"/>
        <w:ind w:left="0" w:right="0"/>
        <w:jc w:val="left"/>
      </w:pPr>
      <w:r>
        <w:rPr>
          <w:rFonts w:ascii="Calibri" w:hAnsi="Calibri" w:eastAsia="Calibri" w:cs="Calibri"/>
          <w:color w:val="000000"/>
          <w:sz w:val="22"/>
          <w:szCs w:val="22"/>
        </w:rPr>
        <w:t xml:space="preserve">Wei X, Wu Y, Reardon RD, Sun TH, Lu M &amp; Sun JH (2007) Biology and damage traits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in China</w:t>
      </w:r>
      <w:r>
        <w:rPr>
          <w:rFonts w:ascii="Calibri" w:hAnsi="Calibri" w:eastAsia="Calibri" w:cs="Calibri"/>
          <w:i/>
          <w:iCs/>
          <w:color w:val="000000"/>
          <w:sz w:val="22"/>
          <w:szCs w:val="22"/>
        </w:rPr>
        <w:t xml:space="preserve">.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367-373.</w:t>
      </w:r>
    </w:p>
    <w:p>
      <w:pPr>
        <w:widowControl w:val="on"/>
        <w:pBdr/>
        <w:spacing w:before="220" w:after="220" w:line="240" w:lineRule="auto"/>
        <w:ind w:left="0" w:right="0"/>
        <w:jc w:val="left"/>
      </w:pPr>
      <w:r>
        <w:rPr>
          <w:rFonts w:ascii="Calibri" w:hAnsi="Calibri" w:eastAsia="Calibri" w:cs="Calibri"/>
          <w:color w:val="000000"/>
          <w:sz w:val="22"/>
          <w:szCs w:val="22"/>
        </w:rPr>
        <w:t xml:space="preserve">Yu C (1992) </w:t>
      </w:r>
      <w:r>
        <w:rPr>
          <w:rFonts w:ascii="Calibri" w:hAnsi="Calibri" w:eastAsia="Calibri" w:cs="Calibri"/>
          <w:i/>
          <w:iCs/>
          <w:color w:val="000000"/>
          <w:sz w:val="22"/>
          <w:szCs w:val="22"/>
        </w:rPr>
        <w:t xml:space="preserve">Agrilus marcopoli</w:t>
      </w:r>
      <w:r>
        <w:rPr>
          <w:rFonts w:ascii="Calibri" w:hAnsi="Calibri" w:eastAsia="Calibri" w:cs="Calibri"/>
          <w:color w:val="000000"/>
          <w:sz w:val="22"/>
          <w:szCs w:val="22"/>
        </w:rPr>
        <w:t xml:space="preserve"> Obenberger.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2nd edn, pp. 400–401. Forestry Publishing House, Beijing (CN). </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Gao RT, Liu HP, Bauer LS &amp; Sun LQ (2005) Host range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its damage and the countermeasures.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594–599.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EPPO datasheets on pests recommended for regulation. Available online. </w:t>
      </w:r>
      <w:hyperlink r:id="rId901966983db282c1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436-438. </w:t>
      </w:r>
      <w:hyperlink r:id="rId665766983db282ce5" w:history="1">
        <w:r>
          <w:rPr>
            <w:rFonts w:ascii="Calibri" w:hAnsi="Calibri" w:eastAsia="Calibri" w:cs="Calibri"/>
            <w:color w:val="0000CC"/>
            <w:sz w:val="22"/>
            <w:szCs w:val="22"/>
            <w:u w:val="single"/>
          </w:rPr>
          <w:t xml:space="preserve">https://doi.org/10.1111/j.1365-2338.2005.00844.x</w:t>
        </w:r>
      </w:hyperlink>
      <w:r>
        <w:rPr>
          <w:rFonts w:ascii="Calibri" w:hAnsi="Calibri" w:eastAsia="Calibri" w:cs="Calibri"/>
          <w:color w:val="000000"/>
          <w:sz w:val="22"/>
          <w:szCs w:val="22"/>
        </w:rPr>
        <w:t xml:space="preserve"> </w:t>
      </w:r>
    </w:p>
    <w:p>
      <w:r>
        <w:drawing>
          <wp:inline distT="0" distB="0" distL="0" distR="0">
            <wp:extent cx="0" cy="0"/>
            <wp:docPr id="92495260" name="name394366983db28313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3266983db28313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95729">
    <w:multiLevelType w:val="hybridMultilevel"/>
    <w:lvl w:ilvl="0" w:tplc="99350662">
      <w:start w:val="1"/>
      <w:numFmt w:val="decimal"/>
      <w:lvlText w:val="%1."/>
      <w:lvlJc w:val="left"/>
      <w:pPr>
        <w:ind w:left="720" w:hanging="360"/>
      </w:pPr>
    </w:lvl>
    <w:lvl w:ilvl="1" w:tplc="99350662" w:tentative="1">
      <w:start w:val="1"/>
      <w:numFmt w:val="lowerLetter"/>
      <w:lvlText w:val="%2."/>
      <w:lvlJc w:val="left"/>
      <w:pPr>
        <w:ind w:left="1440" w:hanging="360"/>
      </w:pPr>
    </w:lvl>
    <w:lvl w:ilvl="2" w:tplc="99350662" w:tentative="1">
      <w:start w:val="1"/>
      <w:numFmt w:val="lowerRoman"/>
      <w:lvlText w:val="%3."/>
      <w:lvlJc w:val="right"/>
      <w:pPr>
        <w:ind w:left="2160" w:hanging="180"/>
      </w:pPr>
    </w:lvl>
    <w:lvl w:ilvl="3" w:tplc="99350662" w:tentative="1">
      <w:start w:val="1"/>
      <w:numFmt w:val="decimal"/>
      <w:lvlText w:val="%4."/>
      <w:lvlJc w:val="left"/>
      <w:pPr>
        <w:ind w:left="2880" w:hanging="360"/>
      </w:pPr>
    </w:lvl>
    <w:lvl w:ilvl="4" w:tplc="99350662" w:tentative="1">
      <w:start w:val="1"/>
      <w:numFmt w:val="lowerLetter"/>
      <w:lvlText w:val="%5."/>
      <w:lvlJc w:val="left"/>
      <w:pPr>
        <w:ind w:left="3600" w:hanging="360"/>
      </w:pPr>
    </w:lvl>
    <w:lvl w:ilvl="5" w:tplc="99350662" w:tentative="1">
      <w:start w:val="1"/>
      <w:numFmt w:val="lowerRoman"/>
      <w:lvlText w:val="%6."/>
      <w:lvlJc w:val="right"/>
      <w:pPr>
        <w:ind w:left="4320" w:hanging="180"/>
      </w:pPr>
    </w:lvl>
    <w:lvl w:ilvl="6" w:tplc="99350662" w:tentative="1">
      <w:start w:val="1"/>
      <w:numFmt w:val="decimal"/>
      <w:lvlText w:val="%7."/>
      <w:lvlJc w:val="left"/>
      <w:pPr>
        <w:ind w:left="5040" w:hanging="360"/>
      </w:pPr>
    </w:lvl>
    <w:lvl w:ilvl="7" w:tplc="99350662" w:tentative="1">
      <w:start w:val="1"/>
      <w:numFmt w:val="lowerLetter"/>
      <w:lvlText w:val="%8."/>
      <w:lvlJc w:val="left"/>
      <w:pPr>
        <w:ind w:left="5760" w:hanging="360"/>
      </w:pPr>
    </w:lvl>
    <w:lvl w:ilvl="8" w:tplc="99350662" w:tentative="1">
      <w:start w:val="1"/>
      <w:numFmt w:val="lowerRoman"/>
      <w:lvlText w:val="%9."/>
      <w:lvlJc w:val="right"/>
      <w:pPr>
        <w:ind w:left="6480" w:hanging="180"/>
      </w:pPr>
    </w:lvl>
  </w:abstractNum>
  <w:abstractNum w:abstractNumId="11095728">
    <w:multiLevelType w:val="hybridMultilevel"/>
    <w:lvl w:ilvl="0" w:tplc="60462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095728">
    <w:abstractNumId w:val="11095728"/>
  </w:num>
  <w:num w:numId="11095729">
    <w:abstractNumId w:val="110957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1582722" Type="http://schemas.microsoft.com/office/2011/relationships/commentsExtended" Target="commentsExtended.xml"/><Relationship Id="rId996515898" Type="http://schemas.microsoft.com/office/2011/relationships/people" Target="people.xml"/><Relationship Id="rId890566983db265d28" Type="http://schemas.openxmlformats.org/officeDocument/2006/relationships/hyperlink" Target="https://gd.eppo.int/taxon/AGRLPL/" TargetMode="External"/><Relationship Id="rId632066983db265d94" Type="http://schemas.openxmlformats.org/officeDocument/2006/relationships/hyperlink" Target="https://gd.eppo.int/taxon/AGRLPL/categorization" TargetMode="External"/><Relationship Id="rId334766983db271b2d" Type="http://schemas.openxmlformats.org/officeDocument/2006/relationships/hyperlink" Target="https://gd.eppo.int/taxon/AGRLPL/photos" TargetMode="External"/><Relationship Id="rId533266983db2815de" Type="http://schemas.openxmlformats.org/officeDocument/2006/relationships/hyperlink" Target="http://www.emeraldashborer.info/" TargetMode="External"/><Relationship Id="rId302966983db281639" Type="http://schemas.openxmlformats.org/officeDocument/2006/relationships/hyperlink" Target="https://efsa.onlinelibrary.wiley.com/doi/pdfdirect/10.2903/sp.efsa.2020.EN-1945" TargetMode="External"/><Relationship Id="rId387666983db281699" Type="http://schemas.openxmlformats.org/officeDocument/2006/relationships/hyperlink" Target="https://gd.eppo.int/taxon/AGRLPL/documents" TargetMode="External"/><Relationship Id="rId238966983db281a9c" Type="http://schemas.openxmlformats.org/officeDocument/2006/relationships/hyperlink" Target="http://www.emeraldashborer.info/documents/Multistate_EAB_Insecticide_Fact_Sheet.pdf" TargetMode="External"/><Relationship Id="rId239666983db28267c" Type="http://schemas.openxmlformats.org/officeDocument/2006/relationships/hyperlink" Target="http://buprestidae.iinaa.net/index.html" TargetMode="External"/><Relationship Id="rId901966983db282c13" Type="http://schemas.openxmlformats.org/officeDocument/2006/relationships/hyperlink" Target="https://gd.eppo.int" TargetMode="External"/><Relationship Id="rId665766983db282ce5" Type="http://schemas.openxmlformats.org/officeDocument/2006/relationships/hyperlink" Target="https://doi.org/10.1111/j.1365-2338.2005.00844.x" TargetMode="External"/><Relationship Id="rId245966983db2665f2" Type="http://schemas.openxmlformats.org/officeDocument/2006/relationships/image" Target="media/imgrId245966983db2665f2.jpg"/><Relationship Id="rId783466983db274284" Type="http://schemas.openxmlformats.org/officeDocument/2006/relationships/image" Target="media/imgrId783466983db274284.jpg"/><Relationship Id="rId453266983db283139" Type="http://schemas.openxmlformats.org/officeDocument/2006/relationships/image" Target="media/imgrId453266983db28313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