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Agrilus mali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mali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Matsumura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Buprestidae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Agrilus jenissejensis</w:t>
            </w:r>
            <w:r>
              <w:rPr>
                <w:rFonts w:ascii="Calibri" w:hAnsi="Calibri" w:eastAsia="Calibri" w:cs="Calibri"/>
                <w:color w:val="000000"/>
                <w:position w:val="-3"/>
                <w:sz w:val="22"/>
                <w:szCs w:val="22"/>
              </w:rPr>
              <w:t xml:space="preserve"> Obenberger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buprestid, apple jewel beetle</w:t>
            </w:r>
            <w:hyperlink r:id="rId34386a9babc24b10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hyperlink r:id="rId87056a9babc24b14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AGRLMA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9536918" name="name90726a9babc24b9d1" descr="8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38.jpg"/>
                          <pic:cNvPicPr/>
                        </pic:nvPicPr>
                        <pic:blipFill>
                          <a:blip r:embed="rId41066a9babc24b9d0" cstate="print"/>
                          <a:stretch>
                            <a:fillRect/>
                          </a:stretch>
                        </pic:blipFill>
                        <pic:spPr>
                          <a:xfrm>
                            <a:off x="0" y="0"/>
                            <a:ext cx="2160000" cy="1281600"/>
                          </a:xfrm>
                          <a:prstGeom prst="rect">
                            <a:avLst/>
                          </a:prstGeom>
                          <a:ln w="0">
                            <a:noFill/>
                          </a:ln>
                        </pic:spPr>
                      </pic:pic>
                    </a:graphicData>
                  </a:graphic>
                </wp:inline>
              </w:drawing>
            </w:r>
            <w:hyperlink r:id="rId66176a9babc24bb2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Type specimens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have not been found. Although it was suggested that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may be conspecific with </w:t>
      </w:r>
      <w:r>
        <w:rPr>
          <w:rFonts w:ascii="Calibri" w:hAnsi="Calibri" w:eastAsia="Calibri" w:cs="Calibri"/>
          <w:i/>
          <w:iCs/>
          <w:color w:val="000000"/>
          <w:sz w:val="22"/>
          <w:szCs w:val="22"/>
        </w:rPr>
        <w:t xml:space="preserve">A. sachalinensis</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A. sinuatus sachalinensis</w:t>
      </w:r>
      <w:r>
        <w:rPr>
          <w:rFonts w:ascii="Calibri" w:hAnsi="Calibri" w:eastAsia="Calibri" w:cs="Calibri"/>
          <w:color w:val="000000"/>
          <w:sz w:val="22"/>
          <w:szCs w:val="22"/>
        </w:rPr>
        <w:t xml:space="preserve">) (Jendek &amp; Grebennikov, 2011), there is currently no evidence that this is the case, nor that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sinuatus</w:t>
      </w:r>
      <w:r>
        <w:rPr>
          <w:rFonts w:ascii="Calibri" w:hAnsi="Calibri" w:eastAsia="Calibri" w:cs="Calibri"/>
          <w:color w:val="000000"/>
          <w:sz w:val="22"/>
          <w:szCs w:val="22"/>
        </w:rPr>
        <w:t xml:space="preserve"> are synonyms (EPPO, 2024). </w:t>
      </w:r>
      <w:r>
        <w:rPr>
          <w:rFonts w:ascii="Calibri" w:hAnsi="Calibri" w:eastAsia="Calibri" w:cs="Calibri"/>
          <w:i/>
          <w:iCs/>
          <w:color w:val="000000"/>
          <w:sz w:val="22"/>
          <w:szCs w:val="22"/>
        </w:rPr>
        <w:t xml:space="preserve">Agrilus sinuatus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mendax</w:t>
      </w:r>
      <w:r>
        <w:rPr>
          <w:rFonts w:ascii="Calibri" w:hAnsi="Calibri" w:eastAsia="Calibri" w:cs="Calibri"/>
          <w:color w:val="000000"/>
          <w:sz w:val="22"/>
          <w:szCs w:val="22"/>
        </w:rPr>
        <w:t xml:space="preserve"> are the most closely related species to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in Europe, and elements of their aedeagi are the key characters to distinguish these species (Volkovitsh et al.,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attacks several species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(Rosaceae), including cultivated apple </w:t>
      </w:r>
      <w:r>
        <w:rPr>
          <w:rFonts w:ascii="Calibri" w:hAnsi="Calibri" w:eastAsia="Calibri" w:cs="Calibri"/>
          <w:i/>
          <w:iCs/>
          <w:color w:val="000000"/>
          <w:sz w:val="22"/>
          <w:szCs w:val="22"/>
        </w:rPr>
        <w:t xml:space="preserve">M. domestica</w:t>
      </w:r>
      <w:r>
        <w:rPr>
          <w:rFonts w:ascii="Calibri" w:hAnsi="Calibri" w:eastAsia="Calibri" w:cs="Calibri"/>
          <w:color w:val="000000"/>
          <w:sz w:val="22"/>
          <w:szCs w:val="22"/>
        </w:rPr>
        <w:t xml:space="preserve"> and the wild apple </w:t>
      </w:r>
      <w:r>
        <w:rPr>
          <w:rFonts w:ascii="Calibri" w:hAnsi="Calibri" w:eastAsia="Calibri" w:cs="Calibri"/>
          <w:i/>
          <w:iCs/>
          <w:color w:val="000000"/>
          <w:sz w:val="22"/>
          <w:szCs w:val="22"/>
        </w:rPr>
        <w:t xml:space="preserve">M. sieversii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halliana</w:t>
      </w:r>
      <w:r>
        <w:rPr>
          <w:rFonts w:ascii="Calibri" w:hAnsi="Calibri" w:eastAsia="Calibri" w:cs="Calibri"/>
          <w:color w:val="000000"/>
          <w:sz w:val="22"/>
          <w:szCs w:val="22"/>
        </w:rPr>
        <w:t xml:space="preserve"> and a few Rosaceae species in the genera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are mentioned in the literature, but are considered doubtful hosts (no detailed studies available; EPPO, 2024). Some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species are able to hybridize, and it is not clear if some of these hybrids are hosts for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prunifolia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sieversii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yunnanensis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is native to Asia, and it is one of the most widespread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in that region (Jendek &amp; Grebennikov, 2023).</w:t>
      </w:r>
    </w:p>
    <w:p>
      <w:r>
        <w:drawing>
          <wp:inline distT="0" distB="0" distL="0" distR="0">
            <wp:extent cx="6120000" cy="3067200"/>
            <wp:docPr id="96203881" name="name82426a9babc24c899" descr="AGRLM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LMA_distribution_map.jpg"/>
                    <pic:cNvPicPr/>
                  </pic:nvPicPr>
                  <pic:blipFill>
                    <a:blip r:embed="rId20916a9babc24c89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(Eastern Siberia,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Gansu, Hebei, Heilongjiang, Henan, Hubei, Jiangsu, Jilin, Liaoning, Neimenggu, Ningxia, Qinghai, Shaanxi, Shandong, Shanxi, Sichuan, Tianjin, Xinjiang, Xizhang, Yunnan), Korea, Democratic People's Republic of, Korea, Republic of, Mongolia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Voltinism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varies in different locations from one generation per year to one generation every 2 years. The lifespan of adults is up to 60 days if apple leaves are available (Cui etal.,2019), and 4–7 days without food (EPPO,2024; Li et al., 2017). The flight period is 14.0–19.5 days (in the laboratory at 25°C). Females can lay up to 60–70 eggs during an oviposition period of 10–20 days. Eggs are laid in cracks on the sunny side of branches, close to the base of buds and twigs. After hatching, larvae bore into the host epidermal tissue to feed (Li &amp; Zhang,2017). The 1st instar larvae construct irregular, winding and crossing galleries. They start feeding on the phloem and then reach the cambium where they mostly feed in serpentine galleries (EPPO, 2024; Zhang et al., 2021). Larvae can also make deeper feeding galleries extending into the outer xylem tissues (sapwood; Bozorov et al., 2019) and possibly even into heartwood, especially in smaller branches (EPPO, 2024). The final instar larvae bore an exit channel which ends under a thin layer of bark and allows adult emergence (Nikritin, 1994; Nikritin &amp; Shutova, 1985). Pupal chambers are formed in the outer xylem and average 0.83 ± 0.02 cm in length (Lu etal.,2022; Zhang et al., 2021). The pupation takes 10–15 days (Chen &amp; Zhan,2007; Ding, 2019). After the final moulting, adults usually remain in the pupal chambers for 8–10 days (Ji etal.,2004). Then they make their way through the existing exit channels and bark and emerge through the bark from D-shaped exit holes (Zhang et al., 2021). Before reproduction, adults feed on the edge of leaves (Ji et al., 2004), buds or young bark (Sokolov et al., 1995), on which bite marks can be seen. After maturation feeding (up to 2 weeks; Li,2019) the adults begin to mate, and females start to lay eggs.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univoltine life cycle, larvae of earlier instars overwinter under the bark. In other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larvae may overwinter in the xylem and resume feeding in the cambium after the winter, but this has not been studied in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In the cooler regions where the pest needs more than 1 year to complete its development, there might be two overwintering periods: the first by younger larvae and the second by mature larvae (likely the final instar). The diapause of the earlier instars is obligatory, and it is not known how the second diapause is induced.</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are mostly reported on branches of 10–55 mm in diameter (EPPO,2024), but galleries have also been found in twigs of smaller (down to 4 mm; Sun etal.,1979; Wang, 2013; Zhang et al., 2021) or larger diameter (up to 70–100 mm; Wang,2013; Zhang et al., 2021). On large trees, infestation of the trunk is rare (Bozorov et al., 2019; Feng et al., 2013).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attacks both trees that are weakened and those that are apparently healthy. Stress factors can make the trees more susceptible to attacks (Sun et al., 2022).</w:t>
      </w:r>
    </w:p>
    <w:p>
      <w:pPr>
        <w:widowControl w:val="on"/>
        <w:pBdr/>
        <w:spacing w:before="220" w:after="220" w:line="240" w:lineRule="auto"/>
        <w:ind w:left="0" w:right="0"/>
        <w:jc w:val="both"/>
      </w:pPr>
      <w:r>
        <w:rPr>
          <w:rFonts w:ascii="Calibri" w:hAnsi="Calibri" w:eastAsia="Calibri" w:cs="Calibri"/>
          <w:color w:val="000000"/>
          <w:sz w:val="22"/>
          <w:szCs w:val="22"/>
        </w:rPr>
        <w:t xml:space="preserve">Population density can be very high: well over 100 larvae per cultivated tree has been reported (Nikritin, 1994; Plant Protection, 1977; Yang &amp; Chen, 1956).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is a relatively poor flyer in comparison to other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and its dispersal capacity is low (EPPO, 2024). The pest is usually referred to as being ‘sedentary’ (Sun et al., 2022). Adults are thermophilic, generally flying only during the warmest part of the day, and are not active in the morning, evening or on cloudy days (Chen &amp; Yao, 1997).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Larval feeding on the phloem results in the disruption of nutrient and water transportation, causing the bark to become sunken (subcortical necrosis) and cracked longitudinally (Ji et al., 2004; Zhang et al., 2021). The damaged branches of apple trees usually wither in a short time. Larval galleries can destroy all of the available phloem when larval densities are high. Serious infestations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can cause early leaf drop, death of branches, reduction of fruit production due to a reduction of the tree vigour, exposure to colonization and damage by fungal pathogens, and even death of the whole tree (Han, 2002; Liu et al., 2014). Feeding by adults on leaves, buds or young bark (as a result of maturation feeding of adults) causes little damage (Ji et al., 2004).</w:t>
      </w:r>
    </w:p>
    <w:p>
      <w:pPr>
        <w:widowControl w:val="on"/>
        <w:pBdr/>
        <w:spacing w:before="220" w:after="220" w:line="240" w:lineRule="auto"/>
        <w:ind w:left="0" w:right="0"/>
        <w:jc w:val="both"/>
      </w:pPr>
      <w:r>
        <w:rPr>
          <w:rFonts w:ascii="Calibri" w:hAnsi="Calibri" w:eastAsia="Calibri" w:cs="Calibri"/>
          <w:color w:val="000000"/>
          <w:sz w:val="22"/>
          <w:szCs w:val="22"/>
        </w:rPr>
        <w:t xml:space="preserve">D-shaped exit holes (which have a width of 0.11–0.28 cm; Zhang et al., 2021) are not easily visible on large trees as they may be situated high in the canopy. Red and later yellowish/brown liquid can be observed which exudes from the ventilation holes of galleries on branches and congeals after exposure to air; this liquid is called ‘oozing red oil’ (Chen &amp; Yao, 1997; Han, 2002; Liu et al.,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These signs are not specific to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(except, potentially, the ‘oozing red oil’; Duan et al., 2024). However, depending on which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are present in a certain region it may be possible to use D-shaped exit holes with a width of 0.11–0.28 cm as a sign which is predominately associated with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infestations on certain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hosts.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r>
        <w:rPr>
          <w:rFonts w:ascii="Calibri" w:hAnsi="Calibri" w:eastAsia="Calibri" w:cs="Calibri"/>
          <w:color w:val="000000"/>
          <w:sz w:val="22"/>
          <w:szCs w:val="22"/>
        </w:rPr>
        <w:t xml:space="preserve">: Milky white when laid, then yellowish brown after a few days; oval or ellipsoid (Linyi Agro-Forestry Bureau, 1973); approximately 1.0–1.5 mm long, 0.7–1.0 mm wide (Bozorov et al., 2019; Feng et al., 2013; Guli &amp; Wang, 2013; Guo &amp; Ma, 2010; Ji et al., 2004; Li, 2019).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color w:val="000000"/>
          <w:sz w:val="22"/>
          <w:szCs w:val="22"/>
        </w:rPr>
        <w:t xml:space="preserve">: Larva is typical for the genus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Milky white, yellowish or brown, with 13 segments (3 thoracic and 10 abdominal; Linyi Agro-Forestry Bureau, 1973). Head is small and brown, almost completely retracted into prothorax, transparent; external brown part is a peristome bearing mouth parts. Elongated, flattened, slender, with very broad prothorax. End of body nearly triangular, with a pair of toothed brown terminal processes at the end (Linyi Agro-Forestry Bureau, 1973; Chamorro et al., 2015). Ji et al. (2004) reported five larval instars, whereas normally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spp. have four larval instars (Chamorro et al., 2015). Larvae of the first instar are approximately 2.2–3.0 mm long (Wang, 2013). Larvae of the final instar are up to 16.0–22.0 mm long and 1.7–2.5 mm wide (Linyi Agro-Forestry Bureau, 1973; Wang et al., 2013).</w:t>
      </w:r>
    </w:p>
    <w:p>
      <w:pPr>
        <w:widowControl w:val="on"/>
        <w:pBdr/>
        <w:spacing w:before="0" w:after="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color w:val="000000"/>
          <w:sz w:val="22"/>
          <w:szCs w:val="22"/>
        </w:rPr>
        <w:t xml:space="preserve">: Milky or creamy white at the initial stage, gradually darkening in the later stage, and turning blackish brown before emergence of the adult (Linyi Agro-Forestry Bureau, 1973; Li, 2019). Exarate, spindle or fusiform. Up to 6.0–10.0 mm long, and 2.0–4.0 mm wide (Linyi Agro-Forestry Bureau, 1973).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Body is unicolor, metallic purple- or coppery-red, underside sometimes with greenish reflection; head flattened in dorsal view; elytra with three pairs of white tomentose spots. The body is densely covered with small incised dots on all parts; long and columnar (Bozorov et al., 2019; Han, 2002; Ji et al., 2004; Li, 2019), 6.1–8.7 mm long, 2.0–3.0 mm wide (Volkovitsh et al.,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All life stages (except adults) remain hidden (eggs in bark cracks; larvae and pupae in the cambial region and xylem), making their detection more difficult. Trees infested by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can look healthy or slightly weakened for some time and present clear symptoms only if they are heavily attacked. First emergence, and therefore the first appearance of D-shaped exit holes, can only be observed 1–2 year(s) after the first infestation. Symptoms on infested trees as listed above are more easily observed in the years after the initial attack. Dry thin bark with cracks/scars above larval galleries may be visible, but experience is needed to recognize these signs.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present in the EPPO region have common hosts with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(incl. </w:t>
      </w:r>
      <w:r>
        <w:rPr>
          <w:rFonts w:ascii="Calibri" w:hAnsi="Calibri" w:eastAsia="Calibri" w:cs="Calibri"/>
          <w:i/>
          <w:iCs/>
          <w:color w:val="000000"/>
          <w:sz w:val="22"/>
          <w:szCs w:val="22"/>
        </w:rPr>
        <w:t xml:space="preserve">M. domestica</w:t>
      </w:r>
      <w:r>
        <w:rPr>
          <w:rFonts w:ascii="Calibri" w:hAnsi="Calibri" w:eastAsia="Calibri" w:cs="Calibri"/>
          <w:color w:val="000000"/>
          <w:sz w:val="22"/>
          <w:szCs w:val="22"/>
        </w:rPr>
        <w:t xml:space="preserve"> for </w:t>
      </w:r>
      <w:r>
        <w:rPr>
          <w:rFonts w:ascii="Calibri" w:hAnsi="Calibri" w:eastAsia="Calibri" w:cs="Calibri"/>
          <w:i/>
          <w:iCs/>
          <w:color w:val="000000"/>
          <w:sz w:val="22"/>
          <w:szCs w:val="22"/>
        </w:rPr>
        <w:t xml:space="preserve">A. sinuatus, A. roscidus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malicola</w:t>
      </w:r>
      <w:r>
        <w:rPr>
          <w:rFonts w:ascii="Calibri" w:hAnsi="Calibri" w:eastAsia="Calibri" w:cs="Calibri"/>
          <w:color w:val="000000"/>
          <w:sz w:val="22"/>
          <w:szCs w:val="22"/>
        </w:rPr>
        <w:t xml:space="preserve">; unconfirmed hosts for </w:t>
      </w:r>
      <w:r>
        <w:rPr>
          <w:rFonts w:ascii="Calibri" w:hAnsi="Calibri" w:eastAsia="Calibri" w:cs="Calibri"/>
          <w:i/>
          <w:iCs/>
          <w:color w:val="000000"/>
          <w:sz w:val="22"/>
          <w:szCs w:val="22"/>
        </w:rPr>
        <w:t xml:space="preserve">A. macroderus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 mendax</w:t>
      </w:r>
      <w:r>
        <w:rPr>
          <w:rFonts w:ascii="Calibri" w:hAnsi="Calibri" w:eastAsia="Calibri" w:cs="Calibri"/>
          <w:color w:val="000000"/>
          <w:sz w:val="22"/>
          <w:szCs w:val="22"/>
        </w:rPr>
        <w:t xml:space="preserve">) (Bílý, 2002; de Jong et al., 2014; Jendek &amp; Poláková, 2014; EPPO, 2024) and may cause similar signs. D-shaped exit holes are produced by all species from the subfamily Agrilinae, in Europe particularly from the genera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Coraebus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Meliboeus</w:t>
      </w:r>
      <w:r>
        <w:rPr>
          <w:rFonts w:ascii="Calibri" w:hAnsi="Calibri" w:eastAsia="Calibri" w:cs="Calibri"/>
          <w:color w:val="000000"/>
          <w:sz w:val="22"/>
          <w:szCs w:val="22"/>
        </w:rPr>
        <w:t xml:space="preserve"> (Duan et al., 2024; EPPO, 2019). Thus, first signs may not be quickly detected in an area following an introduction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especially if population density is low.</w:t>
      </w:r>
    </w:p>
    <w:p>
      <w:pPr>
        <w:widowControl w:val="on"/>
        <w:pBdr/>
        <w:spacing w:before="0" w:after="0" w:line="240" w:lineRule="auto"/>
        <w:ind w:left="0" w:right="0"/>
        <w:jc w:val="both"/>
      </w:pPr>
      <w:r>
        <w:rPr>
          <w:rFonts w:ascii="Calibri" w:hAnsi="Calibri" w:eastAsia="Calibri" w:cs="Calibri"/>
          <w:color w:val="000000"/>
          <w:sz w:val="22"/>
          <w:szCs w:val="22"/>
        </w:rPr>
        <w:t xml:space="preserve">Different coloured sticky traps (green, purple, white, and yellow) have been used to capture adults of other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Wang et al. (2013) found that yellow and white were the most attractive colours for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among all sticky traps. In China, yellow or light green sticky traps with cis-3-hexenol are used for monitoring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in the field (Ma et al.,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 attraction of males from several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to dead adults used as decoys on host plants suggests a common behavioural template for visual mate-finding among buprestids (Domingue et al., 2011; Lelito et al., 2007, 2011). 3D-printed decoys have also been used for </w:t>
      </w:r>
      <w:r>
        <w:rPr>
          <w:rFonts w:ascii="Calibri" w:hAnsi="Calibri" w:eastAsia="Calibri" w:cs="Calibri"/>
          <w:i/>
          <w:iCs/>
          <w:color w:val="000000"/>
          <w:sz w:val="22"/>
          <w:szCs w:val="22"/>
        </w:rPr>
        <w:t xml:space="preserve">A. planipennis</w:t>
      </w:r>
      <w:r>
        <w:rPr>
          <w:rFonts w:ascii="Calibri" w:hAnsi="Calibri" w:eastAsia="Calibri" w:cs="Calibri"/>
          <w:color w:val="000000"/>
          <w:sz w:val="22"/>
          <w:szCs w:val="22"/>
        </w:rPr>
        <w:t xml:space="preserve"> (Domingue et al., 2015). Therefore, adding dead adults as decoys or silhouettes of an adult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may possibly be used to improve the attractiveness of traps (EPPO, 2024).</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 monitoring methods such as trapping, visual examination for external signs and symptoms on trees and tree sampling may be used, but they may not allow detection of low levels of infestations (EPPO, 2013). Careful visual examination of the trees (mostly branches, as trunks are very seldom infested) for presence of signs and symptoms may enable the detection of the presence of the genus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in particular if D-shaped exit holes are present. Girdled trees have been found to be more attractive to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(Chen &amp; Zhan, 2007), and may be used in specific situations (e.g. for monitoring purposes; Gninenko et al., 2012).</w:t>
      </w:r>
    </w:p>
    <w:p>
      <w:pPr>
        <w:widowControl w:val="on"/>
        <w:pBdr/>
        <w:spacing w:before="220" w:after="220" w:line="240" w:lineRule="auto"/>
        <w:ind w:left="0" w:right="0"/>
        <w:jc w:val="both"/>
      </w:pPr>
      <w:r>
        <w:rPr>
          <w:rFonts w:ascii="Calibri" w:hAnsi="Calibri" w:eastAsia="Calibri" w:cs="Calibri"/>
          <w:color w:val="000000"/>
          <w:sz w:val="22"/>
          <w:szCs w:val="22"/>
        </w:rPr>
        <w:t xml:space="preserve">The keys to distinguish adults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from other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found in the Far East of the Russian Federation (</w:t>
      </w:r>
      <w:r>
        <w:rPr>
          <w:rFonts w:ascii="Calibri" w:hAnsi="Calibri" w:eastAsia="Calibri" w:cs="Calibri"/>
          <w:i/>
          <w:iCs/>
          <w:color w:val="000000"/>
          <w:sz w:val="22"/>
          <w:szCs w:val="22"/>
        </w:rPr>
        <w:t xml:space="preserve">A.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zhelochovtsevi</w:t>
      </w:r>
      <w:r>
        <w:rPr>
          <w:rFonts w:ascii="Calibri" w:hAnsi="Calibri" w:eastAsia="Calibri" w:cs="Calibri"/>
          <w:color w:val="000000"/>
          <w:sz w:val="22"/>
          <w:szCs w:val="22"/>
        </w:rPr>
        <w:t xml:space="preserve">) are given in Alexeev (1989) and Alexeev and Volkovitsh (1989).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currently no keys to distinguish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from its European congeners (Jendek &amp; Grebennikov, 2011). However,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adults can be distinguished from European species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based on the morphological characters given in Volkovitsh et al. (2020) and in the EPPO Pest Risk Analysis (PRA) (EPPO, 2024). Based on the current literature,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larvae cannot be distinguished from other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by their morphology (EPPO, 2024).</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identification is possible. A rapid test using recombinase polymerase amplification and a lateral flow test was developed for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(Li et al.,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can be transported in plants for planting as well as wood products such as round wood, wood packaging material, sawn wood, bark, and wood chips (Duan et al., 2024; Meurisse et al., 2018). The main hosts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are not used to produce wood. No cases of interception of this pest are documented. The EPPO PRA (EPPO, 2024) concluded that, compared to other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species, the likelihood of entry with wood commodities into the EPPO region is very low and wood commodities are likely to be more important pathways at the local/regional scale (e.g. from China into Central Asian countries close by) than internationally to the rest of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(EPPO, 2024) considered that the likelihood of entry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into Kazakhstan through natural spread is very high, because of the very close proximity and continuous presence of </w:t>
      </w:r>
      <w:r>
        <w:rPr>
          <w:rFonts w:ascii="Calibri" w:hAnsi="Calibri" w:eastAsia="Calibri" w:cs="Calibri"/>
          <w:i/>
          <w:iCs/>
          <w:color w:val="000000"/>
          <w:sz w:val="22"/>
          <w:szCs w:val="22"/>
        </w:rPr>
        <w:t xml:space="preserve">M. sieversii</w:t>
      </w:r>
      <w:r>
        <w:rPr>
          <w:rFonts w:ascii="Calibri" w:hAnsi="Calibri" w:eastAsia="Calibri" w:cs="Calibri"/>
          <w:color w:val="000000"/>
          <w:sz w:val="22"/>
          <w:szCs w:val="22"/>
        </w:rPr>
        <w:t xml:space="preserve"> between places in northern Xinjiang (Yili Valley, China), where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is present, and Kazakhstan. For the rest of the EPPO region, natural spread is not considered as a significant pathway for entry.</w:t>
      </w:r>
    </w:p>
    <w:p>
      <w:pPr>
        <w:widowControl w:val="on"/>
        <w:pBdr/>
        <w:spacing w:before="220" w:after="220" w:line="240" w:lineRule="auto"/>
        <w:ind w:left="0" w:right="0"/>
        <w:jc w:val="both"/>
      </w:pPr>
      <w:r>
        <w:rPr>
          <w:rFonts w:ascii="Calibri" w:hAnsi="Calibri" w:eastAsia="Calibri" w:cs="Calibri"/>
          <w:color w:val="000000"/>
          <w:sz w:val="22"/>
          <w:szCs w:val="22"/>
        </w:rPr>
        <w:t xml:space="preserve">For all EPPO countries, the most likely commodity pathway for entry is host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0" w:after="0" w:line="240" w:lineRule="auto"/>
        <w:ind w:left="0" w:right="0"/>
        <w:jc w:val="both"/>
      </w:pPr>
      <w:r>
        <w:rPr>
          <w:rFonts w:ascii="Calibri" w:hAnsi="Calibri" w:eastAsia="Calibri" w:cs="Calibri"/>
          <w:color w:val="000000"/>
          <w:sz w:val="22"/>
          <w:szCs w:val="22"/>
        </w:rPr>
        <w:t xml:space="preserve">Despite the wide distribution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in Asia, significant economic impact has only been reported in China and only on </w:t>
      </w:r>
      <w:r>
        <w:rPr>
          <w:rFonts w:ascii="Calibri" w:hAnsi="Calibri" w:eastAsia="Calibri" w:cs="Calibri"/>
          <w:i/>
          <w:iCs/>
          <w:color w:val="000000"/>
          <w:sz w:val="22"/>
          <w:szCs w:val="22"/>
        </w:rPr>
        <w:t xml:space="preserve">M. domestica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sieversii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an original description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Matsumura (1924) mentions that heavy damage on apple trees by this pest had occurred in the southern district of Liaoning Province of China since ancient times (i.e. likely not the western </w:t>
      </w:r>
      <w:r>
        <w:rPr>
          <w:rFonts w:ascii="Calibri" w:hAnsi="Calibri" w:eastAsia="Calibri" w:cs="Calibri"/>
          <w:i/>
          <w:iCs/>
          <w:color w:val="000000"/>
          <w:sz w:val="22"/>
          <w:szCs w:val="22"/>
        </w:rPr>
        <w:t xml:space="preserve">M. domestica</w:t>
      </w:r>
      <w:r>
        <w:rPr>
          <w:rFonts w:ascii="Calibri" w:hAnsi="Calibri" w:eastAsia="Calibri" w:cs="Calibri"/>
          <w:color w:val="000000"/>
          <w:sz w:val="22"/>
          <w:szCs w:val="22"/>
        </w:rPr>
        <w:t xml:space="preserve"> at that time; EPPO, 2024). Around the 1950s, the pest became widespread in north-eastern China, and until the 1990s continued to spread westwards and southwards and was then found in the 1990s in Xinjiang Province (Lu et al., 2022).</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north-western China,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is now widespread in wild apple forests in the Tian Shan Mountains in Xinjiang Province (Lu et al., 2022). From 1995 to 2005 it spread from Xinyuan County to Gongliu, Nilek, and Turks counties, and has spread from cultivated orchards to the wild apple forest infesting a total area of 5000 ha, of which 4867 ha are wild apple forest and account for about 60% of the wild apple forest area (Cui et al., 2015; Ji et al., 2004). Sun et al. (2022) noted that recent outbreaks in Xinjiang Province might be the result of both environmental factors and poor management in apple orchards.</w:t>
      </w:r>
    </w:p>
    <w:p>
      <w:pPr>
        <w:widowControl w:val="on"/>
        <w:pBdr/>
        <w:spacing w:before="220" w:after="220" w:line="240" w:lineRule="auto"/>
        <w:ind w:left="0" w:right="0"/>
        <w:jc w:val="both"/>
      </w:pPr>
      <w:r>
        <w:rPr>
          <w:rFonts w:ascii="Calibri" w:hAnsi="Calibri" w:eastAsia="Calibri" w:cs="Calibri"/>
          <w:color w:val="000000"/>
          <w:sz w:val="22"/>
          <w:szCs w:val="22"/>
        </w:rPr>
        <w:t xml:space="preserve">Apart from causing serious economic impact to apple fruit production, both in orchards and wild apple forests (affecting yield and, in extreme cases, causing death of trees),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is affecting regeneration of wild apple trees in the natural environment, and threatening the existence of the unique natural gene bank of economical fruit resources in China (Tian Shan wild fruit forest; Ji et al., 2004). </w:t>
      </w:r>
      <w:r>
        <w:rPr>
          <w:rFonts w:ascii="Calibri" w:hAnsi="Calibri" w:eastAsia="Calibri" w:cs="Calibri"/>
          <w:i/>
          <w:iCs/>
          <w:color w:val="000000"/>
          <w:sz w:val="22"/>
          <w:szCs w:val="22"/>
        </w:rPr>
        <w:t xml:space="preserve">Malus sieversii</w:t>
      </w:r>
      <w:r>
        <w:rPr>
          <w:rFonts w:ascii="Calibri" w:hAnsi="Calibri" w:eastAsia="Calibri" w:cs="Calibri"/>
          <w:color w:val="000000"/>
          <w:sz w:val="22"/>
          <w:szCs w:val="22"/>
        </w:rPr>
        <w:t xml:space="preserve"> is listed as ‘vulnerable’ on the IUCN Red List of Threatened Species and subject to a continuous decline in its current range (IUCN, 2023).</w:t>
      </w:r>
    </w:p>
    <w:p>
      <w:pPr>
        <w:widowControl w:val="on"/>
        <w:pBdr/>
        <w:spacing w:before="220" w:after="220" w:line="240" w:lineRule="auto"/>
        <w:ind w:left="0" w:right="0"/>
        <w:jc w:val="both"/>
      </w:pPr>
      <w:r>
        <w:rPr>
          <w:rFonts w:ascii="Calibri" w:hAnsi="Calibri" w:eastAsia="Calibri" w:cs="Calibri"/>
          <w:color w:val="000000"/>
          <w:sz w:val="22"/>
          <w:szCs w:val="22"/>
        </w:rPr>
        <w:t xml:space="preserve">Attacks by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have been recorded in wild apple forests, large industrial orchards, nurseries, and small private orchards (Linyi Agro-Forestry Bureau, 1973; Chen &amp; Yao, 1997). Damage can be especially severe in orchards located in mountainous areas and in young orchards with poor management (Feng et al., 2013; Guli &amp; Wang, 2013). In apple orchards with intensive appropriate management, the infestation level is much lower than in poorly managed ones (Cui et al., 2018; Lu et al., 2022). Currently,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is considered a secondary pest in </w:t>
      </w:r>
      <w:r>
        <w:rPr>
          <w:rFonts w:ascii="Calibri" w:hAnsi="Calibri" w:eastAsia="Calibri" w:cs="Calibri"/>
          <w:i/>
          <w:iCs/>
          <w:color w:val="000000"/>
          <w:sz w:val="22"/>
          <w:szCs w:val="22"/>
        </w:rPr>
        <w:t xml:space="preserve">M. domestica</w:t>
      </w:r>
      <w:r>
        <w:rPr>
          <w:rFonts w:ascii="Calibri" w:hAnsi="Calibri" w:eastAsia="Calibri" w:cs="Calibri"/>
          <w:color w:val="000000"/>
          <w:sz w:val="22"/>
          <w:szCs w:val="22"/>
        </w:rPr>
        <w:t xml:space="preserve"> orchards in China, as most apple orchards are managed carefully (EPPO, 2024).</w:t>
      </w:r>
    </w:p>
    <w:p>
      <w:pPr>
        <w:widowControl w:val="on"/>
        <w:pBdr/>
        <w:spacing w:before="220" w:after="220" w:line="240" w:lineRule="auto"/>
        <w:ind w:left="0" w:right="0"/>
        <w:jc w:val="both"/>
      </w:pPr>
      <w:r>
        <w:rPr>
          <w:rFonts w:ascii="Calibri" w:hAnsi="Calibri" w:eastAsia="Calibri" w:cs="Calibri"/>
          <w:color w:val="000000"/>
          <w:sz w:val="22"/>
          <w:szCs w:val="22"/>
        </w:rPr>
        <w:t xml:space="preserve">Very limited information about the economic impact of this pest is available from the Russian Federation and no information was found for the Republic of Korea, Democratic People's Republic of Korea, and Mongolia. Lack of publications suggests that the pest has a limited impact in these countries (EPPO, 2024).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is regulated as a quarantine pest in some provinces and regions of China and has been included in the list of dangerous pests for forestry of China since 2013 (State Forestry Administration, 2013). Risk management measures are applied to this pest in its current range.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has been controlled in orchards using a combination of sanitation measures and application of insecticides (Cui et al., 2018; Xiang, 1997). The pest is in the Quarantine List of the Eurasian Economic Union (among pests with limited distribution on the territory of the Union; EAEU, 2016), but currently no measures are being taken (EPPO, 2024).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Sanitation and physical control</w:t>
      </w:r>
      <w:r>
        <w:rPr>
          <w:rFonts w:ascii="Calibri" w:hAnsi="Calibri" w:eastAsia="Calibri" w:cs="Calibri"/>
          <w:color w:val="000000"/>
          <w:sz w:val="22"/>
          <w:szCs w:val="22"/>
        </w:rPr>
        <w:t xml:space="preserve">. In apple orchards, it is usually recommended to cut off infested branches and dispose of them safely (the cut branches are burned or caged; using fine wire netting) to eliminate the pest (Chen &amp; Yao, 1997; Chen &amp; Zhan, 2007; Cui et al., 2018; Guli &amp; Wang, 2013; Guo &amp; Ma, 2010; Xiang, 1997). This sanitation pruning is the most effective and widely used control method (EPPO, 2024; Zhang, Li, et al., 2024). The wounds are treated with commercially available tree wound dressings for pruning and grafting to avoid infestation by fungal diseases.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Cultural practices</w:t>
      </w:r>
      <w:r>
        <w:rPr>
          <w:rFonts w:ascii="Calibri" w:hAnsi="Calibri" w:eastAsia="Calibri" w:cs="Calibri"/>
          <w:color w:val="000000"/>
          <w:sz w:val="22"/>
          <w:szCs w:val="22"/>
        </w:rPr>
        <w:t xml:space="preserve">. Because the pest preferentially infests weakened trees, maintaining tree vigour through appropriate fertilization, irrigation, and careful pruning is recommended (Linyi Agro-Forestry Bureau, 1973; Chen &amp; Zhan, 2007; Duan et al., 2024).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Chemical control</w:t>
      </w:r>
      <w:r>
        <w:rPr>
          <w:rFonts w:ascii="Calibri" w:hAnsi="Calibri" w:eastAsia="Calibri" w:cs="Calibri"/>
          <w:color w:val="000000"/>
          <w:sz w:val="22"/>
          <w:szCs w:val="22"/>
        </w:rPr>
        <w:t xml:space="preserve">. Chemical control by spraying or injection has been used in the past in China using different active substances (EPPO, 2024) but most of them are currently not approved in the EU (EC, 2023). Chemical control is currently considered less effective as a stand-alone measure compared with sanitation by pruning of infested branches (EPPO, 2024).</w:t>
      </w:r>
    </w:p>
    <w:p>
      <w:pPr>
        <w:widowControl w:val="on"/>
        <w:pBdr/>
        <w:spacing w:before="220" w:after="220" w:line="240" w:lineRule="auto"/>
        <w:ind w:left="0" w:right="0"/>
        <w:jc w:val="both"/>
      </w:pPr>
      <w:r>
        <w:rPr>
          <w:rFonts w:ascii="Calibri" w:hAnsi="Calibri" w:eastAsia="Calibri" w:cs="Calibri"/>
          <w:color w:val="000000"/>
          <w:sz w:val="22"/>
          <w:szCs w:val="22"/>
        </w:rPr>
        <w:t xml:space="preserve">Aerial spraying of ultra-low volume of thiacloprid (a systemic neonicotinoid insecticide) has been attempted in Xinjiang Province of China, with the aim to eliminate adults while they are feeding on leaves, but the effect on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infestation were not conclusive (Zhang et al., 2021). This was in contrast with studies in Xinyun region, where the same compound was used, but the larval density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declined by 65% in the second season (Zhang et al., 2021).</w:t>
      </w:r>
    </w:p>
    <w:p>
      <w:pPr>
        <w:widowControl w:val="on"/>
        <w:pBdr/>
        <w:spacing w:before="220" w:after="220" w:line="240" w:lineRule="auto"/>
        <w:ind w:left="0" w:right="0"/>
        <w:jc w:val="both"/>
      </w:pPr>
      <w:r>
        <w:rPr>
          <w:rFonts w:ascii="Calibri" w:hAnsi="Calibri" w:eastAsia="Calibri" w:cs="Calibri"/>
          <w:color w:val="000000"/>
          <w:sz w:val="22"/>
          <w:szCs w:val="22"/>
        </w:rPr>
        <w:t xml:space="preserve">Fumigation of insect-bearing seedlings and scions using sodium cyanide was also considered effective and suggested for application (Chen &amp; Zhan, 2007), as well as application of pyrethrins (Li,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Biological control. Sclerodermus</w:t>
      </w:r>
      <w:r>
        <w:rPr>
          <w:rFonts w:ascii="Calibri" w:hAnsi="Calibri" w:eastAsia="Calibri" w:cs="Calibri"/>
          <w:color w:val="000000"/>
          <w:sz w:val="22"/>
          <w:szCs w:val="22"/>
        </w:rPr>
        <w:t xml:space="preserve"> parasitoids (Hymenoptera: Bethylidae) such as </w:t>
      </w:r>
      <w:r>
        <w:rPr>
          <w:rFonts w:ascii="Calibri" w:hAnsi="Calibri" w:eastAsia="Calibri" w:cs="Calibri"/>
          <w:i/>
          <w:iCs/>
          <w:color w:val="000000"/>
          <w:sz w:val="22"/>
          <w:szCs w:val="22"/>
        </w:rPr>
        <w:t xml:space="preserve">S. pupariae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guani</w:t>
      </w:r>
      <w:r>
        <w:rPr>
          <w:rFonts w:ascii="Calibri" w:hAnsi="Calibri" w:eastAsia="Calibri" w:cs="Calibri"/>
          <w:color w:val="000000"/>
          <w:sz w:val="22"/>
          <w:szCs w:val="22"/>
        </w:rPr>
        <w:t xml:space="preserve"> are used to control larvae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and are available commercially in China (EPPO, 2024). </w:t>
      </w:r>
      <w:r>
        <w:rPr>
          <w:rFonts w:ascii="Calibri" w:hAnsi="Calibri" w:eastAsia="Calibri" w:cs="Calibri"/>
          <w:i/>
          <w:iCs/>
          <w:color w:val="000000"/>
          <w:sz w:val="22"/>
          <w:szCs w:val="22"/>
        </w:rPr>
        <w:t xml:space="preserve">Pyemotes moseri</w:t>
      </w:r>
      <w:r>
        <w:rPr>
          <w:rFonts w:ascii="Calibri" w:hAnsi="Calibri" w:eastAsia="Calibri" w:cs="Calibri"/>
          <w:color w:val="000000"/>
          <w:sz w:val="22"/>
          <w:szCs w:val="22"/>
        </w:rPr>
        <w:t xml:space="preserve"> (Acriformis: Pyemotidae) has been used to control various insects, including larvae and pupae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and is available commercially in China. In laboratory studies, this predatory mite showed excellent efficacy (Cui et al., 2019; Tang et al., 2022; Zhang et al., 2020). This species can be used for augmentative release in orchards and forests (Cui et al., 2019; Wang, 2013).</w:t>
      </w:r>
    </w:p>
    <w:p>
      <w:pPr>
        <w:widowControl w:val="on"/>
        <w:pBdr/>
        <w:spacing w:before="220" w:after="220" w:line="240" w:lineRule="auto"/>
        <w:ind w:left="0" w:right="0"/>
        <w:jc w:val="both"/>
      </w:pPr>
      <w:r>
        <w:rPr>
          <w:rFonts w:ascii="Calibri" w:hAnsi="Calibri" w:eastAsia="Calibri" w:cs="Calibri"/>
          <w:color w:val="000000"/>
          <w:sz w:val="22"/>
          <w:szCs w:val="22"/>
        </w:rPr>
        <w:t xml:space="preserve">Some other native natural enemies were identified in China, e.g. </w:t>
      </w:r>
      <w:r>
        <w:rPr>
          <w:rFonts w:ascii="Calibri" w:hAnsi="Calibri" w:eastAsia="Calibri" w:cs="Calibri"/>
          <w:i/>
          <w:iCs/>
          <w:color w:val="000000"/>
          <w:sz w:val="22"/>
          <w:szCs w:val="22"/>
        </w:rPr>
        <w:t xml:space="preserve">Atanycolus denigrator</w:t>
      </w:r>
      <w:r>
        <w:rPr>
          <w:rFonts w:ascii="Calibri" w:hAnsi="Calibri" w:eastAsia="Calibri" w:cs="Calibri"/>
          <w:color w:val="000000"/>
          <w:sz w:val="22"/>
          <w:szCs w:val="22"/>
        </w:rPr>
        <w:t xml:space="preserve"> (Hymenoptera: Braconidae) (Liu et al., 2010; Wang et al., 2014; Cao et al., 2019; Cui et al., 2019) and </w:t>
      </w:r>
      <w:r>
        <w:rPr>
          <w:rFonts w:ascii="Calibri" w:hAnsi="Calibri" w:eastAsia="Calibri" w:cs="Calibri"/>
          <w:i/>
          <w:iCs/>
          <w:color w:val="000000"/>
          <w:sz w:val="22"/>
          <w:szCs w:val="22"/>
        </w:rPr>
        <w:t xml:space="preserve">Tetrastichus</w:t>
      </w:r>
      <w:r>
        <w:rPr>
          <w:rFonts w:ascii="Calibri" w:hAnsi="Calibri" w:eastAsia="Calibri" w:cs="Calibri"/>
          <w:color w:val="000000"/>
          <w:sz w:val="22"/>
          <w:szCs w:val="22"/>
        </w:rPr>
        <w:t xml:space="preserve"> sp. (Hymenoptera: Eulophidae) (Sun et al., 1979), but these parasitoids have not been mass produced and used in practice.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Integrated pest management (IPM)</w:t>
      </w:r>
      <w:r>
        <w:rPr>
          <w:rFonts w:ascii="Calibri" w:hAnsi="Calibri" w:eastAsia="Calibri" w:cs="Calibri"/>
          <w:color w:val="000000"/>
          <w:sz w:val="22"/>
          <w:szCs w:val="22"/>
        </w:rPr>
        <w:t xml:space="preserve">. Integrated pest management measures used for the control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include cutting infested branches, releasing of biological control agents, limiting grazing by animals (to protect natural biodiversity and support natural enemies, and facilitate natural regeneration of wild apple), and providing food sources and overwintering shelters for natural enemies in wild forests. In orchards, IPM also includes chemical control (EPPO, 2024).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may be able to establish wherever </w:t>
      </w:r>
      <w:r>
        <w:rPr>
          <w:rFonts w:ascii="Calibri" w:hAnsi="Calibri" w:eastAsia="Calibri" w:cs="Calibri"/>
          <w:i/>
          <w:iCs/>
          <w:color w:val="000000"/>
          <w:sz w:val="22"/>
          <w:szCs w:val="22"/>
        </w:rPr>
        <w:t xml:space="preserve">M. domestica</w:t>
      </w:r>
      <w:r>
        <w:rPr>
          <w:rFonts w:ascii="Calibri" w:hAnsi="Calibri" w:eastAsia="Calibri" w:cs="Calibri"/>
          <w:color w:val="000000"/>
          <w:sz w:val="22"/>
          <w:szCs w:val="22"/>
        </w:rPr>
        <w:t xml:space="preserve"> and/or </w:t>
      </w:r>
      <w:r>
        <w:rPr>
          <w:rFonts w:ascii="Calibri" w:hAnsi="Calibri" w:eastAsia="Calibri" w:cs="Calibri"/>
          <w:i/>
          <w:iCs/>
          <w:color w:val="000000"/>
          <w:sz w:val="22"/>
          <w:szCs w:val="22"/>
        </w:rPr>
        <w:t xml:space="preserve">M. sieversii</w:t>
      </w:r>
      <w:r>
        <w:rPr>
          <w:rFonts w:ascii="Calibri" w:hAnsi="Calibri" w:eastAsia="Calibri" w:cs="Calibri"/>
          <w:color w:val="000000"/>
          <w:sz w:val="22"/>
          <w:szCs w:val="22"/>
        </w:rPr>
        <w:t xml:space="preserve"> are present, (EPPO, 2024). However, the northern limit of the potential area of establishment cannot be defined precisely, because if thermal conditions in a particular area are not sufficient, larval development of the pest can continue after the first overwintering. Within the potential area of establishment, it is expected that the largest impact would occur in </w:t>
      </w:r>
      <w:r>
        <w:rPr>
          <w:rFonts w:ascii="Calibri" w:hAnsi="Calibri" w:eastAsia="Calibri" w:cs="Calibri"/>
          <w:i/>
          <w:iCs/>
          <w:color w:val="000000"/>
          <w:sz w:val="22"/>
          <w:szCs w:val="22"/>
        </w:rPr>
        <w:t xml:space="preserve">M. sieversii</w:t>
      </w:r>
      <w:r>
        <w:rPr>
          <w:rFonts w:ascii="Calibri" w:hAnsi="Calibri" w:eastAsia="Calibri" w:cs="Calibri"/>
          <w:color w:val="000000"/>
          <w:sz w:val="22"/>
          <w:szCs w:val="22"/>
        </w:rPr>
        <w:t xml:space="preserve"> wild apple forests in Central Asia. In addition, impact is expected in the rest of the potential area of establishment, but it would likely be lower in areas close to the northern limit of establishment.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PRA (EPPO, 2024), the phytosanitary risk was rated as high for Kazakhstan (because of the proximity of the species' range in China). For other EPPO countries that prohibit the importation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plants for planting, the phytosanitary risk was rated low, and for those that do not have such prohibitions, the phytosanitary risk was rated as moderate.</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context of climate change, the area of potential establishment of </w:t>
      </w:r>
      <w:r>
        <w:rPr>
          <w:rFonts w:ascii="Calibri" w:hAnsi="Calibri" w:eastAsia="Calibri" w:cs="Calibri"/>
          <w:i/>
          <w:iCs/>
          <w:color w:val="000000"/>
          <w:sz w:val="22"/>
          <w:szCs w:val="22"/>
        </w:rPr>
        <w:t xml:space="preserve">A. mali</w:t>
      </w:r>
      <w:r>
        <w:rPr>
          <w:rFonts w:ascii="Calibri" w:hAnsi="Calibri" w:eastAsia="Calibri" w:cs="Calibri"/>
          <w:color w:val="000000"/>
          <w:sz w:val="22"/>
          <w:szCs w:val="22"/>
        </w:rPr>
        <w:t xml:space="preserve"> might extend northwards and to higher altitudes, and impact is expected to increase (Zhang et al., 2024b). Increased temperature, frequency and duration of severe droughts might increase the negative impact of the pest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Risk management options have been identified and evaluated in the EPPO PRA (EPPO, 2024) for host plants for planting, cut branches, round wood and sawn wood of host plants. A common option for all pathways was pest free area; see EPPO PRA (EPPO, 2024) for other options proposed for specific pathways. The measures should be applied to the genus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If more scientific information confirming new host status become available, the same measures should be recommended for these additional hosts. With the currently available information, some countries may decide to regulate unconfirmed hosts to achieve a higher level of protection. A number of apple wood commodities from China are available to consumers on the internet for fuel for barbecues, food smoking, or as material for pets or crafting, and the EPPO PRA (EPPO, 2024) recommended that such internet trade should be placed under scrutiny. ISPM 15 (FAO, 2018) phytosanitary measures are considered to be sufficient for wood packaging material produced from apple wood.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Alexeev AV (1989) 39. Fam. Buprestidae. In: Ler PA (Ed.). Keys to the Identification of Insects of the Russian Far East. Vol. 3. Coleoptera, or beetles. Part. 1. Leningrad: Nauka, pp. 463–489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Alexeev AV, Volkovitsh MG (1989). A review of buprestid beetles (Coleoptera, Buprestidae) of the Mongolian People's Republic. In: Kerzhner IM, Korotyaev BA (Eds). Insects of Mongolia. Vol. 10. 301–368. Leningrad: Nauka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niBílý S (2002) Summary of the bionomy of the buprestid beetles of Central Europe (Coleoptera: Buprestidae). </w:t>
      </w:r>
      <w:r>
        <w:rPr>
          <w:rFonts w:ascii="Calibri" w:hAnsi="Calibri" w:eastAsia="Calibri" w:cs="Calibri"/>
          <w:i/>
          <w:iCs/>
          <w:color w:val="000000"/>
          <w:sz w:val="22"/>
          <w:szCs w:val="22"/>
        </w:rPr>
        <w:t xml:space="preserve">Acta Entomologica Musei Nationalis Pragae, Supplementum</w:t>
      </w:r>
      <w:r>
        <w:rPr>
          <w:rFonts w:ascii="Calibri" w:hAnsi="Calibri" w:eastAsia="Calibri" w:cs="Calibri"/>
          <w:color w:val="000000"/>
          <w:sz w:val="22"/>
          <w:szCs w:val="22"/>
        </w:rPr>
        <w:t xml:space="preserve"> 10, 1–103. </w:t>
      </w:r>
      <w:hyperlink r:id="rId80556a9babc24dca4" w:history="1">
        <w:r>
          <w:rPr>
            <w:rFonts w:ascii="Calibri" w:hAnsi="Calibri" w:eastAsia="Calibri" w:cs="Calibri"/>
            <w:color w:val="0000CC"/>
            <w:sz w:val="22"/>
            <w:szCs w:val="22"/>
            <w:u w:val="single"/>
          </w:rPr>
          <w:t xml:space="preserve">https://www.aemnp.eu/acta-entomologica-supplementum/volume-10/1099/summary-of-the-bionomy-of-the-buprestid-beetles-of-central-europe-coleoptera-buprestidae.html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Bozorov TA, Luo Z, Li X, Zhang D (2019) </w:t>
      </w:r>
      <w:r>
        <w:rPr>
          <w:rFonts w:ascii="Calibri" w:hAnsi="Calibri" w:eastAsia="Calibri" w:cs="Calibri"/>
          <w:i/>
          <w:iCs/>
          <w:color w:val="000000"/>
          <w:sz w:val="22"/>
          <w:szCs w:val="22"/>
        </w:rPr>
        <w:t xml:space="preserve">Agrilus mali </w:t>
      </w:r>
      <w:r>
        <w:rPr>
          <w:rFonts w:ascii="Calibri" w:hAnsi="Calibri" w:eastAsia="Calibri" w:cs="Calibri"/>
          <w:color w:val="000000"/>
          <w:sz w:val="22"/>
          <w:szCs w:val="22"/>
        </w:rPr>
        <w:t xml:space="preserve">Matsumara (Coleoptera: Buprestidae), a new invasive pest of wild apple in western China: DNA barcoding and life cycle. </w:t>
      </w:r>
      <w:r>
        <w:rPr>
          <w:rFonts w:ascii="Calibri" w:hAnsi="Calibri" w:eastAsia="Calibri" w:cs="Calibri"/>
          <w:i/>
          <w:iCs/>
          <w:color w:val="000000"/>
          <w:sz w:val="22"/>
          <w:szCs w:val="22"/>
        </w:rPr>
        <w:t xml:space="preserve">Ecol. Evol. </w:t>
      </w:r>
      <w:r>
        <w:rPr>
          <w:rFonts w:ascii="Calibri" w:hAnsi="Calibri" w:eastAsia="Calibri" w:cs="Calibri"/>
          <w:color w:val="000000"/>
          <w:sz w:val="22"/>
          <w:szCs w:val="22"/>
        </w:rPr>
        <w:t xml:space="preserve">9, 1160–1172. </w:t>
      </w:r>
      <w:hyperlink r:id="rId23676a9babc24dd1f" w:history="1">
        <w:r>
          <w:rPr>
            <w:rFonts w:ascii="Calibri" w:hAnsi="Calibri" w:eastAsia="Calibri" w:cs="Calibri"/>
            <w:color w:val="0000CC"/>
            <w:sz w:val="22"/>
            <w:szCs w:val="22"/>
            <w:u w:val="single"/>
          </w:rPr>
          <w:t xml:space="preserve">https://doi.org/10.1002/ece3.4804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Cao LM, Zhang YL, van Achterberg C, Wang ZY, Wang XY, Zhao WX, Yang ZQ (2019) Notes on braconid wasps (Hymenoptera, Braconidae) parasitising on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Matsumura (Coleoptera, Buprestidae) in China. </w:t>
      </w:r>
      <w:r>
        <w:rPr>
          <w:rFonts w:ascii="Calibri" w:hAnsi="Calibri" w:eastAsia="Calibri" w:cs="Calibri"/>
          <w:i/>
          <w:iCs/>
          <w:color w:val="000000"/>
          <w:sz w:val="22"/>
          <w:szCs w:val="22"/>
        </w:rPr>
        <w:t xml:space="preserve">ZooKeys</w:t>
      </w:r>
      <w:r>
        <w:rPr>
          <w:rFonts w:ascii="Calibri" w:hAnsi="Calibri" w:eastAsia="Calibri" w:cs="Calibri"/>
          <w:color w:val="000000"/>
          <w:sz w:val="22"/>
          <w:szCs w:val="22"/>
        </w:rPr>
        <w:t xml:space="preserve"> 867, 97–121. </w:t>
      </w:r>
      <w:hyperlink r:id="rId94086a9babc24dd93" w:history="1">
        <w:r>
          <w:rPr>
            <w:rFonts w:ascii="Calibri" w:hAnsi="Calibri" w:eastAsia="Calibri" w:cs="Calibri"/>
            <w:color w:val="0000CC"/>
            <w:sz w:val="22"/>
            <w:szCs w:val="22"/>
            <w:u w:val="single"/>
          </w:rPr>
          <w:t xml:space="preserve">https://doi.org/10.3897/zookeys.867.36170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Chen J, Zhan Y (2007) Preventive measures and control of the apple buprestid. </w:t>
      </w:r>
      <w:r>
        <w:rPr>
          <w:rFonts w:ascii="Calibri" w:hAnsi="Calibri" w:eastAsia="Calibri" w:cs="Calibri"/>
          <w:i/>
          <w:iCs/>
          <w:color w:val="000000"/>
          <w:sz w:val="22"/>
          <w:szCs w:val="22"/>
        </w:rPr>
        <w:t xml:space="preserve">Xinjiang Agricultural Sciences</w:t>
      </w:r>
      <w:r>
        <w:rPr>
          <w:rFonts w:ascii="Calibri" w:hAnsi="Calibri" w:eastAsia="Calibri" w:cs="Calibri"/>
          <w:color w:val="000000"/>
          <w:sz w:val="22"/>
          <w:szCs w:val="22"/>
        </w:rPr>
        <w:t xml:space="preserve"> 44 (S2), 186–187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Chen G, Yao XH (1997) Occurrence and control of </w:t>
      </w:r>
      <w:r>
        <w:rPr>
          <w:rFonts w:ascii="Calibri" w:hAnsi="Calibri" w:eastAsia="Calibri" w:cs="Calibri"/>
          <w:i/>
          <w:iCs/>
          <w:color w:val="000000"/>
          <w:sz w:val="22"/>
          <w:szCs w:val="22"/>
        </w:rPr>
        <w:t xml:space="preserve">Agrilus mali </w:t>
      </w:r>
      <w:r>
        <w:rPr>
          <w:rFonts w:ascii="Calibri" w:hAnsi="Calibri" w:eastAsia="Calibri" w:cs="Calibri"/>
          <w:color w:val="000000"/>
          <w:sz w:val="22"/>
          <w:szCs w:val="22"/>
        </w:rPr>
        <w:t xml:space="preserve">Matsumura. </w:t>
      </w:r>
      <w:r>
        <w:rPr>
          <w:rFonts w:ascii="Calibri" w:hAnsi="Calibri" w:eastAsia="Calibri" w:cs="Calibri"/>
          <w:i/>
          <w:iCs/>
          <w:color w:val="000000"/>
          <w:sz w:val="22"/>
          <w:szCs w:val="22"/>
        </w:rPr>
        <w:t xml:space="preserve">Qinghai Agro-Technology Extension</w:t>
      </w:r>
      <w:r>
        <w:rPr>
          <w:rFonts w:ascii="Calibri" w:hAnsi="Calibri" w:eastAsia="Calibri" w:cs="Calibri"/>
          <w:color w:val="000000"/>
          <w:sz w:val="22"/>
          <w:szCs w:val="22"/>
        </w:rPr>
        <w:t xml:space="preserve"> 4, 45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Cui XN, Liu DG, Liu AH (2015) Research progress in integrated management of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(China) 41, 16–23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Cui Z-J, Zhang Y-L, Luo Z-H, Ma H-L, Lu Z-Z (2018) Damage of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Matsumura in wild apple forest and its assessment. </w:t>
      </w:r>
      <w:r>
        <w:rPr>
          <w:rFonts w:ascii="Calibri" w:hAnsi="Calibri" w:eastAsia="Calibri" w:cs="Calibri"/>
          <w:i/>
          <w:iCs/>
          <w:color w:val="000000"/>
          <w:sz w:val="22"/>
          <w:szCs w:val="22"/>
        </w:rPr>
        <w:t xml:space="preserve">Arid Zone Research</w:t>
      </w:r>
      <w:r>
        <w:rPr>
          <w:rFonts w:ascii="Calibri" w:hAnsi="Calibri" w:eastAsia="Calibri" w:cs="Calibri"/>
          <w:color w:val="000000"/>
          <w:sz w:val="22"/>
          <w:szCs w:val="22"/>
        </w:rPr>
        <w:t xml:space="preserve"> 35(5), 1153–1159 (in Chinese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Cui Z-J, Zhang Y-L, Zhang X, Luo Z-H, Zhang P, Golec J, Poland TM, Zalucki MP, Han P, Lu Z-Z (2019) Life history and mortality factors of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Matsumura (Coleoptera: Buprestidae) in wild apples in Northwestern China.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21, 309–317. </w:t>
      </w:r>
      <w:hyperlink r:id="rId11696a9babc24df80" w:history="1">
        <w:r>
          <w:rPr>
            <w:rFonts w:ascii="Calibri" w:hAnsi="Calibri" w:eastAsia="Calibri" w:cs="Calibri"/>
            <w:color w:val="0000CC"/>
            <w:sz w:val="22"/>
            <w:szCs w:val="22"/>
            <w:u w:val="single"/>
          </w:rPr>
          <w:t xml:space="preserve">https://doi.org/10.1111/afe.12333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Jong Y, Verbeek M, Michelsen V, Bjørn P, Los W, Steeman F, Bailly N, Basire C, Chylarecki P, Stloukal E et al. (2014) Fauna Europaea – all European animal species on the web. </w:t>
      </w:r>
      <w:r>
        <w:rPr>
          <w:rFonts w:ascii="Calibri" w:hAnsi="Calibri" w:eastAsia="Calibri" w:cs="Calibri"/>
          <w:i/>
          <w:iCs/>
          <w:color w:val="000000"/>
          <w:sz w:val="22"/>
          <w:szCs w:val="22"/>
        </w:rPr>
        <w:t xml:space="preserve">Biodiversity Data Journal</w:t>
      </w:r>
      <w:r>
        <w:rPr>
          <w:rFonts w:ascii="Calibri" w:hAnsi="Calibri" w:eastAsia="Calibri" w:cs="Calibri"/>
          <w:color w:val="000000"/>
          <w:sz w:val="22"/>
          <w:szCs w:val="22"/>
        </w:rPr>
        <w:t xml:space="preserve"> 2, e4034. </w:t>
      </w:r>
      <w:hyperlink r:id="rId76716a9babc24dfd4" w:history="1">
        <w:r>
          <w:rPr>
            <w:rFonts w:ascii="Calibri" w:hAnsi="Calibri" w:eastAsia="Calibri" w:cs="Calibri"/>
            <w:color w:val="0000CC"/>
            <w:sz w:val="22"/>
            <w:szCs w:val="22"/>
            <w:u w:val="single"/>
          </w:rPr>
          <w:t xml:space="preserve">https://doi.org/10.3897/BDJ.2.e4034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Ding NH (2019) Analysis of the rearing of </w:t>
      </w:r>
      <w:r>
        <w:rPr>
          <w:rFonts w:ascii="Calibri" w:hAnsi="Calibri" w:eastAsia="Calibri" w:cs="Calibri"/>
          <w:i/>
          <w:iCs/>
          <w:color w:val="000000"/>
          <w:sz w:val="22"/>
          <w:szCs w:val="22"/>
        </w:rPr>
        <w:t xml:space="preserve">Agrilus mali </w:t>
      </w:r>
      <w:r>
        <w:rPr>
          <w:rFonts w:ascii="Calibri" w:hAnsi="Calibri" w:eastAsia="Calibri" w:cs="Calibri"/>
          <w:color w:val="000000"/>
          <w:sz w:val="22"/>
          <w:szCs w:val="22"/>
        </w:rPr>
        <w:t xml:space="preserve">Matsumura insects and their host nutrients. M. Agr. Thesis, Northwest A &amp; F University, 53 p. (in Chinese,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Domingue MJ, Csóka G, Tóth M, Vétek G, Pénzes B, Mastro V, Baker TC (2011) Field observations of visual attraction of three European oak buprestid beetles toward conspecific and heterospecific models.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140(2), 112–121. </w:t>
      </w:r>
      <w:hyperlink r:id="rId72386a9babc24e068" w:history="1">
        <w:r>
          <w:rPr>
            <w:rFonts w:ascii="Calibri" w:hAnsi="Calibri" w:eastAsia="Calibri" w:cs="Calibri"/>
            <w:color w:val="0000CC"/>
            <w:sz w:val="22"/>
            <w:szCs w:val="22"/>
            <w:u w:val="single"/>
          </w:rPr>
          <w:t xml:space="preserve">https://doi.org/10.1111/j.1570-7458.2011.01139.x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Domingue MJ, Pulsifer DP, Lakhtakia A, Berkebile J, Steiner KC, Lelito JP, Hall LP, Baker TC (2015) Detecting emerald ash borers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using branch traps baited with 3D-printed beetle decoys.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88(2), 267–279. </w:t>
      </w:r>
      <w:hyperlink r:id="rId71586a9babc24e0db" w:history="1">
        <w:r>
          <w:rPr>
            <w:rFonts w:ascii="Calibri" w:hAnsi="Calibri" w:eastAsia="Calibri" w:cs="Calibri"/>
            <w:color w:val="0000CC"/>
            <w:sz w:val="22"/>
            <w:szCs w:val="22"/>
            <w:u w:val="single"/>
          </w:rPr>
          <w:t xml:space="preserve">https://doi.org/10.1007/s10340-014-0598-y</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Duan JJ, Johnson TD, O’Dea JK, Petrice TR, Haack RA (2024) The ecology, economics, and management of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beetles. </w:t>
      </w:r>
      <w:r>
        <w:rPr>
          <w:rFonts w:ascii="Calibri" w:hAnsi="Calibri" w:eastAsia="Calibri" w:cs="Calibri"/>
          <w:i/>
          <w:iCs/>
          <w:color w:val="000000"/>
          <w:sz w:val="22"/>
          <w:szCs w:val="22"/>
        </w:rPr>
        <w:t xml:space="preserve">Current Forestry Reports</w:t>
      </w:r>
      <w:r>
        <w:rPr>
          <w:rFonts w:ascii="Calibri" w:hAnsi="Calibri" w:eastAsia="Calibri" w:cs="Calibri"/>
          <w:color w:val="000000"/>
          <w:sz w:val="22"/>
          <w:szCs w:val="22"/>
        </w:rPr>
        <w:t xml:space="preserve"> 10, 487–509. </w:t>
      </w:r>
      <w:hyperlink r:id="rId27916a9babc24e16f" w:history="1">
        <w:r>
          <w:rPr>
            <w:rFonts w:ascii="Calibri" w:hAnsi="Calibri" w:eastAsia="Calibri" w:cs="Calibri"/>
            <w:color w:val="0000CC"/>
            <w:sz w:val="22"/>
            <w:szCs w:val="22"/>
            <w:u w:val="single"/>
          </w:rPr>
          <w:t xml:space="preserve">https://doi.org/10.1007/s40725-024-00230-8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EAEU (2016) Decision of the Council of the Eurasian Economic Union # 157 of 30.11.2016 On Approval of the Uniformed Quarantine Phytosanitary Requirements for Quarantine Products and Quarantine Objects at the Customs Border and on the Customs Territory of the Eurasian Economic Union.</w:t>
      </w:r>
    </w:p>
    <w:p>
      <w:pPr>
        <w:widowControl w:val="on"/>
        <w:pBdr/>
        <w:spacing w:before="220" w:after="220" w:line="240" w:lineRule="auto"/>
        <w:ind w:left="0" w:right="0"/>
        <w:jc w:val="left"/>
      </w:pPr>
      <w:r>
        <w:rPr>
          <w:rFonts w:ascii="Calibri" w:hAnsi="Calibri" w:eastAsia="Calibri" w:cs="Calibri"/>
          <w:color w:val="000000"/>
          <w:sz w:val="22"/>
          <w:szCs w:val="22"/>
        </w:rPr>
        <w:t xml:space="preserve">EC (2023) EU pesticides database, active substances. </w:t>
      </w:r>
      <w:hyperlink r:id="rId90576a9babc24e1c7" w:history="1">
        <w:r>
          <w:rPr>
            <w:rFonts w:ascii="Calibri" w:hAnsi="Calibri" w:eastAsia="Calibri" w:cs="Calibri"/>
            <w:color w:val="0000CC"/>
            <w:sz w:val="22"/>
            <w:szCs w:val="22"/>
            <w:u w:val="single"/>
          </w:rPr>
          <w:t xml:space="preserve">https://ec.europa.eu/food/plant/pesticides/eu-pesticides-database/start/screen/active-substances</w:t>
        </w:r>
      </w:hyperlink>
      <w:r>
        <w:rPr>
          <w:rFonts w:ascii="Calibri" w:hAnsi="Calibri" w:eastAsia="Calibri" w:cs="Calibri"/>
          <w:color w:val="000000"/>
          <w:sz w:val="22"/>
          <w:szCs w:val="22"/>
        </w:rPr>
        <w:t xml:space="preserve"> (Accessed in October 2024)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Standard PM 9/14 (1)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43(3), 499–509. </w:t>
      </w:r>
      <w:hyperlink r:id="rId34196a9babc24e248" w:history="1">
        <w:r>
          <w:rPr>
            <w:rFonts w:ascii="Calibri" w:hAnsi="Calibri" w:eastAsia="Calibri" w:cs="Calibri"/>
            <w:color w:val="0000CC"/>
            <w:sz w:val="22"/>
            <w:szCs w:val="22"/>
            <w:u w:val="single"/>
          </w:rPr>
          <w:t xml:space="preserve">https://doi.org/10.1111/epp.12063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Pest risk analysis for </w:t>
      </w:r>
      <w:r>
        <w:rPr>
          <w:rFonts w:ascii="Calibri" w:hAnsi="Calibri" w:eastAsia="Calibri" w:cs="Calibri"/>
          <w:i/>
          <w:iCs/>
          <w:color w:val="000000"/>
          <w:sz w:val="22"/>
          <w:szCs w:val="22"/>
        </w:rPr>
        <w:t xml:space="preserve">Agrilus fleischeri</w:t>
      </w:r>
      <w:r>
        <w:rPr>
          <w:rFonts w:ascii="Calibri" w:hAnsi="Calibri" w:eastAsia="Calibri" w:cs="Calibri"/>
          <w:color w:val="000000"/>
          <w:sz w:val="22"/>
          <w:szCs w:val="22"/>
        </w:rPr>
        <w:t xml:space="preserve">. EPPO, Paris. </w:t>
      </w:r>
      <w:hyperlink r:id="rId39696a9babc24e2a7" w:history="1">
        <w:r>
          <w:rPr>
            <w:rFonts w:ascii="Calibri" w:hAnsi="Calibri" w:eastAsia="Calibri" w:cs="Calibri"/>
            <w:color w:val="0000CC"/>
            <w:sz w:val="22"/>
            <w:szCs w:val="22"/>
            <w:u w:val="single"/>
          </w:rPr>
          <w:t xml:space="preserve">https://gd.eppo.int/taxon/AGRLFL/documents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Technical Document No. 1093. Pest risk analysis for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(Coleoptera: Buprestidae). EPPO, Paris. </w:t>
      </w:r>
      <w:hyperlink r:id="rId93676a9babc24e2fb" w:history="1">
        <w:r>
          <w:rPr>
            <w:rFonts w:ascii="Calibri" w:hAnsi="Calibri" w:eastAsia="Calibri" w:cs="Calibri"/>
            <w:color w:val="0000CC"/>
            <w:sz w:val="22"/>
            <w:szCs w:val="22"/>
            <w:u w:val="single"/>
          </w:rPr>
          <w:t xml:space="preserve">https://gd.eppo.int/taxon/AGRLMA/documents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Feng K, Wang D, Qin Y, Chen J (2013) Occurrence and control of the apple wing-through moth and apple borer.</w:t>
      </w:r>
      <w:r>
        <w:rPr>
          <w:rFonts w:ascii="Calibri" w:hAnsi="Calibri" w:eastAsia="Calibri" w:cs="Calibri"/>
          <w:i/>
          <w:iCs/>
          <w:color w:val="000000"/>
          <w:sz w:val="22"/>
          <w:szCs w:val="22"/>
        </w:rPr>
        <w:t xml:space="preserve"> Plant Protection</w:t>
      </w:r>
      <w:r>
        <w:rPr>
          <w:rFonts w:ascii="Calibri" w:hAnsi="Calibri" w:eastAsia="Calibri" w:cs="Calibri"/>
          <w:color w:val="000000"/>
          <w:sz w:val="22"/>
          <w:szCs w:val="22"/>
        </w:rPr>
        <w:t xml:space="preserve"> 1, 23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Gninenko YI, Mozolevskaya EG, Baranchikov YN, Klukin MS, Yurchenko GI (2012) Emerald Ash Borer – Sampling in the Forests of European part of Russia. Moscow: VNIILM. 20 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Guli N, Wang J (2013) The occurrence of the small apple borer in apples. Patterns and control measures. </w:t>
      </w:r>
      <w:r>
        <w:rPr>
          <w:rFonts w:ascii="Calibri" w:hAnsi="Calibri" w:eastAsia="Calibri" w:cs="Calibri"/>
          <w:i/>
          <w:iCs/>
          <w:color w:val="000000"/>
          <w:sz w:val="22"/>
          <w:szCs w:val="22"/>
        </w:rPr>
        <w:t xml:space="preserve">Plant Protection</w:t>
      </w:r>
      <w:r>
        <w:rPr>
          <w:rFonts w:ascii="Calibri" w:hAnsi="Calibri" w:eastAsia="Calibri" w:cs="Calibri"/>
          <w:color w:val="000000"/>
          <w:sz w:val="22"/>
          <w:szCs w:val="22"/>
        </w:rPr>
        <w:t xml:space="preserve"> 9, 33–34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Guo Y, Ma W (2010) Control techniques for apple beetle in Qinghai Province. </w:t>
      </w:r>
      <w:r>
        <w:rPr>
          <w:rFonts w:ascii="Calibri" w:hAnsi="Calibri" w:eastAsia="Calibri" w:cs="Calibri"/>
          <w:i/>
          <w:iCs/>
          <w:color w:val="000000"/>
          <w:sz w:val="22"/>
          <w:szCs w:val="22"/>
        </w:rPr>
        <w:t xml:space="preserve">Modern Horticulture Green Plant Protection</w:t>
      </w:r>
      <w:r>
        <w:rPr>
          <w:rFonts w:ascii="Calibri" w:hAnsi="Calibri" w:eastAsia="Calibri" w:cs="Calibri"/>
          <w:color w:val="000000"/>
          <w:sz w:val="22"/>
          <w:szCs w:val="22"/>
        </w:rPr>
        <w:t xml:space="preserve"> 5, 57–58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Han Z-D (2002) Controlling technique of apple branch borer. </w:t>
      </w:r>
      <w:r>
        <w:rPr>
          <w:rFonts w:ascii="Calibri" w:hAnsi="Calibri" w:eastAsia="Calibri" w:cs="Calibri"/>
          <w:i/>
          <w:iCs/>
          <w:color w:val="000000"/>
          <w:sz w:val="22"/>
          <w:szCs w:val="22"/>
        </w:rPr>
        <w:t xml:space="preserve">Qinghai Agriculture and Forestry Science and Technology</w:t>
      </w:r>
      <w:r>
        <w:rPr>
          <w:rFonts w:ascii="Calibri" w:hAnsi="Calibri" w:eastAsia="Calibri" w:cs="Calibri"/>
          <w:color w:val="000000"/>
          <w:sz w:val="22"/>
          <w:szCs w:val="22"/>
        </w:rPr>
        <w:t xml:space="preserve"> 3, 59 (In Chinese;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IUCN (2023) The IUCN Red List of Threatened Species. Available at: </w:t>
      </w:r>
      <w:hyperlink r:id="rId34576a9babc24e46c" w:history="1">
        <w:r>
          <w:rPr>
            <w:rFonts w:ascii="Calibri" w:hAnsi="Calibri" w:eastAsia="Calibri" w:cs="Calibri"/>
            <w:color w:val="0000CC"/>
            <w:sz w:val="22"/>
            <w:szCs w:val="22"/>
            <w:u w:val="single"/>
          </w:rPr>
          <w:t xml:space="preserve">https://www.iucnredlist.org</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Grebennikov V (2011) Agrilus</w:t>
      </w:r>
      <w:r>
        <w:rPr>
          <w:rFonts w:ascii="Calibri" w:hAnsi="Calibri" w:eastAsia="Calibri" w:cs="Calibri"/>
          <w:i/>
          <w:iCs/>
          <w:color w:val="000000"/>
          <w:sz w:val="22"/>
          <w:szCs w:val="22"/>
        </w:rPr>
        <w:t xml:space="preserve"> (Coleoptera, Buprestidae) of East Asia</w:t>
      </w:r>
      <w:r>
        <w:rPr>
          <w:rFonts w:ascii="Calibri" w:hAnsi="Calibri" w:eastAsia="Calibri" w:cs="Calibri"/>
          <w:color w:val="000000"/>
          <w:sz w:val="22"/>
          <w:szCs w:val="22"/>
        </w:rPr>
        <w:t xml:space="preserve">. Prague, Czech Republic: Nakladatelství Jan Farkač.</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Grebennikov V (2023) Summary of native geographic distribution of all 3,341 species of the most speciose animal genus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(Coleoptera: Buprestidae). </w:t>
      </w:r>
      <w:r>
        <w:rPr>
          <w:rFonts w:ascii="Calibri" w:hAnsi="Calibri" w:eastAsia="Calibri" w:cs="Calibri"/>
          <w:i/>
          <w:iCs/>
          <w:color w:val="000000"/>
          <w:sz w:val="22"/>
          <w:szCs w:val="22"/>
        </w:rPr>
        <w:t xml:space="preserve">Journal of Insect Biodiversity</w:t>
      </w:r>
      <w:r>
        <w:rPr>
          <w:rFonts w:ascii="Calibri" w:hAnsi="Calibri" w:eastAsia="Calibri" w:cs="Calibri"/>
          <w:color w:val="000000"/>
          <w:sz w:val="22"/>
          <w:szCs w:val="22"/>
        </w:rPr>
        <w:t xml:space="preserve"> 39(2), 32–78. </w:t>
      </w:r>
      <w:hyperlink r:id="rId92716a9babc24e52b" w:history="1">
        <w:r>
          <w:rPr>
            <w:rFonts w:ascii="Calibri" w:hAnsi="Calibri" w:eastAsia="Calibri" w:cs="Calibri"/>
            <w:color w:val="0000CC"/>
            <w:sz w:val="22"/>
            <w:szCs w:val="22"/>
            <w:u w:val="single"/>
          </w:rPr>
          <w:t xml:space="preserve">https://www.mapress.com/jib/article/view/2023.39.2.1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Jendek E, Poláková J (2014) Host Plants of World </w:t>
      </w:r>
      <w:r>
        <w:rPr>
          <w:rFonts w:ascii="Calibri" w:hAnsi="Calibri" w:eastAsia="Calibri" w:cs="Calibri"/>
          <w:i/>
          <w:iCs/>
          <w:color w:val="000000"/>
          <w:sz w:val="22"/>
          <w:szCs w:val="22"/>
        </w:rPr>
        <w:t xml:space="preserve">Agrilus</w:t>
      </w:r>
      <w:r>
        <w:rPr>
          <w:rFonts w:ascii="Calibri" w:hAnsi="Calibri" w:eastAsia="Calibri" w:cs="Calibri"/>
          <w:color w:val="000000"/>
          <w:sz w:val="22"/>
          <w:szCs w:val="22"/>
        </w:rPr>
        <w:t xml:space="preserve"> (Coleoptera, Buprestidae). A Critical Review. Cham, Switzerland: Springer. </w:t>
      </w:r>
      <w:hyperlink r:id="rId29466a9babc24e58b" w:history="1">
        <w:r>
          <w:rPr>
            <w:rFonts w:ascii="Calibri" w:hAnsi="Calibri" w:eastAsia="Calibri" w:cs="Calibri"/>
            <w:color w:val="0000CC"/>
            <w:sz w:val="22"/>
            <w:szCs w:val="22"/>
            <w:u w:val="single"/>
          </w:rPr>
          <w:t xml:space="preserve">https://doi.org/10.1007/978-3-319-08410-7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Ji Y, Ji R, Huang R-X (2004) Invasive species –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Matsumura and damage in Xinjiang. </w:t>
      </w:r>
      <w:r>
        <w:rPr>
          <w:rFonts w:ascii="Calibri" w:hAnsi="Calibri" w:eastAsia="Calibri" w:cs="Calibri"/>
          <w:i/>
          <w:iCs/>
          <w:color w:val="000000"/>
          <w:sz w:val="22"/>
          <w:szCs w:val="22"/>
        </w:rPr>
        <w:t xml:space="preserve">Xinjiang Agricultural Sciences</w:t>
      </w:r>
      <w:r>
        <w:rPr>
          <w:rFonts w:ascii="Calibri" w:hAnsi="Calibri" w:eastAsia="Calibri" w:cs="Calibri"/>
          <w:color w:val="000000"/>
          <w:sz w:val="22"/>
          <w:szCs w:val="22"/>
        </w:rPr>
        <w:t xml:space="preserve"> 41(1), 31–33. (in Chinese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Lelito JP, Domingue MJ, Fraser I, Mastro VC, Tumlinson JH, Baker TC (2011) Field investigation of mating behaviour of </w:t>
      </w:r>
      <w:r>
        <w:rPr>
          <w:rFonts w:ascii="Calibri" w:hAnsi="Calibri" w:eastAsia="Calibri" w:cs="Calibri"/>
          <w:i/>
          <w:iCs/>
          <w:color w:val="000000"/>
          <w:sz w:val="22"/>
          <w:szCs w:val="22"/>
        </w:rPr>
        <w:t xml:space="preserve">Agrilus cyanescens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Agrilus subcinctus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143(4), 370–379. </w:t>
      </w:r>
      <w:hyperlink r:id="rId76086a9babc24e687" w:history="1">
        <w:r>
          <w:rPr>
            <w:rFonts w:ascii="Calibri" w:hAnsi="Calibri" w:eastAsia="Calibri" w:cs="Calibri"/>
            <w:color w:val="0000CC"/>
            <w:sz w:val="22"/>
            <w:szCs w:val="22"/>
            <w:u w:val="single"/>
          </w:rPr>
          <w:t xml:space="preserve">https://doi.org/10.4039/n11-011</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Lelito P, Fraser I, Mastro V, Tumlinson J, Böröczky K, Baker T (2007) Visually mediated paratrooper copulations’ in the mating behavior of </w:t>
      </w:r>
      <w:r>
        <w:rPr>
          <w:rFonts w:ascii="Calibri" w:hAnsi="Calibri" w:eastAsia="Calibri" w:cs="Calibri"/>
          <w:i/>
          <w:iCs/>
          <w:color w:val="000000"/>
          <w:sz w:val="22"/>
          <w:szCs w:val="22"/>
        </w:rPr>
        <w:t xml:space="preserve">Agrilus planipennis</w:t>
      </w:r>
      <w:r>
        <w:rPr>
          <w:rFonts w:ascii="Calibri" w:hAnsi="Calibri" w:eastAsia="Calibri" w:cs="Calibri"/>
          <w:color w:val="000000"/>
          <w:sz w:val="22"/>
          <w:szCs w:val="22"/>
        </w:rPr>
        <w:t xml:space="preserve"> (Coleoptera: Buprestidae), a highly destructive invasive pest of North American ash trees. </w:t>
      </w:r>
      <w:r>
        <w:rPr>
          <w:rFonts w:ascii="Calibri" w:hAnsi="Calibri" w:eastAsia="Calibri" w:cs="Calibri"/>
          <w:i/>
          <w:iCs/>
          <w:color w:val="000000"/>
          <w:sz w:val="22"/>
          <w:szCs w:val="22"/>
        </w:rPr>
        <w:t xml:space="preserve">Journal of Insect Behavior</w:t>
      </w:r>
      <w:r>
        <w:rPr>
          <w:rFonts w:ascii="Calibri" w:hAnsi="Calibri" w:eastAsia="Calibri" w:cs="Calibri"/>
          <w:color w:val="000000"/>
          <w:sz w:val="22"/>
          <w:szCs w:val="22"/>
        </w:rPr>
        <w:t xml:space="preserve"> 20, 537–552. </w:t>
      </w:r>
      <w:hyperlink r:id="rId82226a9babc24e704" w:history="1">
        <w:r>
          <w:rPr>
            <w:rFonts w:ascii="Calibri" w:hAnsi="Calibri" w:eastAsia="Calibri" w:cs="Calibri"/>
            <w:color w:val="0000CC"/>
            <w:sz w:val="22"/>
            <w:szCs w:val="22"/>
            <w:u w:val="single"/>
          </w:rPr>
          <w:t xml:space="preserve">https://doi.org/10.1007/s10905-007-9097-9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Li ML, Zhang ZQ (2017) Discussion on biology and life history associated with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Matsumura. </w:t>
      </w:r>
      <w:r>
        <w:rPr>
          <w:rFonts w:ascii="Calibri" w:hAnsi="Calibri" w:eastAsia="Calibri" w:cs="Calibri"/>
          <w:i/>
          <w:iCs/>
          <w:color w:val="000000"/>
          <w:sz w:val="22"/>
          <w:szCs w:val="22"/>
        </w:rPr>
        <w:t xml:space="preserve">Journal of Northwest Forestry University</w:t>
      </w:r>
      <w:r>
        <w:rPr>
          <w:rFonts w:ascii="Calibri" w:hAnsi="Calibri" w:eastAsia="Calibri" w:cs="Calibri"/>
          <w:color w:val="000000"/>
          <w:sz w:val="22"/>
          <w:szCs w:val="22"/>
        </w:rPr>
        <w:t xml:space="preserve"> 32(4), 139–146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Li W (2019) Patterns of occurrence and control techniques of the small apple beetle. </w:t>
      </w:r>
      <w:r>
        <w:rPr>
          <w:rFonts w:ascii="Calibri" w:hAnsi="Calibri" w:eastAsia="Calibri" w:cs="Calibri"/>
          <w:i/>
          <w:iCs/>
          <w:color w:val="000000"/>
          <w:sz w:val="22"/>
          <w:szCs w:val="22"/>
        </w:rPr>
        <w:t xml:space="preserve">Qinghai Agricultural Technology Extension. Economic Crops</w:t>
      </w:r>
      <w:r>
        <w:rPr>
          <w:rFonts w:ascii="Calibri" w:hAnsi="Calibri" w:eastAsia="Calibri" w:cs="Calibri"/>
          <w:color w:val="000000"/>
          <w:sz w:val="22"/>
          <w:szCs w:val="22"/>
        </w:rPr>
        <w:t xml:space="preserve"> 4, 24–25, 33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Linyi Agro-Forestry Bureau (1973) Doing good phytosanitary work to eradicate apple borer. Shandong Agricultural Sciences. Pp. 7–9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Liu A, Zhang X, Wen J, Yue C, Wang D, Alimu, Wang Y, Zhang J, Ke R (2013) Risk analysis and management countermeasures of the invasion of Xinjiang by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Jiangsu Agricultural Science</w:t>
      </w:r>
      <w:r>
        <w:rPr>
          <w:rFonts w:ascii="Calibri" w:hAnsi="Calibri" w:eastAsia="Calibri" w:cs="Calibri"/>
          <w:color w:val="000000"/>
          <w:sz w:val="22"/>
          <w:szCs w:val="22"/>
        </w:rPr>
        <w:t xml:space="preserve"> 41(3), 105–107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Lu Z, Liu X, Wang T, Zhang P, Wang Z, Zhang Y, Kriticos DJ, Zalucki MP (2022) Malice at the Gates of Eden: Current and future distribution of</w:t>
      </w:r>
      <w:r>
        <w:rPr>
          <w:rFonts w:ascii="Calibri" w:hAnsi="Calibri" w:eastAsia="Calibri" w:cs="Calibri"/>
          <w:i/>
          <w:iCs/>
          <w:color w:val="000000"/>
          <w:sz w:val="22"/>
          <w:szCs w:val="22"/>
        </w:rPr>
        <w:t xml:space="preserve"> Agrilus mali </w:t>
      </w:r>
      <w:r>
        <w:rPr>
          <w:rFonts w:ascii="Calibri" w:hAnsi="Calibri" w:eastAsia="Calibri" w:cs="Calibri"/>
          <w:color w:val="000000"/>
          <w:sz w:val="22"/>
          <w:szCs w:val="22"/>
        </w:rPr>
        <w:t xml:space="preserve">threatening wild and domestic apples.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112(6), 745–757. </w:t>
      </w:r>
      <w:hyperlink r:id="rId81786a9babc24e89a" w:history="1">
        <w:r>
          <w:rPr>
            <w:rFonts w:ascii="Calibri" w:hAnsi="Calibri" w:eastAsia="Calibri" w:cs="Calibri"/>
            <w:color w:val="0000CC"/>
            <w:sz w:val="22"/>
            <w:szCs w:val="22"/>
            <w:u w:val="single"/>
          </w:rPr>
          <w:t xml:space="preserve">doi:10.1017/S000748532200013X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Ma Z-L, Yao Y-X, Adili S (2021) A preliminary study on the field-diffusion behavior of </w:t>
      </w:r>
      <w:r>
        <w:rPr>
          <w:rFonts w:ascii="Calibri" w:hAnsi="Calibri" w:eastAsia="Calibri" w:cs="Calibri"/>
          <w:i/>
          <w:iCs/>
          <w:color w:val="000000"/>
          <w:sz w:val="22"/>
          <w:szCs w:val="22"/>
        </w:rPr>
        <w:t xml:space="preserve">Agrilus mali </w:t>
      </w:r>
      <w:r>
        <w:rPr>
          <w:rFonts w:ascii="Calibri" w:hAnsi="Calibri" w:eastAsia="Calibri" w:cs="Calibri"/>
          <w:color w:val="000000"/>
          <w:sz w:val="22"/>
          <w:szCs w:val="22"/>
        </w:rPr>
        <w:t xml:space="preserve">Matsumura (Coleoptera: Bupres[t]idea).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(China) 34 (1), 173–180 (In Chinese with English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Matsumura S (1924) Life history of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 (Buprestidae). In: Muramatsu S (Ed.) Bionomics on apple trees in China and Korea. Korea Agricultural Experiment Station. Report No. 11; pp. 1–21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Meurisse N, Rassati D, Hurley BP, Brockerhoff EG, Haack RA (2018) Common pathways by which non-native forest insects move internationally and domestically.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92, 13–27. </w:t>
      </w:r>
      <w:hyperlink r:id="rId20076a9babc24e9a2" w:history="1">
        <w:r>
          <w:rPr>
            <w:rFonts w:ascii="Calibri" w:hAnsi="Calibri" w:eastAsia="Calibri" w:cs="Calibri"/>
            <w:color w:val="0000CC"/>
            <w:sz w:val="22"/>
            <w:szCs w:val="22"/>
            <w:u w:val="single"/>
          </w:rPr>
          <w:t xml:space="preserve">https://doi.org/10.1007/s10340-018-0990-0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Nikritin LM (1994) Apple buprestid beetle.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(Plant Protection, USSR) 3, 46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Nikritin LM, Shutova NN (1985) Apple buprestid beetle.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(Plant Protection, USSR) 1, 44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Plant Protection Research Group of Heilongjiang Horticulture Research Institute (1977) Control methods of </w:t>
      </w:r>
      <w:r>
        <w:rPr>
          <w:rFonts w:ascii="Calibri" w:hAnsi="Calibri" w:eastAsia="Calibri" w:cs="Calibri"/>
          <w:i/>
          <w:iCs/>
          <w:color w:val="000000"/>
          <w:sz w:val="22"/>
          <w:szCs w:val="22"/>
        </w:rPr>
        <w:t xml:space="preserve">Agrilus mali. Northern Horticulture</w:t>
      </w:r>
      <w:r>
        <w:rPr>
          <w:rFonts w:ascii="Calibri" w:hAnsi="Calibri" w:eastAsia="Calibri" w:cs="Calibri"/>
          <w:color w:val="000000"/>
          <w:sz w:val="22"/>
          <w:szCs w:val="22"/>
        </w:rPr>
        <w:t xml:space="preserve"> 2, 42–45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State Forestry Administration (2013) List of National Forest Quarantine Pests (in Chinese). </w:t>
      </w:r>
      <w:hyperlink r:id="rId88376a9babc24ea9e" w:history="1">
        <w:r>
          <w:rPr>
            <w:rFonts w:ascii="Calibri" w:hAnsi="Calibri" w:eastAsia="Calibri" w:cs="Calibri"/>
            <w:color w:val="0000CC"/>
            <w:sz w:val="22"/>
            <w:szCs w:val="22"/>
            <w:u w:val="single"/>
          </w:rPr>
          <w:t xml:space="preserve">https://www.gov.cn/gzdt/att/att/site1/20130115/782bcb888c4d125f076501.pdf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Sun H, Jia F, Zhao W, Zhou Z, Li C, Wang J, Yao Y (2022) Population genetics reveals that the Western Tianshan Mountains populations of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(Coleoptera: Buprestidae) may have not been recently introduced. </w:t>
      </w:r>
      <w:r>
        <w:rPr>
          <w:rFonts w:ascii="Calibri" w:hAnsi="Calibri" w:eastAsia="Calibri" w:cs="Calibri"/>
          <w:i/>
          <w:iCs/>
          <w:color w:val="000000"/>
          <w:sz w:val="22"/>
          <w:szCs w:val="22"/>
        </w:rPr>
        <w:t xml:space="preserve">Frontiers in Genetics</w:t>
      </w:r>
      <w:r>
        <w:rPr>
          <w:rFonts w:ascii="Calibri" w:hAnsi="Calibri" w:eastAsia="Calibri" w:cs="Calibri"/>
          <w:color w:val="000000"/>
          <w:sz w:val="22"/>
          <w:szCs w:val="22"/>
        </w:rPr>
        <w:t xml:space="preserve"> 13, 857866. </w:t>
      </w:r>
      <w:hyperlink r:id="rId54076a9babc24eb1d" w:history="1">
        <w:r>
          <w:rPr>
            <w:rFonts w:ascii="Calibri" w:hAnsi="Calibri" w:eastAsia="Calibri" w:cs="Calibri"/>
            <w:color w:val="0000CC"/>
            <w:sz w:val="22"/>
            <w:szCs w:val="22"/>
            <w:u w:val="single"/>
          </w:rPr>
          <w:t xml:space="preserve">https://doi.org/10.3389/fgene.2022.857866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Sun Y-C, Liang YY, Sun H (1979) Studies on the apple buprestid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 in Shensi. </w:t>
      </w:r>
      <w:r>
        <w:rPr>
          <w:rFonts w:ascii="Calibri" w:hAnsi="Calibri" w:eastAsia="Calibri" w:cs="Calibri"/>
          <w:i/>
          <w:iCs/>
          <w:color w:val="000000"/>
          <w:sz w:val="22"/>
          <w:szCs w:val="22"/>
        </w:rPr>
        <w:t xml:space="preserve">Journal of Northwest Agricultural University</w:t>
      </w:r>
      <w:r>
        <w:rPr>
          <w:rFonts w:ascii="Calibri" w:hAnsi="Calibri" w:eastAsia="Calibri" w:cs="Calibri"/>
          <w:color w:val="000000"/>
          <w:sz w:val="22"/>
          <w:szCs w:val="22"/>
        </w:rPr>
        <w:t xml:space="preserve"> 2, 47–56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Tang H, Zheng J, Wang D (2022) An effective method for biological control of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(Coleoptera: Cerambycidae) by using a vector mite, </w:t>
      </w:r>
      <w:r>
        <w:rPr>
          <w:rFonts w:ascii="Calibri" w:hAnsi="Calibri" w:eastAsia="Calibri" w:cs="Calibri"/>
          <w:i/>
          <w:iCs/>
          <w:color w:val="000000"/>
          <w:sz w:val="22"/>
          <w:szCs w:val="22"/>
        </w:rPr>
        <w:t xml:space="preserve">Pyemotes moseri</w:t>
      </w:r>
      <w:r>
        <w:rPr>
          <w:rFonts w:ascii="Calibri" w:hAnsi="Calibri" w:eastAsia="Calibri" w:cs="Calibri"/>
          <w:color w:val="000000"/>
          <w:sz w:val="22"/>
          <w:szCs w:val="22"/>
        </w:rPr>
        <w:t xml:space="preserve"> (Acarina: Pyemotidae), carrying insecticidal fungi. </w:t>
      </w:r>
      <w:r>
        <w:rPr>
          <w:rFonts w:ascii="Calibri" w:hAnsi="Calibri" w:eastAsia="Calibri" w:cs="Calibri"/>
          <w:i/>
          <w:iCs/>
          <w:color w:val="000000"/>
          <w:sz w:val="22"/>
          <w:szCs w:val="22"/>
        </w:rPr>
        <w:t xml:space="preserve">Scientia Silvae Sinicae</w:t>
      </w:r>
      <w:r>
        <w:rPr>
          <w:rFonts w:ascii="Calibri" w:hAnsi="Calibri" w:eastAsia="Calibri" w:cs="Calibri"/>
          <w:color w:val="000000"/>
          <w:sz w:val="22"/>
          <w:szCs w:val="22"/>
        </w:rPr>
        <w:t xml:space="preserve"> 58(8), 158–164 (in Chinese,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Volkovitsh MG, Kovalev AV, Orlova-Bienkowskaja MJ (2020) Current distribution and diagnostic features of two potentially invasive Asian buprestid species: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Matsumura and </w:t>
      </w:r>
      <w:r>
        <w:rPr>
          <w:rFonts w:ascii="Calibri" w:hAnsi="Calibri" w:eastAsia="Calibri" w:cs="Calibri"/>
          <w:i/>
          <w:iCs/>
          <w:color w:val="000000"/>
          <w:sz w:val="22"/>
          <w:szCs w:val="22"/>
        </w:rPr>
        <w:t xml:space="preserve">A. fleischeri</w:t>
      </w:r>
      <w:r>
        <w:rPr>
          <w:rFonts w:ascii="Calibri" w:hAnsi="Calibri" w:eastAsia="Calibri" w:cs="Calibri"/>
          <w:color w:val="000000"/>
          <w:sz w:val="22"/>
          <w:szCs w:val="22"/>
        </w:rPr>
        <w:t xml:space="preserve"> Obenberger (Coleoptera: Buprestidae).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11, 493. </w:t>
      </w:r>
      <w:hyperlink r:id="rId20056a9babc24ec86" w:history="1">
        <w:r>
          <w:rPr>
            <w:rFonts w:ascii="Calibri" w:hAnsi="Calibri" w:eastAsia="Calibri" w:cs="Calibri"/>
            <w:color w:val="0000CC"/>
            <w:sz w:val="22"/>
            <w:szCs w:val="22"/>
            <w:u w:val="single"/>
          </w:rPr>
          <w:t xml:space="preserve">https://doi.org/10.3390/insects11080493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Z, Yang Z, Zhang Y, Wang X, Tang Y, Sun Q, Xu Z (2014) Biological control of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(Coleoptera: Buprestidae) by applying four species of bethylid wasp (Hymenoptera: Bethylidae) on </w:t>
      </w:r>
      <w:r>
        <w:rPr>
          <w:rFonts w:ascii="Calibri" w:hAnsi="Calibri" w:eastAsia="Calibri" w:cs="Calibri"/>
          <w:i/>
          <w:iCs/>
          <w:color w:val="000000"/>
          <w:sz w:val="22"/>
          <w:szCs w:val="22"/>
        </w:rPr>
        <w:t xml:space="preserve">Malus sieversii</w:t>
      </w:r>
      <w:r>
        <w:rPr>
          <w:rFonts w:ascii="Calibri" w:hAnsi="Calibri" w:eastAsia="Calibri" w:cs="Calibri"/>
          <w:color w:val="000000"/>
          <w:sz w:val="22"/>
          <w:szCs w:val="22"/>
        </w:rPr>
        <w:t xml:space="preserve"> in Xinjiang. </w:t>
      </w:r>
      <w:r>
        <w:rPr>
          <w:rFonts w:ascii="Calibri" w:hAnsi="Calibri" w:eastAsia="Calibri" w:cs="Calibri"/>
          <w:i/>
          <w:iCs/>
          <w:color w:val="000000"/>
          <w:sz w:val="22"/>
          <w:szCs w:val="22"/>
        </w:rPr>
        <w:t xml:space="preserve">Scientia Silvae Sinicae</w:t>
      </w:r>
      <w:r>
        <w:rPr>
          <w:rFonts w:ascii="Calibri" w:hAnsi="Calibri" w:eastAsia="Calibri" w:cs="Calibri"/>
          <w:color w:val="000000"/>
          <w:sz w:val="22"/>
          <w:szCs w:val="22"/>
        </w:rPr>
        <w:t xml:space="preserve"> 50(8), 97–101 (in Chinese with English Abstract). </w:t>
      </w:r>
    </w:p>
    <w:p>
      <w:pPr>
        <w:widowControl w:val="on"/>
        <w:pBdr/>
        <w:spacing w:before="220" w:after="220" w:line="240" w:lineRule="auto"/>
        <w:ind w:left="0" w:right="0"/>
        <w:jc w:val="left"/>
      </w:pPr>
      <w:r>
        <w:rPr>
          <w:rFonts w:ascii="Calibri" w:hAnsi="Calibri" w:eastAsia="Calibri" w:cs="Calibri"/>
          <w:color w:val="000000"/>
          <w:sz w:val="22"/>
          <w:szCs w:val="22"/>
        </w:rPr>
        <w:t xml:space="preserve">Wang ZY (2013) Researchs on biological control of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Matsumura (Coleoptera: Buprestidae) in stands of </w:t>
      </w:r>
      <w:r>
        <w:rPr>
          <w:rFonts w:ascii="Calibri" w:hAnsi="Calibri" w:eastAsia="Calibri" w:cs="Calibri"/>
          <w:i/>
          <w:iCs/>
          <w:color w:val="000000"/>
          <w:sz w:val="22"/>
          <w:szCs w:val="22"/>
        </w:rPr>
        <w:t xml:space="preserve">Malus sieversii</w:t>
      </w:r>
      <w:r>
        <w:rPr>
          <w:rFonts w:ascii="Calibri" w:hAnsi="Calibri" w:eastAsia="Calibri" w:cs="Calibri"/>
          <w:color w:val="000000"/>
          <w:sz w:val="22"/>
          <w:szCs w:val="22"/>
        </w:rPr>
        <w:t xml:space="preserve"> in Xinjiang. PhD Thesis, Chinese Academy of Forestry, Beijing, China.</w:t>
      </w:r>
    </w:p>
    <w:p>
      <w:pPr>
        <w:widowControl w:val="on"/>
        <w:pBdr/>
        <w:spacing w:before="220" w:after="220" w:line="240" w:lineRule="auto"/>
        <w:ind w:left="0" w:right="0"/>
        <w:jc w:val="left"/>
      </w:pPr>
      <w:r>
        <w:rPr>
          <w:rFonts w:ascii="Calibri" w:hAnsi="Calibri" w:eastAsia="Calibri" w:cs="Calibri"/>
          <w:color w:val="000000"/>
          <w:sz w:val="22"/>
          <w:szCs w:val="22"/>
        </w:rPr>
        <w:t xml:space="preserve">Wang Z-Y, Zhang Y-L, Yang Z-Q, Wang X-Y (2013) Determination of larval instars of </w:t>
      </w:r>
      <w:r>
        <w:rPr>
          <w:rFonts w:ascii="Calibri" w:hAnsi="Calibri" w:eastAsia="Calibri" w:cs="Calibri"/>
          <w:i/>
          <w:iCs/>
          <w:color w:val="000000"/>
          <w:sz w:val="22"/>
          <w:szCs w:val="22"/>
        </w:rPr>
        <w:t xml:space="preserve">Agrilus mali </w:t>
      </w:r>
      <w:r>
        <w:rPr>
          <w:rFonts w:ascii="Calibri" w:hAnsi="Calibri" w:eastAsia="Calibri" w:cs="Calibri"/>
          <w:color w:val="000000"/>
          <w:sz w:val="22"/>
          <w:szCs w:val="22"/>
        </w:rPr>
        <w:t xml:space="preserve">Matsumura (Coleoptera: Buprestidae). </w:t>
      </w:r>
      <w:r>
        <w:rPr>
          <w:rFonts w:ascii="Calibri" w:hAnsi="Calibri" w:eastAsia="Calibri" w:cs="Calibri"/>
          <w:i/>
          <w:iCs/>
          <w:color w:val="000000"/>
          <w:sz w:val="22"/>
          <w:szCs w:val="22"/>
        </w:rPr>
        <w:t xml:space="preserve">Forest Research</w:t>
      </w:r>
      <w:r>
        <w:rPr>
          <w:rFonts w:ascii="Calibri" w:hAnsi="Calibri" w:eastAsia="Calibri" w:cs="Calibri"/>
          <w:color w:val="000000"/>
          <w:sz w:val="22"/>
          <w:szCs w:val="22"/>
        </w:rPr>
        <w:t xml:space="preserve"> 26(6), 786–789 (In Chinese; with English Summary).</w:t>
      </w:r>
    </w:p>
    <w:p>
      <w:pPr>
        <w:widowControl w:val="on"/>
        <w:pBdr/>
        <w:spacing w:before="220" w:after="220" w:line="240" w:lineRule="auto"/>
        <w:ind w:left="0" w:right="0"/>
        <w:jc w:val="left"/>
      </w:pPr>
      <w:r>
        <w:rPr>
          <w:rFonts w:ascii="Calibri" w:hAnsi="Calibri" w:eastAsia="Calibri" w:cs="Calibri"/>
          <w:color w:val="000000"/>
          <w:sz w:val="22"/>
          <w:szCs w:val="22"/>
        </w:rPr>
        <w:t xml:space="preserve">Xiang SH (1997) Occurrence and control method of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Matsumura. </w:t>
      </w:r>
      <w:r>
        <w:rPr>
          <w:rFonts w:ascii="Calibri" w:hAnsi="Calibri" w:eastAsia="Calibri" w:cs="Calibri"/>
          <w:i/>
          <w:iCs/>
          <w:color w:val="000000"/>
          <w:sz w:val="22"/>
          <w:szCs w:val="22"/>
        </w:rPr>
        <w:t xml:space="preserve">South China Fruits</w:t>
      </w:r>
      <w:r>
        <w:rPr>
          <w:rFonts w:ascii="Calibri" w:hAnsi="Calibri" w:eastAsia="Calibri" w:cs="Calibri"/>
          <w:color w:val="000000"/>
          <w:sz w:val="22"/>
          <w:szCs w:val="22"/>
        </w:rPr>
        <w:t xml:space="preserve"> 26(2), 41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Yang ZQ, Chen ZX (1956) Strengthening the control of the quarantine pest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Matsumura. </w:t>
      </w:r>
      <w:r>
        <w:rPr>
          <w:rFonts w:ascii="Calibri" w:hAnsi="Calibri" w:eastAsia="Calibri" w:cs="Calibri"/>
          <w:i/>
          <w:iCs/>
          <w:color w:val="000000"/>
          <w:sz w:val="22"/>
          <w:szCs w:val="22"/>
        </w:rPr>
        <w:t xml:space="preserve">Agricultural Science Communication</w:t>
      </w:r>
      <w:r>
        <w:rPr>
          <w:rFonts w:ascii="Calibri" w:hAnsi="Calibri" w:eastAsia="Calibri" w:cs="Calibri"/>
          <w:color w:val="000000"/>
          <w:sz w:val="22"/>
          <w:szCs w:val="22"/>
        </w:rPr>
        <w:t xml:space="preserve"> 6, 371–374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P, Cui Z, Xu H, Ali A, Zhang X, Liu X, Zhang Y, Zhou X, Lu Z (2020) Thirst or malnutrition: The impacts of invasive insect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on the physiological status of wild apple trees.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11, 440. </w:t>
      </w:r>
      <w:hyperlink r:id="rId41696a9babc24eee7" w:history="1">
        <w:r>
          <w:rPr>
            <w:rFonts w:ascii="Calibri" w:hAnsi="Calibri" w:eastAsia="Calibri" w:cs="Calibri"/>
            <w:color w:val="0000CC"/>
            <w:sz w:val="22"/>
            <w:szCs w:val="22"/>
            <w:u w:val="single"/>
          </w:rPr>
          <w:t xml:space="preserve">https://doi.org/10.3390/f11040440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P, Li Y, Wang T, Zhang X, Zhang Y, Xu H, Jashenko R, Dong Z, Zalucki MP, Lu Z (2024a) Pruning can recover the health of wild apple forests attacked by the wood borer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in central Eurasia. </w:t>
      </w:r>
      <w:r>
        <w:rPr>
          <w:rFonts w:ascii="Calibri" w:hAnsi="Calibri" w:eastAsia="Calibri" w:cs="Calibri"/>
          <w:i/>
          <w:iCs/>
          <w:color w:val="000000"/>
          <w:sz w:val="22"/>
          <w:szCs w:val="22"/>
        </w:rPr>
        <w:t xml:space="preserve">Entomologia Generalis</w:t>
      </w:r>
      <w:r>
        <w:rPr>
          <w:rFonts w:ascii="Calibri" w:hAnsi="Calibri" w:eastAsia="Calibri" w:cs="Calibri"/>
          <w:color w:val="000000"/>
          <w:sz w:val="22"/>
          <w:szCs w:val="22"/>
        </w:rPr>
        <w:t xml:space="preserve"> 2297. </w:t>
      </w:r>
      <w:hyperlink r:id="rId31516a9babc24ef59" w:history="1">
        <w:r>
          <w:rPr>
            <w:rFonts w:ascii="Calibri" w:hAnsi="Calibri" w:eastAsia="Calibri" w:cs="Calibri"/>
            <w:color w:val="0000CC"/>
            <w:sz w:val="22"/>
            <w:szCs w:val="22"/>
            <w:u w:val="single"/>
          </w:rPr>
          <w:t xml:space="preserve">10.1127/entomologia/2024/2297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X, Zhang Y-L, Zhang P, Cui Z-J, Han P, Gao GZ, Poland TM, Zalucki MP, Lu Z-Z (2021) </w:t>
      </w:r>
      <w:r>
        <w:rPr>
          <w:rFonts w:ascii="Calibri" w:hAnsi="Calibri" w:eastAsia="Calibri" w:cs="Calibri"/>
          <w:i/>
          <w:iCs/>
          <w:color w:val="000000"/>
          <w:sz w:val="22"/>
          <w:szCs w:val="22"/>
        </w:rPr>
        <w:t xml:space="preserve">Agrilus mali </w:t>
      </w:r>
      <w:r>
        <w:rPr>
          <w:rFonts w:ascii="Calibri" w:hAnsi="Calibri" w:eastAsia="Calibri" w:cs="Calibri"/>
          <w:color w:val="000000"/>
          <w:sz w:val="22"/>
          <w:szCs w:val="22"/>
        </w:rPr>
        <w:t xml:space="preserve">Matsumura (Coleoptera: Buprestidae) density and damage in wild apple </w:t>
      </w:r>
      <w:r>
        <w:rPr>
          <w:rFonts w:ascii="Calibri" w:hAnsi="Calibri" w:eastAsia="Calibri" w:cs="Calibri"/>
          <w:i/>
          <w:iCs/>
          <w:color w:val="000000"/>
          <w:sz w:val="22"/>
          <w:szCs w:val="22"/>
        </w:rPr>
        <w:t xml:space="preserve">Malus sieversii </w:t>
      </w:r>
      <w:r>
        <w:rPr>
          <w:rFonts w:ascii="Calibri" w:hAnsi="Calibri" w:eastAsia="Calibri" w:cs="Calibri"/>
          <w:color w:val="000000"/>
          <w:sz w:val="22"/>
          <w:szCs w:val="22"/>
        </w:rPr>
        <w:t xml:space="preserve">(Rosales: Rosaceae) forests in Central Eurasia under four different management strategies. </w:t>
      </w:r>
      <w:r>
        <w:rPr>
          <w:rFonts w:ascii="Calibri" w:hAnsi="Calibri" w:eastAsia="Calibri" w:cs="Calibri"/>
          <w:i/>
          <w:iCs/>
          <w:color w:val="000000"/>
          <w:sz w:val="22"/>
          <w:szCs w:val="22"/>
        </w:rPr>
        <w:t xml:space="preserve">Entomologia Generalis</w:t>
      </w:r>
      <w:r>
        <w:rPr>
          <w:rFonts w:ascii="Calibri" w:hAnsi="Calibri" w:eastAsia="Calibri" w:cs="Calibri"/>
          <w:color w:val="000000"/>
          <w:sz w:val="22"/>
          <w:szCs w:val="22"/>
        </w:rPr>
        <w:t xml:space="preserve"> 41(3), 257–266. </w:t>
      </w:r>
      <w:hyperlink r:id="rId39936a9babc24efec" w:history="1">
        <w:r>
          <w:rPr>
            <w:rFonts w:ascii="Calibri" w:hAnsi="Calibri" w:eastAsia="Calibri" w:cs="Calibri"/>
            <w:color w:val="0000CC"/>
            <w:sz w:val="22"/>
            <w:szCs w:val="22"/>
            <w:u w:val="single"/>
          </w:rPr>
          <w:t xml:space="preserve">10.1127/entomologia/2021/0974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Zhang Y, Yang H, Jiamahate A, Yang H, Cao L, Dang Y, Lu Z, Yang Z, Bozorov TA, Wang X (2024b) Potential ecological distribution of the beetle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Matsumura (Coleoptera: Buprestidae) in China under three climate change scenarios, with consequences for commercial and wild apple forests.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13, 803. </w:t>
      </w:r>
      <w:hyperlink r:id="rId52946a9babc24f063" w:history="1">
        <w:r>
          <w:rPr>
            <w:rFonts w:ascii="Calibri" w:hAnsi="Calibri" w:eastAsia="Calibri" w:cs="Calibri"/>
            <w:color w:val="0000CC"/>
            <w:sz w:val="22"/>
            <w:szCs w:val="22"/>
            <w:u w:val="single"/>
          </w:rPr>
          <w:t xml:space="preserve">https://doi.org/10.3390/biology13100803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2026 by the EPPO Secretariat based on the PRA produced by an EPPO Expert Working Group in 2024. The Expert Working Group was composed of J.M. Guitian Castrillon (TRAGSATEC, Spain), B.A. Hatteland (NIBIO, Norway), C.F. McGee (DAFM, Ireland), K. Reed (Forest Research, the United Kingdom), M.G. Volkovitsh (Zoological Institute, Russian Academy of Sciences, the Russian Federation), X.-Y. Wang (Ecology and Nature Conservation Institute, Chinese Academy of Forestry, China), T. Wöhner (JKI, Germany), V. Grimault (EPPO), F. Grousset (Consultant for EPPO, Denmark), and D. Musolin (EPPO).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Agrilus mali</w:t>
      </w:r>
      <w:r>
        <w:rPr>
          <w:rFonts w:ascii="Calibri" w:hAnsi="Calibri" w:eastAsia="Calibri" w:cs="Calibri"/>
          <w:color w:val="000000"/>
          <w:sz w:val="22"/>
          <w:szCs w:val="22"/>
        </w:rPr>
        <w:t xml:space="preserve">. EPPO datasheets on pests recommended for regulation. Available online. </w:t>
      </w:r>
      <w:hyperlink r:id="rId39456a9babc24f13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(2026) Datasheets on  pests recommended for regulation.</w:t>
      </w:r>
      <w:r>
        <w:rPr>
          <w:rFonts w:ascii="Calibri" w:hAnsi="Calibri" w:eastAsia="Calibri" w:cs="Calibri"/>
          <w:i/>
          <w:iCs/>
          <w:color w:val="000000"/>
          <w:sz w:val="22"/>
          <w:szCs w:val="22"/>
        </w:rPr>
        <w:t xml:space="preserve"> Agrilus mali. E</w:t>
      </w:r>
      <w:r>
        <w:rPr>
          <w:rFonts w:ascii="Calibri" w:hAnsi="Calibri" w:eastAsia="Calibri" w:cs="Calibri"/>
          <w:i/>
          <w:iCs/>
          <w:color w:val="000000"/>
          <w:sz w:val="22"/>
          <w:szCs w:val="22"/>
        </w:rPr>
        <w:t xml:space="preserv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(2), 250-256 .  </w:t>
      </w:r>
      <w:hyperlink r:id="rId32756a9babc24f1f9" w:history="1">
        <w:r>
          <w:rPr>
            <w:rFonts w:ascii="Calibri" w:hAnsi="Calibri" w:eastAsia="Calibri" w:cs="Calibri"/>
            <w:color w:val="0000CC"/>
            <w:sz w:val="22"/>
            <w:szCs w:val="22"/>
            <w:u w:val="single"/>
          </w:rPr>
          <w:t xml:space="preserve">https://doi.org/10.1111/epp.70091</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560388">
    <w:multiLevelType w:val="hybridMultilevel"/>
    <w:lvl w:ilvl="0" w:tplc="59846195">
      <w:start w:val="1"/>
      <w:numFmt w:val="decimal"/>
      <w:lvlText w:val="%1."/>
      <w:lvlJc w:val="left"/>
      <w:pPr>
        <w:ind w:left="720" w:hanging="360"/>
      </w:pPr>
    </w:lvl>
    <w:lvl w:ilvl="1" w:tplc="59846195" w:tentative="1">
      <w:start w:val="1"/>
      <w:numFmt w:val="lowerLetter"/>
      <w:lvlText w:val="%2."/>
      <w:lvlJc w:val="left"/>
      <w:pPr>
        <w:ind w:left="1440" w:hanging="360"/>
      </w:pPr>
    </w:lvl>
    <w:lvl w:ilvl="2" w:tplc="59846195" w:tentative="1">
      <w:start w:val="1"/>
      <w:numFmt w:val="lowerRoman"/>
      <w:lvlText w:val="%3."/>
      <w:lvlJc w:val="right"/>
      <w:pPr>
        <w:ind w:left="2160" w:hanging="180"/>
      </w:pPr>
    </w:lvl>
    <w:lvl w:ilvl="3" w:tplc="59846195" w:tentative="1">
      <w:start w:val="1"/>
      <w:numFmt w:val="decimal"/>
      <w:lvlText w:val="%4."/>
      <w:lvlJc w:val="left"/>
      <w:pPr>
        <w:ind w:left="2880" w:hanging="360"/>
      </w:pPr>
    </w:lvl>
    <w:lvl w:ilvl="4" w:tplc="59846195" w:tentative="1">
      <w:start w:val="1"/>
      <w:numFmt w:val="lowerLetter"/>
      <w:lvlText w:val="%5."/>
      <w:lvlJc w:val="left"/>
      <w:pPr>
        <w:ind w:left="3600" w:hanging="360"/>
      </w:pPr>
    </w:lvl>
    <w:lvl w:ilvl="5" w:tplc="59846195" w:tentative="1">
      <w:start w:val="1"/>
      <w:numFmt w:val="lowerRoman"/>
      <w:lvlText w:val="%6."/>
      <w:lvlJc w:val="right"/>
      <w:pPr>
        <w:ind w:left="4320" w:hanging="180"/>
      </w:pPr>
    </w:lvl>
    <w:lvl w:ilvl="6" w:tplc="59846195" w:tentative="1">
      <w:start w:val="1"/>
      <w:numFmt w:val="decimal"/>
      <w:lvlText w:val="%7."/>
      <w:lvlJc w:val="left"/>
      <w:pPr>
        <w:ind w:left="5040" w:hanging="360"/>
      </w:pPr>
    </w:lvl>
    <w:lvl w:ilvl="7" w:tplc="59846195" w:tentative="1">
      <w:start w:val="1"/>
      <w:numFmt w:val="lowerLetter"/>
      <w:lvlText w:val="%8."/>
      <w:lvlJc w:val="left"/>
      <w:pPr>
        <w:ind w:left="5760" w:hanging="360"/>
      </w:pPr>
    </w:lvl>
    <w:lvl w:ilvl="8" w:tplc="59846195" w:tentative="1">
      <w:start w:val="1"/>
      <w:numFmt w:val="lowerRoman"/>
      <w:lvlText w:val="%9."/>
      <w:lvlJc w:val="right"/>
      <w:pPr>
        <w:ind w:left="6480" w:hanging="180"/>
      </w:pPr>
    </w:lvl>
  </w:abstractNum>
  <w:abstractNum w:abstractNumId="49560387">
    <w:multiLevelType w:val="hybridMultilevel"/>
    <w:lvl w:ilvl="0" w:tplc="821795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560387">
    <w:abstractNumId w:val="49560387"/>
  </w:num>
  <w:num w:numId="49560388">
    <w:abstractNumId w:val="4956038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9282744" Type="http://schemas.microsoft.com/office/2011/relationships/commentsExtended" Target="commentsExtended.xml"/><Relationship Id="rId977078920" Type="http://schemas.microsoft.com/office/2011/relationships/people" Target="people.xml"/><Relationship Id="rId34386a9babc24b101" Type="http://schemas.openxmlformats.org/officeDocument/2006/relationships/hyperlink" Target="https://gd.eppo.int/taxon/AGRLMA/" TargetMode="External"/><Relationship Id="rId87056a9babc24b149" Type="http://schemas.openxmlformats.org/officeDocument/2006/relationships/hyperlink" Target="https://gd.eppo.int/taxon/AGRLMA/categorization" TargetMode="External"/><Relationship Id="rId66176a9babc24bb29" Type="http://schemas.openxmlformats.org/officeDocument/2006/relationships/hyperlink" Target="https://gd.eppo.int/taxon/AGRLMA/photos" TargetMode="External"/><Relationship Id="rId80556a9babc24dca4" Type="http://schemas.openxmlformats.org/officeDocument/2006/relationships/hyperlink" Target="https://www.aemnp.eu/acta-entomologica-supplementum/volume-10/1099/summary-of-the-bionomy-of-the-buprestid-beetles-of-central-europe-coleoptera-buprestidae.html" TargetMode="External"/><Relationship Id="rId23676a9babc24dd1f" Type="http://schemas.openxmlformats.org/officeDocument/2006/relationships/hyperlink" Target="https://doi.org/10.1002/ece3.4804" TargetMode="External"/><Relationship Id="rId94086a9babc24dd93" Type="http://schemas.openxmlformats.org/officeDocument/2006/relationships/hyperlink" Target="https://doi.org/10.3897/zookeys.867.36170" TargetMode="External"/><Relationship Id="rId11696a9babc24df80" Type="http://schemas.openxmlformats.org/officeDocument/2006/relationships/hyperlink" Target="https://doi.org/10.1111/afe.12333" TargetMode="External"/><Relationship Id="rId76716a9babc24dfd4" Type="http://schemas.openxmlformats.org/officeDocument/2006/relationships/hyperlink" Target="https://doi.org/10.3897/BDJ.2.e4034" TargetMode="External"/><Relationship Id="rId72386a9babc24e068" Type="http://schemas.openxmlformats.org/officeDocument/2006/relationships/hyperlink" Target="https://doi.org/10.1111/j.1570-7458.2011.01139.x" TargetMode="External"/><Relationship Id="rId71586a9babc24e0db" Type="http://schemas.openxmlformats.org/officeDocument/2006/relationships/hyperlink" Target="https://doi.org/10.1007/s10340-014-0598-y" TargetMode="External"/><Relationship Id="rId27916a9babc24e16f" Type="http://schemas.openxmlformats.org/officeDocument/2006/relationships/hyperlink" Target="https://doi.org/10.1007/s40725-024-00230-8" TargetMode="External"/><Relationship Id="rId90576a9babc24e1c7" Type="http://schemas.openxmlformats.org/officeDocument/2006/relationships/hyperlink" Target="https://ec.europa.eu/food/plant/pesticides/eu-pesticides-database/start/screen/active-substances" TargetMode="External"/><Relationship Id="rId34196a9babc24e248" Type="http://schemas.openxmlformats.org/officeDocument/2006/relationships/hyperlink" Target="https://doi.org/10.1111/epp.12063" TargetMode="External"/><Relationship Id="rId39696a9babc24e2a7" Type="http://schemas.openxmlformats.org/officeDocument/2006/relationships/hyperlink" Target="https://gd.eppo.int/taxon/AGRLFL/documents" TargetMode="External"/><Relationship Id="rId93676a9babc24e2fb" Type="http://schemas.openxmlformats.org/officeDocument/2006/relationships/hyperlink" Target="https://gd.eppo.int/taxon/AGRLMA/documents" TargetMode="External"/><Relationship Id="rId34576a9babc24e46c" Type="http://schemas.openxmlformats.org/officeDocument/2006/relationships/hyperlink" Target="https://www.iucnredlist.org" TargetMode="External"/><Relationship Id="rId92716a9babc24e52b" Type="http://schemas.openxmlformats.org/officeDocument/2006/relationships/hyperlink" Target="https://www.mapress.com/jib/article/view/2023.39.2.1" TargetMode="External"/><Relationship Id="rId29466a9babc24e58b" Type="http://schemas.openxmlformats.org/officeDocument/2006/relationships/hyperlink" Target="https://doi.org/10.1007/978-3-319-08410-7" TargetMode="External"/><Relationship Id="rId76086a9babc24e687" Type="http://schemas.openxmlformats.org/officeDocument/2006/relationships/hyperlink" Target="https://doi.org/10.4039/n11-011" TargetMode="External"/><Relationship Id="rId82226a9babc24e704" Type="http://schemas.openxmlformats.org/officeDocument/2006/relationships/hyperlink" Target="https://doi.org/10.1007/s10905-007-9097-9" TargetMode="External"/><Relationship Id="rId81786a9babc24e89a" Type="http://schemas.openxmlformats.org/officeDocument/2006/relationships/hyperlink" Target="https://www.cambridge.org/core/journals/bulletin-of-entomological-research/article/abs/malice-at-the-gates-of-eden-current-and-future-distribution-of-agrilus-mali-threatening-wild-and-domestic-apples/82B842058C87274F32FBDC64DFC48E12" TargetMode="External"/><Relationship Id="rId20076a9babc24e9a2" Type="http://schemas.openxmlformats.org/officeDocument/2006/relationships/hyperlink" Target="https://doi.org/10.1007/s10340-018-0990-0" TargetMode="External"/><Relationship Id="rId88376a9babc24ea9e" Type="http://schemas.openxmlformats.org/officeDocument/2006/relationships/hyperlink" Target="https://www.gov.cn/gzdt/att/att/site1/20130115/782bcb888c4d125f076501.pdf" TargetMode="External"/><Relationship Id="rId54076a9babc24eb1d" Type="http://schemas.openxmlformats.org/officeDocument/2006/relationships/hyperlink" Target="https://doi.org/10.3389/fgene.2022.857866" TargetMode="External"/><Relationship Id="rId20056a9babc24ec86" Type="http://schemas.openxmlformats.org/officeDocument/2006/relationships/hyperlink" Target="https://doi.org/10.3390/insects11080493" TargetMode="External"/><Relationship Id="rId41696a9babc24eee7" Type="http://schemas.openxmlformats.org/officeDocument/2006/relationships/hyperlink" Target="https://doi.org/10.3390/f11040440" TargetMode="External"/><Relationship Id="rId31516a9babc24ef59" Type="http://schemas.openxmlformats.org/officeDocument/2006/relationships/hyperlink" Target="file://eppo.local/partages/Production/Partage/3%20Meetings/Working%20Parties/2024-06%20WP%20PR%20-%20Czech%20Republic/During%20meeting/10.1127/entomologia/2024/2297" TargetMode="External"/><Relationship Id="rId39936a9babc24efec" Type="http://schemas.openxmlformats.org/officeDocument/2006/relationships/hyperlink" Target="https://doi.org/10.1127/entomologia/2021/0974" TargetMode="External"/><Relationship Id="rId52946a9babc24f063" Type="http://schemas.openxmlformats.org/officeDocument/2006/relationships/hyperlink" Target="https://doi.org/10.3390/biology13100803" TargetMode="External"/><Relationship Id="rId39456a9babc24f134" Type="http://schemas.openxmlformats.org/officeDocument/2006/relationships/hyperlink" Target="https://gd.eppo.int" TargetMode="External"/><Relationship Id="rId32756a9babc24f1f9" Type="http://schemas.openxmlformats.org/officeDocument/2006/relationships/hyperlink" Target="https://doi.org/10.1111/epp.70091" TargetMode="External"/><Relationship Id="rId41066a9babc24b9d0" Type="http://schemas.openxmlformats.org/officeDocument/2006/relationships/image" Target="media/imgrId41066a9babc24b9d0.jpg"/><Relationship Id="rId20916a9babc24c896" Type="http://schemas.openxmlformats.org/officeDocument/2006/relationships/image" Target="media/imgrId20916a9babc24c89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