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Agrilus bilineatus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2020-04-22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bilineatus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(Weber)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aurolineatus</w:t>
            </w:r>
            <w:r>
              <w:rPr>
                <w:rFonts w:ascii="Calibri" w:hAnsi="Calibri" w:eastAsia="Calibri" w:cs="Calibri"/>
                <w:color w:val="000000"/>
                <w:position w:val="-3"/>
                <w:sz w:val="22"/>
                <w:szCs w:val="22"/>
              </w:rPr>
              <w:t xml:space="preserve"> Gory, </w:t>
            </w:r>
            <w:r>
              <w:rPr>
                <w:rFonts w:ascii="Calibri" w:hAnsi="Calibri" w:eastAsia="Calibri" w:cs="Calibri"/>
                <w:i/>
                <w:iCs/>
                <w:color w:val="000000"/>
                <w:position w:val="-3"/>
                <w:sz w:val="22"/>
                <w:szCs w:val="22"/>
              </w:rPr>
              <w:t xml:space="preserve">Agrilus bivittatus</w:t>
            </w:r>
            <w:r>
              <w:rPr>
                <w:rFonts w:ascii="Calibri" w:hAnsi="Calibri" w:eastAsia="Calibri" w:cs="Calibri"/>
                <w:color w:val="000000"/>
                <w:position w:val="-3"/>
                <w:sz w:val="22"/>
                <w:szCs w:val="22"/>
              </w:rPr>
              <w:t xml:space="preserve"> Kirby, </w:t>
            </w:r>
            <w:r>
              <w:rPr>
                <w:rFonts w:ascii="Calibri" w:hAnsi="Calibri" w:eastAsia="Calibri" w:cs="Calibri"/>
                <w:i/>
                <w:iCs/>
                <w:color w:val="000000"/>
                <w:position w:val="-3"/>
                <w:sz w:val="22"/>
                <w:szCs w:val="22"/>
              </w:rPr>
              <w:t xml:space="preserve">Agrilus flavolineatus</w:t>
            </w:r>
            <w:r>
              <w:rPr>
                <w:rFonts w:ascii="Calibri" w:hAnsi="Calibri" w:eastAsia="Calibri" w:cs="Calibri"/>
                <w:color w:val="000000"/>
                <w:position w:val="-3"/>
                <w:sz w:val="22"/>
                <w:szCs w:val="22"/>
              </w:rPr>
              <w:t xml:space="preserve"> Mannerheim, </w:t>
            </w:r>
            <w:r>
              <w:rPr>
                <w:rFonts w:ascii="Calibri" w:hAnsi="Calibri" w:eastAsia="Calibri" w:cs="Calibri"/>
                <w:i/>
                <w:iCs/>
                <w:color w:val="000000"/>
                <w:position w:val="-3"/>
                <w:sz w:val="22"/>
                <w:szCs w:val="22"/>
              </w:rPr>
              <w:t xml:space="preserve">Buprestis bilineata</w:t>
            </w:r>
            <w:r>
              <w:rPr>
                <w:rFonts w:ascii="Calibri" w:hAnsi="Calibri" w:eastAsia="Calibri" w:cs="Calibri"/>
                <w:color w:val="000000"/>
                <w:position w:val="-3"/>
                <w:sz w:val="22"/>
                <w:szCs w:val="22"/>
              </w:rPr>
              <w:t xml:space="preserve"> Weber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two-lined chestnut borer, twolined chestnut borer (US)</w:t>
            </w:r>
            <w:hyperlink r:id="rId81736ad1b8ca3160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43366ad1b8ca3167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AGRLBL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4683902" name="name80856ad1b8ca31c8b" descr="73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307.jpg"/>
                          <pic:cNvPicPr/>
                        </pic:nvPicPr>
                        <pic:blipFill>
                          <a:blip r:embed="rId62976ad1b8ca31c89" cstate="print"/>
                          <a:stretch>
                            <a:fillRect/>
                          </a:stretch>
                        </pic:blipFill>
                        <pic:spPr>
                          <a:xfrm>
                            <a:off x="0" y="0"/>
                            <a:ext cx="2160000" cy="1281600"/>
                          </a:xfrm>
                          <a:prstGeom prst="rect">
                            <a:avLst/>
                          </a:prstGeom>
                          <a:ln w="0">
                            <a:noFill/>
                          </a:ln>
                        </pic:spPr>
                      </pic:pic>
                    </a:graphicData>
                  </a:graphic>
                </wp:inline>
              </w:drawing>
            </w:r>
            <w:hyperlink r:id="rId10546ad1b8ca31db7"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attacks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(Fagaceae) and numerous species of North American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species (Fagaceae), including </w:t>
      </w:r>
      <w:r>
        <w:rPr>
          <w:rFonts w:ascii="Calibri" w:hAnsi="Calibri" w:eastAsia="Calibri" w:cs="Calibri"/>
          <w:i/>
          <w:iCs/>
          <w:color w:val="000000"/>
          <w:sz w:val="22"/>
          <w:szCs w:val="22"/>
        </w:rPr>
        <w:t xml:space="preserve">Q. alba, </w:t>
      </w:r>
      <w:r>
        <w:rPr>
          <w:rFonts w:ascii="Calibri" w:hAnsi="Calibri" w:eastAsia="Calibri" w:cs="Calibri"/>
          <w:i/>
          <w:iCs/>
          <w:color w:val="000000"/>
          <w:sz w:val="22"/>
          <w:szCs w:val="22"/>
        </w:rPr>
        <w:t xml:space="preserve">Q. coccinea, Q. ellipsoidalis, Q. fusiformis, Q. lyrata, </w:t>
      </w:r>
      <w:r>
        <w:rPr>
          <w:rFonts w:ascii="Calibri" w:hAnsi="Calibri" w:eastAsia="Calibri" w:cs="Calibri"/>
          <w:i/>
          <w:iCs/>
          <w:color w:val="000000"/>
          <w:sz w:val="22"/>
          <w:szCs w:val="22"/>
        </w:rPr>
        <w:t xml:space="preserve">Q. macrocarpa, Q. marilandica,, Q. michauxii, </w:t>
      </w:r>
      <w:r>
        <w:rPr>
          <w:rFonts w:ascii="Calibri" w:hAnsi="Calibri" w:eastAsia="Calibri" w:cs="Calibri"/>
          <w:i/>
          <w:iCs/>
          <w:color w:val="000000"/>
          <w:sz w:val="22"/>
          <w:szCs w:val="22"/>
        </w:rPr>
        <w:t xml:space="preserve">Q. muehlenbergii, Q. nigra, Q. palustris, Q. prinus </w:t>
      </w:r>
      <w:r>
        <w:rPr>
          <w:rFonts w:ascii="Calibri" w:hAnsi="Calibri" w:eastAsia="Calibri" w:cs="Calibri"/>
          <w:i/>
          <w:iCs/>
          <w:color w:val="000000"/>
          <w:sz w:val="22"/>
          <w:szCs w:val="22"/>
        </w:rPr>
        <w:t xml:space="preserve">(= Q. montana), Q. robur, Q. rubra, Q. stellata, Q. texana </w:t>
      </w:r>
      <w:r>
        <w:rPr>
          <w:rFonts w:ascii="Calibri" w:hAnsi="Calibri" w:eastAsia="Calibri" w:cs="Calibri"/>
          <w:i/>
          <w:iCs/>
          <w:color w:val="000000"/>
          <w:sz w:val="22"/>
          <w:szCs w:val="22"/>
        </w:rPr>
        <w:t xml:space="preserve">(= Q. nuttallii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 shumardii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texana), Q. velutina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virginiana </w:t>
      </w:r>
      <w:r>
        <w:rPr>
          <w:rFonts w:ascii="Calibri" w:hAnsi="Calibri" w:eastAsia="Calibri" w:cs="Calibri"/>
          <w:color w:val="000000"/>
          <w:sz w:val="22"/>
          <w:szCs w:val="22"/>
        </w:rPr>
        <w:t xml:space="preserve">(Chittenden, 1900; Chapman, 1915; Fisher, 1928; Haack, 1986; Lewis, 1987; Haack &amp; Accavatti, 1992; Solomon, 1995; Nelson &amp; Hespenheide, 1998; Nelson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Jendek &amp; Poláková, 2014; Petrice &amp; Haack, 2014; EPPO, 2019). Complete development of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in the European species,</w:t>
      </w:r>
      <w:r>
        <w:rPr>
          <w:rFonts w:ascii="Calibri" w:hAnsi="Calibri" w:eastAsia="Calibri" w:cs="Calibri"/>
          <w:i/>
          <w:iCs/>
          <w:color w:val="000000"/>
          <w:sz w:val="22"/>
          <w:szCs w:val="22"/>
        </w:rPr>
        <w:t xml:space="preserve"> Q. robur </w:t>
      </w:r>
      <w:r>
        <w:rPr>
          <w:rFonts w:ascii="Calibri" w:hAnsi="Calibri" w:eastAsia="Calibri" w:cs="Calibri"/>
          <w:color w:val="000000"/>
          <w:sz w:val="22"/>
          <w:szCs w:val="22"/>
        </w:rPr>
        <w:t xml:space="preserve">(pedunculate oak), has also been documented in Michigan (Haack,1986; Petrice &amp; Haack, 2014).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ellipsoidalis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fusiformis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lyrata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michauxii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muehlenbergii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robur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stellata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texana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bilineatus</w:t>
      </w:r>
      <w:r>
        <w:rPr>
          <w:rFonts w:ascii="Calibri" w:hAnsi="Calibri" w:eastAsia="Calibri" w:cs="Calibri"/>
          <w:color w:val="000000"/>
          <w:sz w:val="24"/>
          <w:szCs w:val="24"/>
        </w:rPr>
        <w:t xml:space="preserve"> is endemic to eastern North </w:t>
      </w:r>
      <w:r>
        <w:rPr>
          <w:rFonts w:ascii="Calibri" w:hAnsi="Calibri" w:eastAsia="Calibri" w:cs="Calibri"/>
          <w:color w:val="000000"/>
          <w:sz w:val="22"/>
          <w:szCs w:val="22"/>
        </w:rPr>
        <w:t xml:space="preserve">America in regions where chestnut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and oak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are native. The range of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extends from New Brunswick westward to Manitoba in Canada, southward to Texas and eastward to Florida (Horn, 1891; Hopkins, 1894; Chapman, 1915; Fisher, 1928; Haack, 1980; Nelson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1981; Dunn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1986a; Bright, 1987; Nelson, 1987; Nelson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Fauske, 2018; EPPO, 2019; TFPR, 2011; Webster &amp; DeMerchant, 2012).</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adults have been collected in Turkey in two separate years (2013, 2016) and at two locations over 200 km apart (near and to the east of Istanbul) (Jendek, 2016; Hızal &amp; Arslangündogdu, 2018).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is considered to be established in Turkey (EPPO, 2019).</w:t>
      </w:r>
    </w:p>
    <w:p>
      <w:r>
        <w:drawing>
          <wp:inline distT="0" distB="0" distL="0" distR="0">
            <wp:extent cx="6120000" cy="3067200"/>
            <wp:docPr id="12743480" name="name52426ad1b8ca32f38" descr="AGRLB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LBL_distribution_map.jpg"/>
                    <pic:cNvPicPr/>
                  </pic:nvPicPr>
                  <pic:blipFill>
                    <a:blip r:embed="rId46136ad1b8ca32f3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Türkiye</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(Manitoba, New Brunswick, Nova Scotia, Ontario, Québec), United States of America (Alabama, Arkansas, Colorado, Connecticut, Delaware, Florida, Georgia, Illinois, Indiana, Iowa, Kansas, Kentucky, Louisiana, Maine, Maryland, Massachusetts, Michigan, Minnesota, Mississippi, Missouri, Nebraska, New Hampshire, New Jersey, New York, North Carolina, North Dakota, Ohio, Oklahoma, Pennsylvania, Rhode Island, South Carolina, South Dakota, Tennessee, Texas, Vermont,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Throughout its range,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usually completes its life cycle in a single year, although some individuals can require 2 years (Cote &amp; Allen, 1980), which may be attributed to slower larval developmental rates in vigorous hosts, populations that occur where summers are cool and short, or individuals that develop from eggs that are laid in late summer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Last-instar larvae need to experience an extended cold period before they will pupate and transform to adults, as is common in many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that develop in temperate latitudes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Reed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After emerging, adults fly to the crowns of trees and feed on foliage (Chapman, 1915; Dunbar &amp; Stephens, 1976). Such feeding is required for adults to become sexually mature.</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mate on the trunks and branches of host trees, as well as nearby plants and wood piles (Chapman, 1915). In a field study,</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males were attracted to caged females (Dunn &amp; Potter, 1988), suggesting a pheromone was involved but none has yet been discovered. In the closely related species</w:t>
      </w:r>
      <w:r>
        <w:rPr>
          <w:rFonts w:ascii="Calibri" w:hAnsi="Calibri" w:eastAsia="Calibri" w:cs="Calibri"/>
          <w:i/>
          <w:iCs/>
          <w:color w:val="000000"/>
          <w:sz w:val="22"/>
          <w:szCs w:val="22"/>
        </w:rPr>
        <w:t xml:space="preserve"> A. planipennis,</w:t>
      </w:r>
      <w:r>
        <w:rPr>
          <w:rFonts w:ascii="Calibri" w:hAnsi="Calibri" w:eastAsia="Calibri" w:cs="Calibri"/>
          <w:color w:val="000000"/>
          <w:sz w:val="22"/>
          <w:szCs w:val="22"/>
        </w:rPr>
        <w:t xml:space="preserve"> males were found to use contact and short-range pheromones in addition to visual cues for locating females (Lelito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Poland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deposit eggs in bark cracks and crevices, often singularly or sometimes in groups  (Chapman, 1915; Haack &amp; Benjamin, 1982). Females secrete a substance over the eggs (Chapman, 1915), which probably aids in cementing the eggs to the host and reducing desiccation (Chamorro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Females oviposit on different sized host material from the base of the tree trunk to branches as small as 2–4 cm in diameter (Chapman, 1915).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larvae usually hatch from eggs in 10–14 days (Chapman, 1915; Dunbar &amp; Stephens, 1976) and immediately tunnel into the bark. First-instar larvae enter the bark directly from the side of the egg attached to the bark, and therefore are never exposed on the bark surface (Chapman, 1915). Larvae tunnel in the cambial region, scoring both the inner bark (phloem) and outer sapwood (xylem). Larval galleries tend to meander or form a zig-zag pattern, with early instars (first and second) tending to tunnel in any direction, but late instars (third and fourth) tending to tunnel across the wood grain (Chapman, 1915). The larval galleries are packed with frass (Haack, 1985). Larvae typically tunnel into the outer sapwood or the outer bark to moult and then return to the cambial region to feed (Chapman, 1915). Total gallery length for all instars can extend more than 80 centimetres (Chapman, 1915).</w:t>
      </w:r>
    </w:p>
    <w:p>
      <w:pPr>
        <w:widowControl w:val="on"/>
        <w:pBdr/>
        <w:spacing w:before="220" w:after="220" w:line="240" w:lineRule="auto"/>
        <w:ind w:left="0" w:right="0"/>
        <w:jc w:val="both"/>
      </w:pPr>
      <w:r>
        <w:rPr>
          <w:rFonts w:ascii="Calibri" w:hAnsi="Calibri" w:eastAsia="Calibri" w:cs="Calibri"/>
          <w:color w:val="000000"/>
          <w:sz w:val="22"/>
          <w:szCs w:val="22"/>
        </w:rPr>
        <w:t xml:space="preserve">Starting in late summer, mature fourth (last) instar larvae prepare individual pupal cells in either the outer bark, if the bark is sufficiently thick, or the outer sapwood (Chapman, 1915; Petrice &amp; Haack, 2014). Before constructing the pupal cell, larvae extend their gallery close to the outer bark surface, which creates a pathway that the future adult will enlarge with its mandibles and use to exit the tree the following year (Chamorro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The pupal cell is about half the length of the mature larva’s body. The larva creates the cell by tunnelling so that its head remains close to the ventral side of its body and continues until the head nears the tip of the abdomen, thus situating itself in a J-shaped position to overwinter. In Wisconsin, some larvae begin to construct pupal cells in August, while by October nearly all fourth-instar larvae have constructed pupal cells (Haack &amp; Benjamin, 1982). Larvae that are still early instars in autumn will remain in the cambial region during winter. These larvae resume feeding the following spring and summer, and construct their pupal cell after they are mature, thus overwintering twice before emergence. Immature larvae that overwinter in the cambial region often suffer higher mortality than those that overwinter in pupal cells (Dunbar &amp; Stephens, 1976). Within individual trees, larvae feeding in the upper branches and crown tend to construct pupal cells earlier than those in the trunk (Haack &amp; Benjamin, 1982).</w:t>
      </w:r>
    </w:p>
    <w:p>
      <w:pPr>
        <w:widowControl w:val="on"/>
        <w:pBdr/>
        <w:spacing w:before="220" w:after="220" w:line="240" w:lineRule="auto"/>
        <w:ind w:left="0" w:right="0"/>
        <w:jc w:val="both"/>
      </w:pPr>
      <w:r>
        <w:rPr>
          <w:rFonts w:ascii="Calibri" w:hAnsi="Calibri" w:eastAsia="Calibri" w:cs="Calibri"/>
          <w:color w:val="000000"/>
          <w:sz w:val="22"/>
          <w:szCs w:val="22"/>
        </w:rPr>
        <w:t xml:space="preserve">Pupation occurs in spring and early summer. Within the pupal cell, the J-shaped mature larva becomes a prepupa by contracting its body to about half its former length and straightening out with its head pointing outward towards the bark surface (Chapman, 1915). The prepupa then moults to the pupal stage. In Wisconsin, pupation occurs from late April into July, peaking in May (Haack &amp; Benjamin, 1982). Pupation was reported to last an average of 10 days indoors by Chapman (1915) and an average of 12 days at 24°C or 9 days at 30°C by Haack &amp; Benjamin (1982).</w:t>
      </w:r>
    </w:p>
    <w:p>
      <w:pPr>
        <w:widowControl w:val="on"/>
        <w:pBdr/>
        <w:spacing w:before="220" w:after="220" w:line="240" w:lineRule="auto"/>
        <w:ind w:left="0" w:right="0"/>
        <w:jc w:val="both"/>
      </w:pPr>
      <w:r>
        <w:rPr>
          <w:rFonts w:ascii="Calibri" w:hAnsi="Calibri" w:eastAsia="Calibri" w:cs="Calibri"/>
          <w:color w:val="000000"/>
          <w:sz w:val="22"/>
          <w:szCs w:val="22"/>
        </w:rPr>
        <w:t xml:space="preserve">A new adult remains generally motionless within its pupal cell for the first 2 days after eclosion, allowing time for its cuticle to harden, and then it begins to enlarge the exit tunnel it initiated earlier as a larva and finally emerges from the tree in approximately 3 days at 24°C or 2 days at 30°C (Haack &amp; Benjamin, 1982). The exit hole is about 5 mm wide, D-shaped as in a semicircle, with the flat side of the D aligning with the dorsal side of the adult’s body (Haack &amp; Acciavatti, 1992). Adults of both sexes live 8–28 days at temperature conditions ranging from 20°C to 30°C. Adult females appear to oviposit preferentially on stressed trees, such as girdled trees (Dunbar &amp; Stephens, 1976; Cote &amp; Allen, 1980; Haack &amp; Benjamin, 1982; Dunn et al., 1986a), perhaps attracted to the volatile chemical compounds released by the trees (Dunn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symptom of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infestation is wilted foliage on scattered crown branches in late summer (Haack &amp; Acciavatti, 1992). This corresponds to the period when most larvae are third and fourth instars whose feeding galleries score deeper into the xylem tissue and ultimately girdle the tree (Haack &amp; Benjamin, 1982).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have ring-porous xylem. Water is conducted primarily in the outermost annual ring of xylem in ring-porous trees, making them highly susceptible to girdling by cambial feeding insects. The wilted foliage turns brown and remains attached for several weeks or even months. Such branches will not produce new foliage in subsequent years. Tree death can occur in a single year, especially during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outbreaks, but tree death over a 2–4 -year period is more common. Infestation usually begins in the crown branches and then moves downward along the lower trunk in subsequent years (Haack &amp; Benjamin, 1982;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There is a succession of other bark- and wood-infesting insects that colonize portions of trees previously infested by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signs of infestation are the D-shaped exit holes present on the bark surface that adults construct as they chew through the bark during emergence and the frass-packed meandering galleries that larvae construct in the cambial region between the bark and sapwood (Chapman, 1915; Haack &amp; Acciavatti, 1992). Development of ridges or swelling on the bark surface as a result of callus tissue developing over the larval galleries occasionally occurs on thin-barked trees, especially on branches, but less so on the trunks. Signs of adult feeding on the margin of the leaves may be noticeable in mass infestation.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Trapping</w:t>
      </w:r>
    </w:p>
    <w:p>
      <w:pPr>
        <w:widowControl w:val="on"/>
        <w:pBdr/>
        <w:spacing w:before="220" w:after="220" w:line="240" w:lineRule="auto"/>
        <w:ind w:left="0" w:right="0"/>
        <w:jc w:val="both"/>
      </w:pPr>
      <w:r>
        <w:rPr>
          <w:rFonts w:ascii="Calibri" w:hAnsi="Calibri" w:eastAsia="Calibri" w:cs="Calibri"/>
          <w:color w:val="000000"/>
          <w:sz w:val="22"/>
          <w:szCs w:val="22"/>
        </w:rPr>
        <w:t xml:space="preserve">Applying adhesive to plastic bands wrapped around the lower trunk of girdled host trees has been used to capture flying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adults when they land on the stressed trees (Haack &amp; Benjamin, 1982; Dunn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1986a). In addition,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adults have been captured on purple, yellow and green sticky traps (Petrice &amp; Haack, 2014), as well as in green funnel traps coated with fluon to increase slipperiness (Petrice &amp; Haack, 2015). Several species of male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are attracted to dead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or 3D-printed adults when used as decoys and placed on host plants (Lelito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Domingue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of</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are oval, creamy white when first deposited, becoming reddish and then tan as they mature (Chapman, 1915). Eggs are about 1–1.2 mm long, 0.5–0.8 mm wide and 0.3 mm thick (Chapman, 1915, Miller, unpublished data). Eggs can be laid singly, or in clusters, with most clusters containing 2–4 eggs (Chapman, 1915; Haack &amp; Benjamin, 1982).</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elongate, legless, creamy white to yellowish and dorsoventrally flattened. The head is dark brown (Petrice &amp; Haack, 2014). There are ten abdominal segments, with the last segment terminating in two brown urogomphi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Petrice &amp; Haack, 2014). The presence of urogomphi is characteristic of Agrilus larvae (Burke, 1917).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has four larval instars (Chapman, 1915; Cote &amp; Allen, 1980; Haack &amp; Benjamin, 1982). On emergence from the egg, first-instar larvae measure 1–1.5 mm, while fourth instars reach 18–24 mm (Chapman, 1915). Morphological characters of the urogomphi can be used to distinguish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from some other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such as the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-infesting European species</w:t>
      </w:r>
      <w:r>
        <w:rPr>
          <w:rFonts w:ascii="Calibri" w:hAnsi="Calibri" w:eastAsia="Calibri" w:cs="Calibri"/>
          <w:i/>
          <w:iCs/>
          <w:color w:val="000000"/>
          <w:sz w:val="22"/>
          <w:szCs w:val="22"/>
        </w:rPr>
        <w:t xml:space="preserve"> A. sulcicollis</w:t>
      </w:r>
      <w:r>
        <w:rPr>
          <w:rFonts w:ascii="Calibri" w:hAnsi="Calibri" w:eastAsia="Calibri" w:cs="Calibri"/>
          <w:color w:val="000000"/>
          <w:sz w:val="22"/>
          <w:szCs w:val="22"/>
        </w:rPr>
        <w:t xml:space="preserve"> (Petrice &amp; Haack, 2014), which has become established in North America.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p>
    <w:p>
      <w:pPr>
        <w:widowControl w:val="on"/>
        <w:pBdr/>
        <w:spacing w:before="220" w:after="220" w:line="240" w:lineRule="auto"/>
        <w:ind w:left="0" w:right="0"/>
        <w:jc w:val="both"/>
      </w:pPr>
      <w:r>
        <w:rPr>
          <w:rFonts w:ascii="Calibri" w:hAnsi="Calibri" w:eastAsia="Calibri" w:cs="Calibri"/>
          <w:color w:val="000000"/>
          <w:sz w:val="22"/>
          <w:szCs w:val="22"/>
        </w:rPr>
        <w:t xml:space="preserve">Pupae, 6–10 mm in length, are creamy white at first, becoming darker as the adult forms (Chapman, 1915).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elongate and can vary from 5 to 13 mm in length depending on the condition of the host in which they developed (Haack &amp; Acciavatti, 1992). The head of</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is bronzy green in colour while the thorax and abdomen are mostly black with a greenish tinge (Horn, 1891; Fisher, 1928). There is a yellow stripe along each side of the thorax and also along the centre of each elytron. These stripes are very characteristic of this species as no other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colonizing oaks in Europe has such stripes. The abdomen has a shiny appearance. Females tend to be more robust than males. However, the main distinguishing character between the sexes is presence of a central groove along the second abdominal sternite on males and the lack thereof on females.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dispersal through adult flight has not been studied in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However, adults of a related species,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flew an average of 1.3 km/day, with some flying more than 7 km/day in flight mill studies (Taylor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Bark- and wood-infesting insects, including most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can be transported in live plants as well as wood products such as logs, firewood, solid wood packaging, lumber, bark and wood chips (Meurisse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As for live plants, such as nursery stock, no signs of infestation (e.g. exit holes) are obvious until a year or two after oviposition. Similarly, for the wood products,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individuals would be most likely to complete development in items with some bark (e.g. logs and dunnage), given that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larvae feed in the cambial region and pupate in either the outer bark or outer sapwood. For example, during 1984–2008, there were 49 distinct interceptions of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individuals at US ports-of-entry, of which 5 interceptions were in live plants, 30 in dunnage, 13 in crating and pallets, and 1 at large (Haack, unpublished data). In cut firewood stored outdoors, Petrice &amp; Haack (2007) recorded successful adult emergence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for 2 years after infested trees were cut. Although live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life stages could be transported in bark or wood chips (McCullough et al., 2007; Økland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risk of individuals completing development would be greatest for those transported as J-shaped mature larvae, prepupae, pupae and pharate adults because they no longer need to feed before transforming to adults or emerging. Another method of inadvertent human-assisted dispersal, although more relevant for already established insects, is through ‘hitchhiking’ whereby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adults are moved on the outside or inside of vehicles (Buck &amp; Marshall,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is usually a secondary pest, infesting and killing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trees weakened by various stress events. For example, widespread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outbreaks have frequently followed periods of severe drought (Hursh &amp; Haasis, 1931; Haack &amp; Benjamin, 1982; Mattson &amp; Haack, 1987; Haack &amp; Mattson, 1989; Millers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and defoliation (Knull, 1932; Baker, 1941; Staley, 1965; Nichols, 1968; Kegg, 1971; Dunbar &amp; Stephens, 1975; Wargo, 1977; Cote &amp; Allen, 1980; Haack, 1985; Millers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1989; Stringer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Muzika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Other outbreaks of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have followed ice storms, hail damage and late spring frost events (Haack, 1985). Individual trees or small groups of trees have also been killed by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in areas where soil compaction has occurred or soil levels have dramatically changed, which can occur during construction in wooded sites (Felt &amp; Bromley, 1932; Haack &amp; Acciavatti, 1992; Koval &amp; Heimann, 1997). Individual outbreaks usually persist for a few years, often subsiding once normal rainfall resumes or defoliator populations fall to endemic levels.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has also been reported to infest host trees that were already infected with various tree pathogens, such as the causal agent of armillaria root rot (</w:t>
      </w:r>
      <w:r>
        <w:rPr>
          <w:rFonts w:ascii="Calibri" w:hAnsi="Calibri" w:eastAsia="Calibri" w:cs="Calibri"/>
          <w:i/>
          <w:iCs/>
          <w:color w:val="000000"/>
          <w:sz w:val="22"/>
          <w:szCs w:val="22"/>
        </w:rPr>
        <w:t xml:space="preserve">Armillaria </w:t>
      </w:r>
      <w:r>
        <w:rPr>
          <w:rFonts w:ascii="Calibri" w:hAnsi="Calibri" w:eastAsia="Calibri" w:cs="Calibri"/>
          <w:color w:val="000000"/>
          <w:sz w:val="22"/>
          <w:szCs w:val="22"/>
        </w:rPr>
        <w:t xml:space="preserve">spp.; Wargo, 1977; Wargo et al., 1983), oak wilt [</w:t>
      </w:r>
      <w:r>
        <w:rPr>
          <w:rFonts w:ascii="Calibri" w:hAnsi="Calibri" w:eastAsia="Calibri" w:cs="Calibri"/>
          <w:i/>
          <w:iCs/>
          <w:color w:val="000000"/>
          <w:sz w:val="22"/>
          <w:szCs w:val="22"/>
        </w:rPr>
        <w:t xml:space="preserve">Bretziella </w:t>
      </w:r>
      <w:r>
        <w:rPr>
          <w:rFonts w:ascii="Calibri" w:hAnsi="Calibri" w:eastAsia="Calibri" w:cs="Calibri"/>
          <w:i/>
          <w:iCs/>
          <w:color w:val="000000"/>
          <w:sz w:val="22"/>
          <w:szCs w:val="22"/>
        </w:rPr>
        <w:t xml:space="preserve">fagacearum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Ceratocystis fagacearum</w:t>
      </w:r>
      <w:r>
        <w:rPr>
          <w:rFonts w:ascii="Calibri" w:hAnsi="Calibri" w:eastAsia="Calibri" w:cs="Calibri"/>
          <w:color w:val="000000"/>
          <w:sz w:val="22"/>
          <w:szCs w:val="22"/>
        </w:rPr>
        <w:t xml:space="preserve">); Stambaugh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1955; Lewis, 1987] and chestnut blight (</w:t>
      </w:r>
      <w:r>
        <w:rPr>
          <w:rFonts w:ascii="Calibri" w:hAnsi="Calibri" w:eastAsia="Calibri" w:cs="Calibri"/>
          <w:i/>
          <w:iCs/>
          <w:color w:val="000000"/>
          <w:sz w:val="22"/>
          <w:szCs w:val="22"/>
        </w:rPr>
        <w:t xml:space="preserve">Cryphonectria parasitica;</w:t>
      </w:r>
      <w:r>
        <w:rPr>
          <w:rFonts w:ascii="Calibri" w:hAnsi="Calibri" w:eastAsia="Calibri" w:cs="Calibri"/>
          <w:color w:val="000000"/>
          <w:sz w:val="22"/>
          <w:szCs w:val="22"/>
        </w:rPr>
        <w:t xml:space="preserve"> Dunn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Metcalf &amp; Collins, 1911).</w:t>
      </w:r>
    </w:p>
    <w:p>
      <w:pPr>
        <w:widowControl w:val="on"/>
        <w:pBdr/>
        <w:spacing w:before="220" w:after="220" w:line="240" w:lineRule="auto"/>
        <w:ind w:left="0" w:right="0"/>
        <w:jc w:val="both"/>
      </w:pPr>
      <w:r>
        <w:rPr>
          <w:rFonts w:ascii="Calibri" w:hAnsi="Calibri" w:eastAsia="Calibri" w:cs="Calibri"/>
          <w:color w:val="000000"/>
          <w:sz w:val="22"/>
          <w:szCs w:val="22"/>
        </w:rPr>
        <w:t xml:space="preserve">At this time, </w:t>
      </w:r>
      <w:r>
        <w:rPr>
          <w:rFonts w:ascii="Calibri" w:hAnsi="Calibri" w:eastAsia="Calibri" w:cs="Calibri"/>
          <w:i/>
          <w:iCs/>
          <w:color w:val="000000"/>
          <w:sz w:val="22"/>
          <w:szCs w:val="22"/>
        </w:rPr>
        <w:t xml:space="preserve">Q. robur</w:t>
      </w:r>
      <w:r>
        <w:rPr>
          <w:rFonts w:ascii="Calibri" w:hAnsi="Calibri" w:eastAsia="Calibri" w:cs="Calibri"/>
          <w:color w:val="000000"/>
          <w:sz w:val="22"/>
          <w:szCs w:val="22"/>
        </w:rPr>
        <w:t xml:space="preserve"> is the only European tree species known to be highly susceptible to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given that apparently healthy trees were infested and killed in Michigan (Haack, 1986; Haack, unpublished data).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also readily attacked </w:t>
      </w:r>
      <w:r>
        <w:rPr>
          <w:rFonts w:ascii="Calibri" w:hAnsi="Calibri" w:eastAsia="Calibri" w:cs="Calibri"/>
          <w:i/>
          <w:iCs/>
          <w:color w:val="000000"/>
          <w:sz w:val="22"/>
          <w:szCs w:val="22"/>
        </w:rPr>
        <w:t xml:space="preserve">Q. robur </w:t>
      </w:r>
      <w:r>
        <w:rPr>
          <w:rFonts w:ascii="Calibri" w:hAnsi="Calibri" w:eastAsia="Calibri" w:cs="Calibri"/>
          <w:color w:val="000000"/>
          <w:sz w:val="22"/>
          <w:szCs w:val="22"/>
        </w:rPr>
        <w:t xml:space="preserve">trees in Michigan that were artificially girdled to induce stress, and among these trees</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attacked trees showing less evidence of stress compared to</w:t>
      </w:r>
      <w:r>
        <w:rPr>
          <w:rFonts w:ascii="Calibri" w:hAnsi="Calibri" w:eastAsia="Calibri" w:cs="Calibri"/>
          <w:i/>
          <w:iCs/>
          <w:color w:val="000000"/>
          <w:sz w:val="22"/>
          <w:szCs w:val="22"/>
        </w:rPr>
        <w:t xml:space="preserve"> A. sulcicollis</w:t>
      </w:r>
      <w:r>
        <w:rPr>
          <w:rFonts w:ascii="Calibri" w:hAnsi="Calibri" w:eastAsia="Calibri" w:cs="Calibri"/>
          <w:color w:val="000000"/>
          <w:sz w:val="22"/>
          <w:szCs w:val="22"/>
        </w:rPr>
        <w:t xml:space="preserve"> (Petrice &amp; Haack, 2014). However, the seed sources of the </w:t>
      </w:r>
      <w:r>
        <w:rPr>
          <w:rFonts w:ascii="Calibri" w:hAnsi="Calibri" w:eastAsia="Calibri" w:cs="Calibri"/>
          <w:i/>
          <w:iCs/>
          <w:color w:val="000000"/>
          <w:sz w:val="22"/>
          <w:szCs w:val="22"/>
        </w:rPr>
        <w:t xml:space="preserve">Q. robur </w:t>
      </w:r>
      <w:r>
        <w:rPr>
          <w:rFonts w:ascii="Calibri" w:hAnsi="Calibri" w:eastAsia="Calibri" w:cs="Calibri"/>
          <w:color w:val="000000"/>
          <w:sz w:val="22"/>
          <w:szCs w:val="22"/>
        </w:rPr>
        <w:t xml:space="preserve">trees planted in Michigan likely do not fully represent the total genetic diversity found in Europe. Nevertheless, if European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species are as susceptible to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as are Eurasian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species to the North American borer</w:t>
      </w:r>
      <w:r>
        <w:rPr>
          <w:rFonts w:ascii="Calibri" w:hAnsi="Calibri" w:eastAsia="Calibri" w:cs="Calibri"/>
          <w:i/>
          <w:iCs/>
          <w:color w:val="000000"/>
          <w:sz w:val="22"/>
          <w:szCs w:val="22"/>
        </w:rPr>
        <w:t xml:space="preserve"> A. anxius</w:t>
      </w:r>
      <w:r>
        <w:rPr>
          <w:rFonts w:ascii="Calibri" w:hAnsi="Calibri" w:eastAsia="Calibri" w:cs="Calibri"/>
          <w:color w:val="000000"/>
          <w:sz w:val="22"/>
          <w:szCs w:val="22"/>
        </w:rPr>
        <w:t xml:space="preserve">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Nielsen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could become a devastating forest pest in Europe given the importance of these tree species (Conedera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2016; Eaton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Alternatively,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could become another important contributing factor to chestnut and oak decline in Europe, joining the many other European borers already present (Evans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Sallé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Reed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When considering control options for borers such as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it is important to consider that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beetles typically infest weakened trees preferentially and the first or second years of infestation may go undetected until exit holes are visible on the bark surface after adults emerge. Therefore, efforts to maintain good tree health have been recommended for decades (Chittenden, 1897; Burke, 1910; Haack &amp; Acciavatti, 1992; Koval &amp; Heimann, 1997). Note that the above relationship between successful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infestation and weakened trees is typical for native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infesting native trees, but when an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species encounters a non-coevolved host tree, the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beetles can often infest and kill apparently healthy trees.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control methods have been recommended to lower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populations. For example, considering cultural control options, sanitation cutting of infested branches or trees prior to adult emergence, followed by burning or chipping, has long been recommended (Hopkins, 1904; Felt, 1924; Dunbar &amp; Stephens, 1976; Haack, 1985; Haack &amp; Acciavatti, 1992; Koval &amp; Heimann, 1997). Alternatively, cutting infested trees early in summer when most larvae are early instars, and simply allowing the logs to remain in the forest, can greatly reduce subsequent adult emergence because the host tissues dry out too quickly to support complete larval development (Haack &amp; Benjamin, 1980a). Cutting logs in shorter sections can hasten desiccation and increase larval mortality. Chipping of infested wood greatly reduces survival of A. bilineatus (Dunbar &amp; Stephens, 1974) and similarly for other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such as </w:t>
      </w:r>
      <w:r>
        <w:rPr>
          <w:rFonts w:ascii="Calibri" w:hAnsi="Calibri" w:eastAsia="Calibri" w:cs="Calibri"/>
          <w:i/>
          <w:iCs/>
          <w:color w:val="000000"/>
          <w:sz w:val="22"/>
          <w:szCs w:val="22"/>
        </w:rPr>
        <w:t xml:space="preserve">A. auroguttatus</w:t>
      </w:r>
      <w:r>
        <w:rPr>
          <w:rFonts w:ascii="Calibri" w:hAnsi="Calibri" w:eastAsia="Calibri" w:cs="Calibri"/>
          <w:color w:val="000000"/>
          <w:sz w:val="22"/>
          <w:szCs w:val="22"/>
        </w:rPr>
        <w:t xml:space="preserve">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insecticides have been used over the past century to protect against or treat host trees with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infestation, many of which are now prohibited. Insecticides can also be used to control defoliating insects, which should help maintain host vigour and thus reduce susceptibility to</w:t>
      </w:r>
      <w:r>
        <w:rPr>
          <w:rFonts w:ascii="Calibri" w:hAnsi="Calibri" w:eastAsia="Calibri" w:cs="Calibri"/>
          <w:i/>
          <w:iCs/>
          <w:color w:val="000000"/>
          <w:sz w:val="22"/>
          <w:szCs w:val="22"/>
        </w:rPr>
        <w:t xml:space="preserve"> A. bilineatus </w:t>
      </w:r>
      <w:r>
        <w:rPr>
          <w:rFonts w:ascii="Calibri" w:hAnsi="Calibri" w:eastAsia="Calibri" w:cs="Calibri"/>
          <w:color w:val="000000"/>
          <w:sz w:val="22"/>
          <w:szCs w:val="22"/>
        </w:rPr>
        <w:t xml:space="preserve">(Felt &amp; Bromley, 1931; Haack &amp; Acciavatti, 1992). Insecticides used to target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have been applied as trunk and foliar sprays for leaf-feeding and egg-laying adults, as well as sprays to the bark surface of trees and logs to target the overwintering stages and adults as they chew through the bark (Felt, 1935; Dunbar &amp; Stephens, 1974, 1976; Haack &amp; Benjamin, 1980b;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Since the early 2000s, several new insecticides (e.g. azadirachtin, emamectin benzoate, clothianidin, dinotefuran and imidacloprid) have been tested in the United States for control of </w:t>
      </w:r>
      <w:r>
        <w:rPr>
          <w:rFonts w:ascii="Calibri" w:hAnsi="Calibri" w:eastAsia="Calibri" w:cs="Calibri"/>
          <w:i/>
          <w:iCs/>
          <w:color w:val="000000"/>
          <w:sz w:val="22"/>
          <w:szCs w:val="22"/>
        </w:rPr>
        <w:t xml:space="preserve">A. auroguttatus </w:t>
      </w:r>
      <w:r>
        <w:rPr>
          <w:rFonts w:ascii="Calibri" w:hAnsi="Calibri" w:eastAsia="Calibri" w:cs="Calibri"/>
          <w:color w:val="000000"/>
          <w:sz w:val="22"/>
          <w:szCs w:val="22"/>
        </w:rPr>
        <w:t xml:space="preserve">(Coleman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2017) and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(Petrice &amp; Haack, 2006; McCullough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Smitley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above new classes of insecticides are registered in the United States for other buprestid borers, including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These newer products can be applied as soil drenches, soil injections, trunk injections or cover sprays on the trunk, branches and foliage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One promising product is emamectin benzoate, a systemic insecticide administered by trunk injection, which has demonstrated 2-year control against both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larvae and leaf-feeding adults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McCullough</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2011).</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above control methods, practices that maintain good tree health, such as fertilization and watering, have long been recommended (Dunbar &amp; Stephens, 1976). Such practices are best suited for urban areas or valuable shade trees. However, at a forest stand level, thinning in advance of gypsy moth (Lymantria dispar) defoliation appeared to lessen subsequent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mortality caused by</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(Muzika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w:t>
      </w:r>
    </w:p>
    <w:p>
      <w:pPr>
        <w:widowControl w:val="on"/>
        <w:pBdr/>
        <w:spacing w:before="220" w:after="220" w:line="240" w:lineRule="auto"/>
        <w:ind w:left="0" w:right="0"/>
        <w:jc w:val="both"/>
      </w:pPr>
      <w:r>
        <w:rPr>
          <w:rFonts w:ascii="Calibri" w:hAnsi="Calibri" w:eastAsia="Calibri" w:cs="Calibri"/>
          <w:color w:val="000000"/>
          <w:sz w:val="22"/>
          <w:szCs w:val="22"/>
        </w:rPr>
        <w:t xml:space="preserve">The current heat treatment standard in ISPM 15 for wood packaging materials requires that a minimum core temperature of 56°C be maintained for 30 continuous minutes. Haack and Petrice (unpublished data) recorded 99%</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mortality in oak logs subjected to 56°C for 30 minutes while holding the heating chamber temperature constant at 65°C or less. However, there was 100%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mortality at a core temperature of 56°C when the chamber was held at 70°C or more, or at a core temperature of 60°C no matter the chamber temperature. Given that many commercial kilns run at chamber temperatures exceeding 70°C, complete mortality of</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life stages would be expected for the vast majority of wood that is heat treated to current ISPM 15 standards.</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parasitoids and predators of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have been reported in the literature. Some of the larval parasitoids include species of </w:t>
      </w:r>
      <w:r>
        <w:rPr>
          <w:rFonts w:ascii="Calibri" w:hAnsi="Calibri" w:eastAsia="Calibri" w:cs="Calibri"/>
          <w:i/>
          <w:iCs/>
          <w:color w:val="000000"/>
          <w:sz w:val="22"/>
          <w:szCs w:val="22"/>
        </w:rPr>
        <w:t xml:space="preserve">Atanycolus </w:t>
      </w:r>
      <w:r>
        <w:rPr>
          <w:rFonts w:ascii="Calibri" w:hAnsi="Calibri" w:eastAsia="Calibri" w:cs="Calibri"/>
          <w:color w:val="000000"/>
          <w:sz w:val="22"/>
          <w:szCs w:val="22"/>
        </w:rPr>
        <w:t xml:space="preserve">(Braconidae), </w:t>
      </w:r>
      <w:r>
        <w:rPr>
          <w:rFonts w:ascii="Calibri" w:hAnsi="Calibri" w:eastAsia="Calibri" w:cs="Calibri"/>
          <w:i/>
          <w:iCs/>
          <w:color w:val="000000"/>
          <w:sz w:val="22"/>
          <w:szCs w:val="22"/>
        </w:rPr>
        <w:t xml:space="preserve">Leluthia </w:t>
      </w:r>
      <w:r>
        <w:rPr>
          <w:rFonts w:ascii="Calibri" w:hAnsi="Calibri" w:eastAsia="Calibri" w:cs="Calibri"/>
          <w:color w:val="000000"/>
          <w:sz w:val="22"/>
          <w:szCs w:val="22"/>
        </w:rPr>
        <w:t xml:space="preserve">(Braconidae), </w:t>
      </w:r>
      <w:r>
        <w:rPr>
          <w:rFonts w:ascii="Calibri" w:hAnsi="Calibri" w:eastAsia="Calibri" w:cs="Calibri"/>
          <w:i/>
          <w:iCs/>
          <w:color w:val="000000"/>
          <w:sz w:val="22"/>
          <w:szCs w:val="22"/>
        </w:rPr>
        <w:t xml:space="preserve">Phasgonophora </w:t>
      </w:r>
      <w:r>
        <w:rPr>
          <w:rFonts w:ascii="Calibri" w:hAnsi="Calibri" w:eastAsia="Calibri" w:cs="Calibri"/>
          <w:color w:val="000000"/>
          <w:sz w:val="22"/>
          <w:szCs w:val="22"/>
        </w:rPr>
        <w:t xml:space="preserve">(Chalcididae), </w:t>
      </w:r>
      <w:r>
        <w:rPr>
          <w:rFonts w:ascii="Calibri" w:hAnsi="Calibri" w:eastAsia="Calibri" w:cs="Calibri"/>
          <w:i/>
          <w:iCs/>
          <w:color w:val="000000"/>
          <w:sz w:val="22"/>
          <w:szCs w:val="22"/>
        </w:rPr>
        <w:t xml:space="preserve">Spathius </w:t>
      </w:r>
      <w:r>
        <w:rPr>
          <w:rFonts w:ascii="Calibri" w:hAnsi="Calibri" w:eastAsia="Calibri" w:cs="Calibri"/>
          <w:color w:val="000000"/>
          <w:sz w:val="22"/>
          <w:szCs w:val="22"/>
        </w:rPr>
        <w:t xml:space="preserve">(Braconidae) and </w:t>
      </w:r>
      <w:r>
        <w:rPr>
          <w:rFonts w:ascii="Calibri" w:hAnsi="Calibri" w:eastAsia="Calibri" w:cs="Calibri"/>
          <w:i/>
          <w:iCs/>
          <w:color w:val="000000"/>
          <w:sz w:val="22"/>
          <w:szCs w:val="22"/>
        </w:rPr>
        <w:t xml:space="preserve">Wroughtonia </w:t>
      </w:r>
      <w:r>
        <w:rPr>
          <w:rFonts w:ascii="Calibri" w:hAnsi="Calibri" w:eastAsia="Calibri" w:cs="Calibri"/>
          <w:color w:val="000000"/>
          <w:sz w:val="22"/>
          <w:szCs w:val="22"/>
        </w:rPr>
        <w:t xml:space="preserve">(Braconidae) (Hopkins, 1892; Chittenden, 1897; Chapman, 1915; Cote &amp; Allen, 1980; Haack</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1981; Petrice &amp; Haack, 2014). Similarly, some of the larval and pupal predators were species of </w:t>
      </w:r>
      <w:r>
        <w:rPr>
          <w:rFonts w:ascii="Calibri" w:hAnsi="Calibri" w:eastAsia="Calibri" w:cs="Calibri"/>
          <w:i/>
          <w:iCs/>
          <w:color w:val="000000"/>
          <w:sz w:val="22"/>
          <w:szCs w:val="22"/>
        </w:rPr>
        <w:t xml:space="preserve">Adelocera </w:t>
      </w:r>
      <w:r>
        <w:rPr>
          <w:rFonts w:ascii="Calibri" w:hAnsi="Calibri" w:eastAsia="Calibri" w:cs="Calibri"/>
          <w:color w:val="000000"/>
          <w:sz w:val="22"/>
          <w:szCs w:val="22"/>
        </w:rPr>
        <w:t xml:space="preserve">(Elateridae), </w:t>
      </w:r>
      <w:r>
        <w:rPr>
          <w:rFonts w:ascii="Calibri" w:hAnsi="Calibri" w:eastAsia="Calibri" w:cs="Calibri"/>
          <w:i/>
          <w:iCs/>
          <w:color w:val="000000"/>
          <w:sz w:val="22"/>
          <w:szCs w:val="22"/>
        </w:rPr>
        <w:t xml:space="preserve">Cymatodera </w:t>
      </w:r>
      <w:r>
        <w:rPr>
          <w:rFonts w:ascii="Calibri" w:hAnsi="Calibri" w:eastAsia="Calibri" w:cs="Calibri"/>
          <w:color w:val="000000"/>
          <w:sz w:val="22"/>
          <w:szCs w:val="22"/>
        </w:rPr>
        <w:t xml:space="preserve">(Cleridae), </w:t>
      </w:r>
      <w:r>
        <w:rPr>
          <w:rFonts w:ascii="Calibri" w:hAnsi="Calibri" w:eastAsia="Calibri" w:cs="Calibri"/>
          <w:i/>
          <w:iCs/>
          <w:color w:val="000000"/>
          <w:sz w:val="22"/>
          <w:szCs w:val="22"/>
        </w:rPr>
        <w:t xml:space="preserve">Phyllobaenus </w:t>
      </w:r>
      <w:r>
        <w:rPr>
          <w:rFonts w:ascii="Calibri" w:hAnsi="Calibri" w:eastAsia="Calibri" w:cs="Calibri"/>
          <w:color w:val="000000"/>
          <w:sz w:val="22"/>
          <w:szCs w:val="22"/>
        </w:rPr>
        <w:t xml:space="preserve">(Cleridae) and </w:t>
      </w:r>
      <w:r>
        <w:rPr>
          <w:rFonts w:ascii="Calibri" w:hAnsi="Calibri" w:eastAsia="Calibri" w:cs="Calibri"/>
          <w:i/>
          <w:iCs/>
          <w:color w:val="000000"/>
          <w:sz w:val="22"/>
          <w:szCs w:val="22"/>
        </w:rPr>
        <w:t xml:space="preserve">Tenebrioides </w:t>
      </w:r>
      <w:r>
        <w:rPr>
          <w:rFonts w:ascii="Calibri" w:hAnsi="Calibri" w:eastAsia="Calibri" w:cs="Calibri"/>
          <w:color w:val="000000"/>
          <w:sz w:val="22"/>
          <w:szCs w:val="22"/>
        </w:rPr>
        <w:t xml:space="preserve">(Trogossitidae) (Dunbar &amp; Stephens, 1976; Cote &amp; Allen, 1980;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Various bird species also feed on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adults and within-tree life stages (Dunbar &amp; Stephens, 1976; Cote &amp; Allen, 1980).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broad range of</w:t>
      </w:r>
      <w:r>
        <w:rPr>
          <w:rFonts w:ascii="Calibri" w:hAnsi="Calibri" w:eastAsia="Calibri" w:cs="Calibri"/>
          <w:i/>
          <w:iCs/>
          <w:color w:val="000000"/>
          <w:sz w:val="22"/>
          <w:szCs w:val="22"/>
        </w:rPr>
        <w:t xml:space="preserve"> A. bilineatus</w:t>
      </w:r>
      <w:r>
        <w:rPr>
          <w:rFonts w:ascii="Calibri" w:hAnsi="Calibri" w:eastAsia="Calibri" w:cs="Calibri"/>
          <w:color w:val="000000"/>
          <w:sz w:val="22"/>
          <w:szCs w:val="22"/>
        </w:rPr>
        <w:t xml:space="preserve"> in eastern North America, from southern Canada to the southern United States, indicates that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can tolerate a wide array of climatic conditions and therefore could likely establish throughout much of the EPPO region where its host trees are present.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the only native species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in Europe, occurs from England and Belgium in northern Europe, southward to Morocco in North Africa, and eastward through southern Europe to Azerbaijan (Conedera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There are many species of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in Europe, with some reaching southern Norway, Sweden and Finland (</w:t>
      </w:r>
      <w:r>
        <w:rPr>
          <w:rFonts w:ascii="Calibri" w:hAnsi="Calibri" w:eastAsia="Calibri" w:cs="Calibri"/>
          <w:i/>
          <w:iCs/>
          <w:color w:val="000000"/>
          <w:sz w:val="22"/>
          <w:szCs w:val="22"/>
        </w:rPr>
        <w:t xml:space="preserve">Q. robur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 petraea</w:t>
      </w:r>
      <w:r>
        <w:rPr>
          <w:rFonts w:ascii="Calibri" w:hAnsi="Calibri" w:eastAsia="Calibri" w:cs="Calibri"/>
          <w:color w:val="000000"/>
          <w:sz w:val="22"/>
          <w:szCs w:val="22"/>
        </w:rPr>
        <w:t xml:space="preserve">), while others reach northern Africa (</w:t>
      </w:r>
      <w:r>
        <w:rPr>
          <w:rFonts w:ascii="Calibri" w:hAnsi="Calibri" w:eastAsia="Calibri" w:cs="Calibri"/>
          <w:i/>
          <w:iCs/>
          <w:color w:val="000000"/>
          <w:sz w:val="22"/>
          <w:szCs w:val="22"/>
        </w:rPr>
        <w:t xml:space="preserve">Q. afares, Q. ilex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 suber</w:t>
      </w:r>
      <w:r>
        <w:rPr>
          <w:rFonts w:ascii="Calibri" w:hAnsi="Calibri" w:eastAsia="Calibri" w:cs="Calibri"/>
          <w:color w:val="000000"/>
          <w:sz w:val="22"/>
          <w:szCs w:val="22"/>
        </w:rPr>
        <w:t xml:space="preserve">) (Quercus Portal, 2017). </w:t>
      </w:r>
      <w:r>
        <w:rPr>
          <w:rFonts w:ascii="Calibri" w:hAnsi="Calibri" w:eastAsia="Calibri" w:cs="Calibri"/>
          <w:i/>
          <w:iCs/>
          <w:color w:val="000000"/>
          <w:sz w:val="22"/>
          <w:szCs w:val="22"/>
        </w:rPr>
        <w:t xml:space="preserve">Q. robur </w:t>
      </w:r>
      <w:r>
        <w:rPr>
          <w:rFonts w:ascii="Calibri" w:hAnsi="Calibri" w:eastAsia="Calibri" w:cs="Calibri"/>
          <w:color w:val="000000"/>
          <w:sz w:val="22"/>
          <w:szCs w:val="22"/>
        </w:rPr>
        <w:t xml:space="preserve">has the largest geographic range of any of the European oaks, extending from Scotland and Norway in the north to Portugal, Greece and Turkey in the south and eastward in Russia to the Urals (Eaton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and the many European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species are important as timber and ornamentals trees, as well as for food for humans and wildlife (Conedera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Eaton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2016). In North America, the only European tree species that </w:t>
      </w: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has been documented to infest is</w:t>
      </w:r>
      <w:r>
        <w:rPr>
          <w:rFonts w:ascii="Calibri" w:hAnsi="Calibri" w:eastAsia="Calibri" w:cs="Calibri"/>
          <w:i/>
          <w:iCs/>
          <w:color w:val="000000"/>
          <w:sz w:val="22"/>
          <w:szCs w:val="22"/>
        </w:rPr>
        <w:t xml:space="preserve"> Q. robur</w:t>
      </w:r>
      <w:r>
        <w:rPr>
          <w:rFonts w:ascii="Calibri" w:hAnsi="Calibri" w:eastAsia="Calibri" w:cs="Calibri"/>
          <w:color w:val="000000"/>
          <w:sz w:val="22"/>
          <w:szCs w:val="22"/>
        </w:rPr>
        <w:t xml:space="preserve">. In these situations, both occurring in Michigan, </w:t>
      </w:r>
      <w:r>
        <w:rPr>
          <w:rFonts w:ascii="Calibri" w:hAnsi="Calibri" w:eastAsia="Calibri" w:cs="Calibri"/>
          <w:i/>
          <w:iCs/>
          <w:color w:val="000000"/>
          <w:sz w:val="22"/>
          <w:szCs w:val="22"/>
        </w:rPr>
        <w:t xml:space="preserve">A. bilineatus</w:t>
      </w:r>
      <w:r>
        <w:rPr>
          <w:rFonts w:ascii="Calibri" w:hAnsi="Calibri" w:eastAsia="Calibri" w:cs="Calibri"/>
          <w:color w:val="000000"/>
          <w:sz w:val="22"/>
          <w:szCs w:val="22"/>
        </w:rPr>
        <w:t xml:space="preserve"> apparently infested and killed </w:t>
      </w:r>
      <w:r>
        <w:rPr>
          <w:rFonts w:ascii="Calibri" w:hAnsi="Calibri" w:eastAsia="Calibri" w:cs="Calibri"/>
          <w:i/>
          <w:iCs/>
          <w:color w:val="000000"/>
          <w:sz w:val="22"/>
          <w:szCs w:val="22"/>
        </w:rPr>
        <w:t xml:space="preserve">Q. robur </w:t>
      </w:r>
      <w:r>
        <w:rPr>
          <w:rFonts w:ascii="Calibri" w:hAnsi="Calibri" w:eastAsia="Calibri" w:cs="Calibri"/>
          <w:color w:val="000000"/>
          <w:sz w:val="22"/>
          <w:szCs w:val="22"/>
        </w:rPr>
        <w:t xml:space="preserve">trees planted as ornamentals on the Michigan State University (MSU) campus (Haack, unpublished data), and at two MSU Experimental Forest genetic test sites where it was inter-planted with native </w:t>
      </w:r>
      <w:r>
        <w:rPr>
          <w:rFonts w:ascii="Calibri" w:hAnsi="Calibri" w:eastAsia="Calibri" w:cs="Calibri"/>
          <w:i/>
          <w:iCs/>
          <w:color w:val="000000"/>
          <w:sz w:val="22"/>
          <w:szCs w:val="22"/>
        </w:rPr>
        <w:t xml:space="preserve">Q. alba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trees (Haack, 1986).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bilineatus </w:t>
      </w:r>
      <w:r>
        <w:rPr>
          <w:rFonts w:ascii="Calibri" w:hAnsi="Calibri" w:eastAsia="Calibri" w:cs="Calibri"/>
          <w:color w:val="000000"/>
          <w:sz w:val="22"/>
          <w:szCs w:val="22"/>
        </w:rPr>
        <w:t xml:space="preserve">was added to the EPPO Alert List in 2018 (EPPO, 2018) and to the EPPO A2 list in 2019. Suggested phytosanitary measures are specified in the pest risk analysis (PRA) performed by EPPO in 2018 (EPPO, 2019) and these are as follows. Plants for planting of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should originate from pest-free areas or pest-free sites of production under complete physical isolation, plants being packed in conditions preventing infestation during transport (or commercialized outside the period where adults are present). Round wood and sawn wood of more than 6 mm thickness of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should either originate in pest-free areas or undergo debarking followed by heat treatment, irradiation or fumigation. Alternatively, the bark may be removed with 2.5 cm of outer xylem. Bark and cut branches of </w:t>
      </w:r>
      <w:r>
        <w:rPr>
          <w:rFonts w:ascii="Calibri" w:hAnsi="Calibri" w:eastAsia="Calibri" w:cs="Calibri"/>
          <w:i/>
          <w:iCs/>
          <w:color w:val="000000"/>
          <w:sz w:val="22"/>
          <w:szCs w:val="22"/>
        </w:rPr>
        <w:t xml:space="preserve">Castanea </w:t>
      </w:r>
      <w:r>
        <w:rPr>
          <w:rFonts w:ascii="Calibri" w:hAnsi="Calibri" w:eastAsia="Calibri" w:cs="Calibri"/>
          <w:color w:val="000000"/>
          <w:sz w:val="22"/>
          <w:szCs w:val="22"/>
        </w:rPr>
        <w:t xml:space="preserve">spp. and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should originate in pest-free areas. Wood chips, hogwood and processing wood residues should originate in pest-free areas and be stored and transported under control of the NPPO to prevent contamination by adults. Wood packaging material should undergo treatment according to ISPM 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Baker WL (1941) Effect of gypsy moth defoliation on certain forest trees.</w:t>
      </w:r>
      <w:r>
        <w:rPr>
          <w:rFonts w:ascii="Calibri" w:hAnsi="Calibri" w:eastAsia="Calibri" w:cs="Calibri"/>
          <w:i/>
          <w:iCs/>
          <w:color w:val="000000"/>
          <w:sz w:val="22"/>
          <w:szCs w:val="22"/>
        </w:rPr>
        <w:t xml:space="preserve"> Journal of Forestry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1017–1022.</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(1987) The Metallic Wood-Boring Beetles of Canada and Alaska, Coleoptera: Buprestidae. The Insects and Arachnids of Canada, Part 15. Biosystematics Research Center, Ottawa (CA).</w:t>
      </w:r>
    </w:p>
    <w:p>
      <w:pPr>
        <w:widowControl w:val="on"/>
        <w:pBdr/>
        <w:spacing w:before="220" w:after="220" w:line="240" w:lineRule="auto"/>
        <w:ind w:left="0" w:right="0"/>
        <w:jc w:val="left"/>
      </w:pPr>
      <w:r>
        <w:rPr>
          <w:rFonts w:ascii="Calibri" w:hAnsi="Calibri" w:eastAsia="Calibri" w:cs="Calibri"/>
          <w:color w:val="000000"/>
          <w:sz w:val="22"/>
          <w:szCs w:val="22"/>
        </w:rPr>
        <w:t xml:space="preserve">Buck JH &amp; Marshall JM (2008) Hitchhiking as a secondary dispersal pathway for adult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197–199.</w:t>
      </w:r>
    </w:p>
    <w:p>
      <w:pPr>
        <w:widowControl w:val="on"/>
        <w:pBdr/>
        <w:spacing w:before="220" w:after="220" w:line="240" w:lineRule="auto"/>
        <w:ind w:left="0" w:right="0"/>
        <w:jc w:val="left"/>
      </w:pPr>
      <w:r>
        <w:rPr>
          <w:rFonts w:ascii="Calibri" w:hAnsi="Calibri" w:eastAsia="Calibri" w:cs="Calibri"/>
          <w:color w:val="000000"/>
          <w:sz w:val="22"/>
          <w:szCs w:val="22"/>
        </w:rPr>
        <w:t xml:space="preserve">Burke HE (1910) </w:t>
      </w:r>
      <w:r>
        <w:rPr>
          <w:rFonts w:ascii="Calibri" w:hAnsi="Calibri" w:eastAsia="Calibri" w:cs="Calibri"/>
          <w:i/>
          <w:iCs/>
          <w:color w:val="000000"/>
          <w:sz w:val="22"/>
          <w:szCs w:val="22"/>
        </w:rPr>
        <w:t xml:space="preserve">Injuries to Forest Trees by Flat-headed Borers,</w:t>
      </w:r>
      <w:r>
        <w:rPr>
          <w:rFonts w:ascii="Calibri" w:hAnsi="Calibri" w:eastAsia="Calibri" w:cs="Calibri"/>
          <w:color w:val="000000"/>
          <w:sz w:val="22"/>
          <w:szCs w:val="22"/>
        </w:rPr>
        <w:t xml:space="preserve"> pp. 399–415. Yearbook of the United States Department of Agriculture 1909,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Burke HE (1917) Flat headed borers affecting forest trees in the United States. </w:t>
      </w:r>
      <w:r>
        <w:rPr>
          <w:rFonts w:ascii="Calibri" w:hAnsi="Calibri" w:eastAsia="Calibri" w:cs="Calibri"/>
          <w:i/>
          <w:iCs/>
          <w:color w:val="000000"/>
          <w:sz w:val="22"/>
          <w:szCs w:val="22"/>
        </w:rPr>
        <w:t xml:space="preserve">USDA Bulletin </w:t>
      </w:r>
      <w:r>
        <w:rPr>
          <w:rFonts w:ascii="Calibri" w:hAnsi="Calibri" w:eastAsia="Calibri" w:cs="Calibri"/>
          <w:b/>
          <w:bCs/>
          <w:color w:val="000000"/>
          <w:sz w:val="22"/>
          <w:szCs w:val="22"/>
        </w:rPr>
        <w:t xml:space="preserve">437</w:t>
      </w:r>
      <w:r>
        <w:rPr>
          <w:rFonts w:ascii="Calibri" w:hAnsi="Calibri" w:eastAsia="Calibri" w:cs="Calibri"/>
          <w:color w:val="000000"/>
          <w:sz w:val="22"/>
          <w:szCs w:val="22"/>
        </w:rPr>
        <w:t xml:space="preserve">.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Chamorro ML, Jendek E, Haack RA, Petrice TR, Woodley NE, Konstantinov AS et al. (2015) Illustrated Guide to the Emerald Ash Borer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Fairmaire and Related Species (Coleoptera, Buprestidae). Pensoft, Sofia.</w:t>
      </w:r>
    </w:p>
    <w:p>
      <w:pPr>
        <w:widowControl w:val="on"/>
        <w:pBdr/>
        <w:spacing w:before="220" w:after="220" w:line="240" w:lineRule="auto"/>
        <w:ind w:left="0" w:right="0"/>
        <w:jc w:val="left"/>
      </w:pPr>
      <w:r>
        <w:rPr>
          <w:rFonts w:ascii="Calibri" w:hAnsi="Calibri" w:eastAsia="Calibri" w:cs="Calibri"/>
          <w:color w:val="000000"/>
          <w:sz w:val="22"/>
          <w:szCs w:val="22"/>
        </w:rPr>
        <w:t xml:space="preserve">Chamorro ML, Volkovitsh MG, Poland TM, Haack RA &amp; Lingafelter SW (2012) Preimaginal stages of the emerald ash borer,</w:t>
      </w:r>
      <w:r>
        <w:rPr>
          <w:rFonts w:ascii="Calibri" w:hAnsi="Calibri" w:eastAsia="Calibri" w:cs="Calibri"/>
          <w:i/>
          <w:iCs/>
          <w:color w:val="000000"/>
          <w:sz w:val="22"/>
          <w:szCs w:val="22"/>
        </w:rPr>
        <w:t xml:space="preserve"> Agrilus planipennis</w:t>
      </w:r>
      <w:r>
        <w:rPr>
          <w:rFonts w:ascii="Calibri" w:hAnsi="Calibri" w:eastAsia="Calibri" w:cs="Calibri"/>
          <w:color w:val="000000"/>
          <w:sz w:val="22"/>
          <w:szCs w:val="22"/>
        </w:rPr>
        <w:t xml:space="preserve"> Fairmaire (Coleoptera: Buprestidae): an invasive pest on ash trees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(3), e33185. </w:t>
      </w:r>
      <w:hyperlink r:id="rId58256ad1b8ca34d6e" w:history="1">
        <w:r>
          <w:rPr>
            <w:rFonts w:ascii="Calibri" w:hAnsi="Calibri" w:eastAsia="Calibri" w:cs="Calibri"/>
            <w:color w:val="0000CC"/>
            <w:sz w:val="22"/>
            <w:szCs w:val="22"/>
            <w:u w:val="single"/>
          </w:rPr>
          <w:t xml:space="preserve">https://doi.org/10.1371/journal.pone.0033185.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Chapman RN (1915) Observations on the life history of</w:t>
      </w:r>
      <w:r>
        <w:rPr>
          <w:rFonts w:ascii="Calibri" w:hAnsi="Calibri" w:eastAsia="Calibri" w:cs="Calibri"/>
          <w:i/>
          <w:iCs/>
          <w:color w:val="000000"/>
          <w:sz w:val="22"/>
          <w:szCs w:val="22"/>
        </w:rPr>
        <w:t xml:space="preserve"> Agrilus bilineatus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283–294.</w:t>
      </w:r>
    </w:p>
    <w:p>
      <w:pPr>
        <w:widowControl w:val="on"/>
        <w:pBdr/>
        <w:spacing w:before="220" w:after="220" w:line="240" w:lineRule="auto"/>
        <w:ind w:left="0" w:right="0"/>
        <w:jc w:val="left"/>
      </w:pPr>
      <w:r>
        <w:rPr>
          <w:rFonts w:ascii="Calibri" w:hAnsi="Calibri" w:eastAsia="Calibri" w:cs="Calibri"/>
          <w:color w:val="000000"/>
          <w:sz w:val="22"/>
          <w:szCs w:val="22"/>
        </w:rPr>
        <w:t xml:space="preserve">Chittenden FH (1897) T</w:t>
      </w:r>
      <w:r>
        <w:rPr>
          <w:rFonts w:ascii="Calibri" w:hAnsi="Calibri" w:eastAsia="Calibri" w:cs="Calibri"/>
          <w:i/>
          <w:iCs/>
          <w:color w:val="000000"/>
          <w:sz w:val="22"/>
          <w:szCs w:val="22"/>
        </w:rPr>
        <w:t xml:space="preserve">he Twolined Chestnut Borer (Agrilus bilineatus Weber).</w:t>
      </w:r>
      <w:r>
        <w:rPr>
          <w:rFonts w:ascii="Calibri" w:hAnsi="Calibri" w:eastAsia="Calibri" w:cs="Calibri"/>
          <w:color w:val="000000"/>
          <w:sz w:val="22"/>
          <w:szCs w:val="22"/>
        </w:rPr>
        <w:t xml:space="preserve"> United States Department of Agriculture, Division of Entomology Circular 24.</w:t>
      </w:r>
    </w:p>
    <w:p>
      <w:pPr>
        <w:widowControl w:val="on"/>
        <w:pBdr/>
        <w:spacing w:before="220" w:after="220" w:line="240" w:lineRule="auto"/>
        <w:ind w:left="0" w:right="0"/>
        <w:jc w:val="left"/>
      </w:pPr>
      <w:r>
        <w:rPr>
          <w:rFonts w:ascii="Calibri" w:hAnsi="Calibri" w:eastAsia="Calibri" w:cs="Calibri"/>
          <w:color w:val="000000"/>
          <w:sz w:val="22"/>
          <w:szCs w:val="22"/>
        </w:rPr>
        <w:t xml:space="preserve">Chittenden FH. (1900) Food plants and injury of North American species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pp. 64–68. United States Department of Agriculture, Division of Entomology Bulletin 22,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Coleman TW, Smith SL, Jones MI, Graves AD &amp; Strom BL (2016) Effect of contact insecticides against the invasive goldspotted oak borer (Coleoptera: Buprestidae) in California.</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2436–2445.</w:t>
      </w:r>
    </w:p>
    <w:p>
      <w:pPr>
        <w:widowControl w:val="on"/>
        <w:pBdr/>
        <w:spacing w:before="220" w:after="220" w:line="240" w:lineRule="auto"/>
        <w:ind w:left="0" w:right="0"/>
        <w:jc w:val="left"/>
      </w:pPr>
      <w:r>
        <w:rPr>
          <w:rFonts w:ascii="Calibri" w:hAnsi="Calibri" w:eastAsia="Calibri" w:cs="Calibri"/>
          <w:color w:val="000000"/>
          <w:sz w:val="22"/>
          <w:szCs w:val="22"/>
        </w:rPr>
        <w:t xml:space="preserve">Coleman TW, Smith SL, Jones MI, Graves AD &amp; Strom BL (2017) Efficacy of systemic insecticides for control of the invasive goldspotted oak borer (Coleoptera: Buprestidae) in California.</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2129–2139.</w:t>
      </w:r>
    </w:p>
    <w:p>
      <w:pPr>
        <w:widowControl w:val="on"/>
        <w:pBdr/>
        <w:spacing w:before="220" w:after="220" w:line="240" w:lineRule="auto"/>
        <w:ind w:left="0" w:right="0"/>
        <w:jc w:val="left"/>
      </w:pPr>
      <w:r>
        <w:rPr>
          <w:rFonts w:ascii="Calibri" w:hAnsi="Calibri" w:eastAsia="Calibri" w:cs="Calibri"/>
          <w:color w:val="000000"/>
          <w:sz w:val="22"/>
          <w:szCs w:val="22"/>
        </w:rPr>
        <w:t xml:space="preserve">Conedera M, Tinner W, Krebs P, de Rigo D &amp; Caudullo G. (2016)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in Europe: distribution, habitat, usage and threats. In </w:t>
      </w:r>
      <w:r>
        <w:rPr>
          <w:rFonts w:ascii="Calibri" w:hAnsi="Calibri" w:eastAsia="Calibri" w:cs="Calibri"/>
          <w:i/>
          <w:iCs/>
          <w:color w:val="000000"/>
          <w:sz w:val="22"/>
          <w:szCs w:val="22"/>
        </w:rPr>
        <w:t xml:space="preserve">European Atlas of Forest Tree Species</w:t>
      </w:r>
      <w:r>
        <w:rPr>
          <w:rFonts w:ascii="Calibri" w:hAnsi="Calibri" w:eastAsia="Calibri" w:cs="Calibri"/>
          <w:color w:val="000000"/>
          <w:sz w:val="22"/>
          <w:szCs w:val="22"/>
        </w:rPr>
        <w:t xml:space="preserve"> (Eds by San-Miguel-Ayanz J, De Rigo D, Caudullo G, Houston Durrant T &amp; Mauri A), pp. 78–79. Publications Office of the European Union, Luxembourg.</w:t>
      </w:r>
    </w:p>
    <w:p>
      <w:pPr>
        <w:widowControl w:val="on"/>
        <w:pBdr/>
        <w:spacing w:before="220" w:after="220" w:line="240" w:lineRule="auto"/>
        <w:ind w:left="0" w:right="0"/>
        <w:jc w:val="left"/>
      </w:pPr>
      <w:r>
        <w:rPr>
          <w:rFonts w:ascii="Calibri" w:hAnsi="Calibri" w:eastAsia="Calibri" w:cs="Calibri"/>
          <w:color w:val="000000"/>
          <w:sz w:val="22"/>
          <w:szCs w:val="22"/>
        </w:rPr>
        <w:t xml:space="preserve">Cote WA &amp; Allen DC (1980) Biology of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in Pennsylvania and New York.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409–413.</w:t>
      </w:r>
    </w:p>
    <w:p>
      <w:pPr>
        <w:widowControl w:val="on"/>
        <w:pBdr/>
        <w:spacing w:before="220" w:after="220" w:line="240" w:lineRule="auto"/>
        <w:ind w:left="0" w:right="0"/>
        <w:jc w:val="left"/>
      </w:pPr>
      <w:r>
        <w:rPr>
          <w:rFonts w:ascii="Calibri" w:hAnsi="Calibri" w:eastAsia="Calibri" w:cs="Calibri"/>
          <w:color w:val="000000"/>
          <w:sz w:val="22"/>
          <w:szCs w:val="22"/>
        </w:rPr>
        <w:t xml:space="preserve">Domingue MJ, Pulsifer DP, Lakhtakia A, Berkebile J, Steiner KC, Lelito JP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Detecting emerald ash borers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using branch traps baited with 3D-printed beetle decoys. </w:t>
      </w:r>
      <w:r>
        <w:rPr>
          <w:rFonts w:ascii="Calibri" w:hAnsi="Calibri" w:eastAsia="Calibri" w:cs="Calibri"/>
          <w:i/>
          <w:iCs/>
          <w:color w:val="000000"/>
          <w:sz w:val="22"/>
          <w:szCs w:val="22"/>
        </w:rPr>
        <w:t xml:space="preserve">Journal of Pest Science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267–279.</w:t>
      </w:r>
    </w:p>
    <w:p>
      <w:pPr>
        <w:widowControl w:val="on"/>
        <w:pBdr/>
        <w:spacing w:before="220" w:after="220" w:line="240" w:lineRule="auto"/>
        <w:ind w:left="0" w:right="0"/>
        <w:jc w:val="left"/>
      </w:pPr>
      <w:r>
        <w:rPr>
          <w:rFonts w:ascii="Calibri" w:hAnsi="Calibri" w:eastAsia="Calibri" w:cs="Calibri"/>
          <w:color w:val="000000"/>
          <w:sz w:val="22"/>
          <w:szCs w:val="22"/>
        </w:rPr>
        <w:t xml:space="preserve">Dunbar DM &amp; Stephens GR (1974) Twolined chestnut borer: effects of storage conditions, processing, and insecticides on its survival in oak logs.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427–429.</w:t>
      </w:r>
    </w:p>
    <w:p>
      <w:pPr>
        <w:widowControl w:val="on"/>
        <w:pBdr/>
        <w:spacing w:before="220" w:after="220" w:line="240" w:lineRule="auto"/>
        <w:ind w:left="0" w:right="0"/>
        <w:jc w:val="left"/>
      </w:pPr>
      <w:r>
        <w:rPr>
          <w:rFonts w:ascii="Calibri" w:hAnsi="Calibri" w:eastAsia="Calibri" w:cs="Calibri"/>
          <w:color w:val="000000"/>
          <w:sz w:val="22"/>
          <w:szCs w:val="22"/>
        </w:rPr>
        <w:t xml:space="preserve">Dunbar DM &amp; Stephens GR (1975) Association of two-lined chestnut borer and shoestring fungus with mortality of defoliated oak in Connecticut.</w:t>
      </w:r>
      <w:r>
        <w:rPr>
          <w:rFonts w:ascii="Calibri" w:hAnsi="Calibri" w:eastAsia="Calibri" w:cs="Calibri"/>
          <w:i/>
          <w:iCs/>
          <w:color w:val="000000"/>
          <w:sz w:val="22"/>
          <w:szCs w:val="22"/>
        </w:rPr>
        <w:t xml:space="preserve">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169–174.</w:t>
      </w:r>
    </w:p>
    <w:p>
      <w:pPr>
        <w:widowControl w:val="on"/>
        <w:pBdr/>
        <w:spacing w:before="220" w:after="220" w:line="240" w:lineRule="auto"/>
        <w:ind w:left="0" w:right="0"/>
        <w:jc w:val="left"/>
      </w:pPr>
      <w:r>
        <w:rPr>
          <w:rFonts w:ascii="Calibri" w:hAnsi="Calibri" w:eastAsia="Calibri" w:cs="Calibri"/>
          <w:color w:val="000000"/>
          <w:sz w:val="22"/>
          <w:szCs w:val="22"/>
        </w:rPr>
        <w:t xml:space="preserve">Dunbar DM &amp; Stephens GR (1976) The bionomics of the two-lined chestnut borer. In </w:t>
      </w:r>
      <w:r>
        <w:rPr>
          <w:rFonts w:ascii="Calibri" w:hAnsi="Calibri" w:eastAsia="Calibri" w:cs="Calibri"/>
          <w:i/>
          <w:iCs/>
          <w:color w:val="000000"/>
          <w:sz w:val="22"/>
          <w:szCs w:val="22"/>
        </w:rPr>
        <w:t xml:space="preserve">Perspectives in Forest Entomology </w:t>
      </w:r>
      <w:r>
        <w:rPr>
          <w:rFonts w:ascii="Calibri" w:hAnsi="Calibri" w:eastAsia="Calibri" w:cs="Calibri"/>
          <w:color w:val="000000"/>
          <w:sz w:val="22"/>
          <w:szCs w:val="22"/>
        </w:rPr>
        <w:t xml:space="preserve">(Eds. Anderson JF &amp; Kaya HK), pp. 73–83. Academic Press,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Dunn JP, Kimmerer TW &amp; Nordin GL (1986a) The role of host tree condition in attack of white oaks by the twolined chestnut borer, </w:t>
      </w:r>
      <w:r>
        <w:rPr>
          <w:rFonts w:ascii="Calibri" w:hAnsi="Calibri" w:eastAsia="Calibri" w:cs="Calibri"/>
          <w:i/>
          <w:iCs/>
          <w:color w:val="000000"/>
          <w:sz w:val="22"/>
          <w:szCs w:val="22"/>
        </w:rPr>
        <w:t xml:space="preserve">Agrilus bilineatus </w:t>
      </w:r>
      <w:r>
        <w:rPr>
          <w:rFonts w:ascii="Calibri" w:hAnsi="Calibri" w:eastAsia="Calibri" w:cs="Calibri"/>
          <w:color w:val="000000"/>
          <w:sz w:val="22"/>
          <w:szCs w:val="22"/>
        </w:rPr>
        <w:t xml:space="preserve">(Weber) (Coleoptera: Buprestidae). </w:t>
      </w:r>
      <w:r>
        <w:rPr>
          <w:rFonts w:ascii="Calibri" w:hAnsi="Calibri" w:eastAsia="Calibri" w:cs="Calibri"/>
          <w:i/>
          <w:iCs/>
          <w:color w:val="000000"/>
          <w:sz w:val="22"/>
          <w:szCs w:val="22"/>
        </w:rPr>
        <w:t xml:space="preserve">Oecologia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596–600.</w:t>
      </w:r>
    </w:p>
    <w:p>
      <w:pPr>
        <w:widowControl w:val="on"/>
        <w:pBdr/>
        <w:spacing w:before="220" w:after="220" w:line="240" w:lineRule="auto"/>
        <w:ind w:left="0" w:right="0"/>
        <w:jc w:val="left"/>
      </w:pPr>
      <w:r>
        <w:rPr>
          <w:rFonts w:ascii="Calibri" w:hAnsi="Calibri" w:eastAsia="Calibri" w:cs="Calibri"/>
          <w:color w:val="000000"/>
          <w:sz w:val="22"/>
          <w:szCs w:val="22"/>
        </w:rPr>
        <w:t xml:space="preserve">Dunn JP, Kimmerer TW &amp; Nordin GL (1986b) Attraction of the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(Weber) (Coleoptera: Buprestidae), and associated borers to volatiles of stressed white oak.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503–509.</w:t>
      </w:r>
    </w:p>
    <w:p>
      <w:pPr>
        <w:widowControl w:val="on"/>
        <w:pBdr/>
        <w:spacing w:before="220" w:after="220" w:line="240" w:lineRule="auto"/>
        <w:ind w:left="0" w:right="0"/>
        <w:jc w:val="left"/>
      </w:pPr>
      <w:r>
        <w:rPr>
          <w:rFonts w:ascii="Calibri" w:hAnsi="Calibri" w:eastAsia="Calibri" w:cs="Calibri"/>
          <w:color w:val="000000"/>
          <w:sz w:val="22"/>
          <w:szCs w:val="22"/>
        </w:rPr>
        <w:t xml:space="preserve">Dunn JP &amp; Potter DA (1988) Evidence for sexual attraction by the twolined chestnut borer, </w:t>
      </w:r>
      <w:r>
        <w:rPr>
          <w:rFonts w:ascii="Calibri" w:hAnsi="Calibri" w:eastAsia="Calibri" w:cs="Calibri"/>
          <w:i/>
          <w:iCs/>
          <w:color w:val="000000"/>
          <w:sz w:val="22"/>
          <w:szCs w:val="22"/>
        </w:rPr>
        <w:t xml:space="preserve">Agrilus bilineatus </w:t>
      </w:r>
      <w:r>
        <w:rPr>
          <w:rFonts w:ascii="Calibri" w:hAnsi="Calibri" w:eastAsia="Calibri" w:cs="Calibri"/>
          <w:color w:val="000000"/>
          <w:sz w:val="22"/>
          <w:szCs w:val="22"/>
        </w:rPr>
        <w:t xml:space="preserve">(Weber) (Coleoptera: Buprestidae).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1037–1039.</w:t>
      </w:r>
    </w:p>
    <w:p>
      <w:pPr>
        <w:widowControl w:val="on"/>
        <w:pBdr/>
        <w:spacing w:before="220" w:after="220" w:line="240" w:lineRule="auto"/>
        <w:ind w:left="0" w:right="0"/>
        <w:jc w:val="left"/>
      </w:pPr>
      <w:r>
        <w:rPr>
          <w:rFonts w:ascii="Calibri" w:hAnsi="Calibri" w:eastAsia="Calibri" w:cs="Calibri"/>
          <w:color w:val="000000"/>
          <w:sz w:val="22"/>
          <w:szCs w:val="22"/>
        </w:rPr>
        <w:t xml:space="preserve">Dunn JP, Potter DA &amp; Kimmerer TW (1990) Attraction of the twolined chestnut borer (Coleoptera: Buprestidae) to scarlet oaks infected with chestnut blight fungus.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239–243.</w:t>
      </w:r>
    </w:p>
    <w:p>
      <w:pPr>
        <w:widowControl w:val="on"/>
        <w:pBdr/>
        <w:spacing w:before="220" w:after="220" w:line="240" w:lineRule="auto"/>
        <w:ind w:left="0" w:right="0"/>
        <w:jc w:val="left"/>
      </w:pPr>
      <w:r>
        <w:rPr>
          <w:rFonts w:ascii="Calibri" w:hAnsi="Calibri" w:eastAsia="Calibri" w:cs="Calibri"/>
          <w:color w:val="000000"/>
          <w:sz w:val="22"/>
          <w:szCs w:val="22"/>
        </w:rPr>
        <w:t xml:space="preserve">Eaton E, Caudullo G, Oliveira S &amp; de Rigo D. (2016) </w:t>
      </w:r>
      <w:r>
        <w:rPr>
          <w:rFonts w:ascii="Calibri" w:hAnsi="Calibri" w:eastAsia="Calibri" w:cs="Calibri"/>
          <w:i/>
          <w:iCs/>
          <w:color w:val="000000"/>
          <w:sz w:val="22"/>
          <w:szCs w:val="22"/>
        </w:rPr>
        <w:t xml:space="preserve">Quercus robur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Quercus petraea </w:t>
      </w:r>
      <w:r>
        <w:rPr>
          <w:rFonts w:ascii="Calibri" w:hAnsi="Calibri" w:eastAsia="Calibri" w:cs="Calibri"/>
          <w:color w:val="000000"/>
          <w:sz w:val="22"/>
          <w:szCs w:val="22"/>
        </w:rPr>
        <w:t xml:space="preserve">in Europe: distribution, habitat, usage and threats. In </w:t>
      </w:r>
      <w:r>
        <w:rPr>
          <w:rFonts w:ascii="Calibri" w:hAnsi="Calibri" w:eastAsia="Calibri" w:cs="Calibri"/>
          <w:i/>
          <w:iCs/>
          <w:color w:val="000000"/>
          <w:sz w:val="22"/>
          <w:szCs w:val="22"/>
        </w:rPr>
        <w:t xml:space="preserve">European Atlas of Forest Tree Species </w:t>
      </w:r>
      <w:r>
        <w:rPr>
          <w:rFonts w:ascii="Calibri" w:hAnsi="Calibri" w:eastAsia="Calibri" w:cs="Calibri"/>
          <w:color w:val="000000"/>
          <w:sz w:val="22"/>
          <w:szCs w:val="22"/>
        </w:rPr>
        <w:t xml:space="preserve">(Ed. San-Miguel-Ayanz J, De Rigo D, Caudullo G, Houston Durrant T &amp; Mauri A), pp. 160–163. Publication Office of the European Union, Luxembourg.</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Pest Alert List: </w:t>
      </w:r>
      <w:r>
        <w:rPr>
          <w:rFonts w:ascii="Calibri" w:hAnsi="Calibri" w:eastAsia="Calibri" w:cs="Calibri"/>
          <w:i/>
          <w:iCs/>
          <w:color w:val="000000"/>
          <w:sz w:val="22"/>
          <w:szCs w:val="22"/>
        </w:rPr>
        <w:t xml:space="preserve">Agrilus bilineatus </w:t>
      </w:r>
      <w:r>
        <w:rPr>
          <w:rFonts w:ascii="Calibri" w:hAnsi="Calibri" w:eastAsia="Calibri" w:cs="Calibri"/>
          <w:color w:val="000000"/>
          <w:sz w:val="22"/>
          <w:szCs w:val="22"/>
        </w:rPr>
        <w:t xml:space="preserve">(Coleoptera: Buprestidae). </w:t>
      </w:r>
      <w:hyperlink r:id="rId64116ad1b8ca355a6" w:history="1">
        <w:r>
          <w:rPr>
            <w:rFonts w:ascii="Calibri" w:hAnsi="Calibri" w:eastAsia="Calibri" w:cs="Calibri"/>
            <w:color w:val="0000CC"/>
            <w:sz w:val="22"/>
            <w:szCs w:val="22"/>
            <w:u w:val="single"/>
          </w:rPr>
          <w:t xml:space="preserve">https://gd.eppo.int/taxon/AGRLBL/documents</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Document 19-24767 Pest Risk Analysis for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w:t>
      </w:r>
      <w:hyperlink r:id="rId45606ad1b8ca3560a" w:history="1">
        <w:r>
          <w:rPr>
            <w:rFonts w:ascii="Calibri" w:hAnsi="Calibri" w:eastAsia="Calibri" w:cs="Calibri"/>
            <w:color w:val="0000CC"/>
            <w:sz w:val="22"/>
            <w:szCs w:val="22"/>
            <w:u w:val="single"/>
          </w:rPr>
          <w:t xml:space="preserve">https://gd.eppo.int/taxon/AGRLBL/documents</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HF, Moraal LG &amp; Pajares JA (2004) Biology, ecology and economic importance of Buprestidae and Cerambycidae. In</w:t>
      </w:r>
      <w:r>
        <w:rPr>
          <w:rFonts w:ascii="Calibri" w:hAnsi="Calibri" w:eastAsia="Calibri" w:cs="Calibri"/>
          <w:i/>
          <w:iCs/>
          <w:color w:val="000000"/>
          <w:sz w:val="22"/>
          <w:szCs w:val="22"/>
        </w:rPr>
        <w:t xml:space="preserve"> Bark and Wood Boring Insects in Living Trees in Europe, a Synthesis</w:t>
      </w:r>
      <w:r>
        <w:rPr>
          <w:rFonts w:ascii="Calibri" w:hAnsi="Calibri" w:eastAsia="Calibri" w:cs="Calibri"/>
          <w:color w:val="000000"/>
          <w:sz w:val="22"/>
          <w:szCs w:val="22"/>
        </w:rPr>
        <w:t xml:space="preserve"> (Eds Lieutier F, Day RK, Battisti A, Gregoire J-C &amp; Evans FH), pp. 447–474. Kluwer Academic Publishers, Dordrecht (NL).</w:t>
      </w:r>
    </w:p>
    <w:p>
      <w:pPr>
        <w:widowControl w:val="on"/>
        <w:pBdr/>
        <w:spacing w:before="220" w:after="220" w:line="240" w:lineRule="auto"/>
        <w:ind w:left="0" w:right="0"/>
        <w:jc w:val="left"/>
      </w:pPr>
      <w:r>
        <w:rPr>
          <w:rFonts w:ascii="Calibri" w:hAnsi="Calibri" w:eastAsia="Calibri" w:cs="Calibri"/>
          <w:color w:val="000000"/>
          <w:sz w:val="22"/>
          <w:szCs w:val="22"/>
        </w:rPr>
        <w:t xml:space="preserve">Fauske G. (2018) Personal communication on 27 August 2018 providing collection records of Agrilus bilineatus in North Dakota based on specimens housed in the North Dakota State University insect Collection. Email message on file at EPPO.</w:t>
      </w:r>
    </w:p>
    <w:p>
      <w:pPr>
        <w:widowControl w:val="on"/>
        <w:pBdr/>
        <w:spacing w:before="220" w:after="220" w:line="240" w:lineRule="auto"/>
        <w:ind w:left="0" w:right="0"/>
        <w:jc w:val="left"/>
      </w:pPr>
      <w:r>
        <w:rPr>
          <w:rFonts w:ascii="Calibri" w:hAnsi="Calibri" w:eastAsia="Calibri" w:cs="Calibri"/>
          <w:color w:val="000000"/>
          <w:sz w:val="22"/>
          <w:szCs w:val="22"/>
        </w:rPr>
        <w:t xml:space="preserve">Felt EP (1924) Manual of Tree and Shrub Insects. MacMillan Co, New York (US).</w:t>
      </w:r>
    </w:p>
    <w:p>
      <w:pPr>
        <w:widowControl w:val="on"/>
        <w:pBdr/>
        <w:spacing w:before="220" w:after="220" w:line="240" w:lineRule="auto"/>
        <w:ind w:left="0" w:right="0"/>
        <w:jc w:val="left"/>
      </w:pPr>
      <w:r>
        <w:rPr>
          <w:rFonts w:ascii="Calibri" w:hAnsi="Calibri" w:eastAsia="Calibri" w:cs="Calibri"/>
          <w:color w:val="000000"/>
          <w:sz w:val="22"/>
          <w:szCs w:val="22"/>
        </w:rPr>
        <w:t xml:space="preserve">Felt EP (1935) The important shade tree insects in 1934.</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390–393.</w:t>
      </w:r>
    </w:p>
    <w:p>
      <w:pPr>
        <w:widowControl w:val="on"/>
        <w:pBdr/>
        <w:spacing w:before="220" w:after="220" w:line="240" w:lineRule="auto"/>
        <w:ind w:left="0" w:right="0"/>
        <w:jc w:val="left"/>
      </w:pPr>
      <w:r>
        <w:rPr>
          <w:rFonts w:ascii="Calibri" w:hAnsi="Calibri" w:eastAsia="Calibri" w:cs="Calibri"/>
          <w:color w:val="000000"/>
          <w:sz w:val="22"/>
          <w:szCs w:val="22"/>
        </w:rPr>
        <w:t xml:space="preserve">Felt EP &amp; Bromley SW (1931) Observations on shade tree insects.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157–162.</w:t>
      </w:r>
    </w:p>
    <w:p>
      <w:pPr>
        <w:widowControl w:val="on"/>
        <w:pBdr/>
        <w:spacing w:before="220" w:after="220" w:line="240" w:lineRule="auto"/>
        <w:ind w:left="0" w:right="0"/>
        <w:jc w:val="left"/>
      </w:pPr>
      <w:r>
        <w:rPr>
          <w:rFonts w:ascii="Calibri" w:hAnsi="Calibri" w:eastAsia="Calibri" w:cs="Calibri"/>
          <w:color w:val="000000"/>
          <w:sz w:val="22"/>
          <w:szCs w:val="22"/>
        </w:rPr>
        <w:t xml:space="preserve">Felt EP &amp; Bromley SW (1932) Observations on shade tree insects.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39–46.</w:t>
      </w:r>
    </w:p>
    <w:p>
      <w:pPr>
        <w:widowControl w:val="on"/>
        <w:pBdr/>
        <w:spacing w:before="220" w:after="220" w:line="240" w:lineRule="auto"/>
        <w:ind w:left="0" w:right="0"/>
        <w:jc w:val="left"/>
      </w:pPr>
      <w:r>
        <w:rPr>
          <w:rFonts w:ascii="Calibri" w:hAnsi="Calibri" w:eastAsia="Calibri" w:cs="Calibri"/>
          <w:color w:val="000000"/>
          <w:sz w:val="22"/>
          <w:szCs w:val="22"/>
        </w:rPr>
        <w:t xml:space="preserve">Fisher WS (1928) A revision of the North American species of buprestid beetles belonging to the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United States National Museum Bulletin 145. Washington DC.</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(1980) The Biology and Ecology of the Twolined Chestnut Borer,</w:t>
      </w:r>
      <w:r>
        <w:rPr>
          <w:rFonts w:ascii="Calibri" w:hAnsi="Calibri" w:eastAsia="Calibri" w:cs="Calibri"/>
          <w:i/>
          <w:iCs/>
          <w:color w:val="000000"/>
          <w:sz w:val="22"/>
          <w:szCs w:val="22"/>
        </w:rPr>
        <w:t xml:space="preserve"> Agrilus bilineatus</w:t>
      </w:r>
      <w:r>
        <w:rPr>
          <w:rFonts w:ascii="Calibri" w:hAnsi="Calibri" w:eastAsia="Calibri" w:cs="Calibri"/>
          <w:color w:val="000000"/>
          <w:sz w:val="22"/>
          <w:szCs w:val="22"/>
        </w:rPr>
        <w:t xml:space="preserve">, in Southern Wisconsin. Master’s Thesis, Department of Entomology, University of Wisconsin, Madison.</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(1985) Management prescriptions for the twolined chestnut borer. In C</w:t>
      </w:r>
      <w:r>
        <w:rPr>
          <w:rFonts w:ascii="Calibri" w:hAnsi="Calibri" w:eastAsia="Calibri" w:cs="Calibri"/>
          <w:i/>
          <w:iCs/>
          <w:color w:val="000000"/>
          <w:sz w:val="22"/>
          <w:szCs w:val="22"/>
        </w:rPr>
        <w:t xml:space="preserve">hallenges in Oak Management and Utilization Proceedings</w:t>
      </w:r>
      <w:r>
        <w:rPr>
          <w:rFonts w:ascii="Calibri" w:hAnsi="Calibri" w:eastAsia="Calibri" w:cs="Calibri"/>
          <w:color w:val="000000"/>
          <w:sz w:val="22"/>
          <w:szCs w:val="22"/>
        </w:rPr>
        <w:t xml:space="preserve"> (Ed. Johnson J), pp. 42–53. Cooperative Extension Service, University Wisconsin, Madison (US).</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(1986) English oaks in Michigan: Are they susceptible to two-lined chestnut borer? </w:t>
      </w:r>
      <w:r>
        <w:rPr>
          <w:rFonts w:ascii="Calibri" w:hAnsi="Calibri" w:eastAsia="Calibri" w:cs="Calibri"/>
          <w:i/>
          <w:iCs/>
          <w:color w:val="000000"/>
          <w:sz w:val="22"/>
          <w:szCs w:val="22"/>
        </w:rPr>
        <w:t xml:space="preserve">Newsletter of the Michigan Entomological Society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(4), 6.</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Acciavatti RE (1992) Twolined chestnut borer. Forest Insect &amp; Disease Leaflet, 168. USDA Forest Service,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Benjamin DM (1980a) Influence of time of summer felling of infested oaks on larval development and adult emergence of the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University Wisconsin Forestry Research Note 236.</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Benjamin DM (1980b) Insecticidal control of the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in oak bark in May. University Wisconsin Forestry Research Note 237.</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Benjamin DM (1982) The biology and ecology of the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(Coleoptera: Buprestidae), on oaks, </w:t>
      </w:r>
      <w:r>
        <w:rPr>
          <w:rFonts w:ascii="Calibri" w:hAnsi="Calibri" w:eastAsia="Calibri" w:cs="Calibri"/>
          <w:i/>
          <w:iCs/>
          <w:color w:val="000000"/>
          <w:sz w:val="22"/>
          <w:szCs w:val="22"/>
        </w:rPr>
        <w:t xml:space="preserve">Quercus </w:t>
      </w:r>
      <w:r>
        <w:rPr>
          <w:rFonts w:ascii="Calibri" w:hAnsi="Calibri" w:eastAsia="Calibri" w:cs="Calibri"/>
          <w:color w:val="000000"/>
          <w:sz w:val="22"/>
          <w:szCs w:val="22"/>
        </w:rPr>
        <w:t xml:space="preserve">spp., in Wisconsin.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385–396.</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Benjamin DM &amp; Haack KD (1983) Buprestidae, Cerambycidae, and Scolytidae associated with successive stages of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(Coleoptera: Buprestidae) infestations of oaks in Wisconsin. </w:t>
      </w:r>
      <w:r>
        <w:rPr>
          <w:rFonts w:ascii="Calibri" w:hAnsi="Calibri" w:eastAsia="Calibri" w:cs="Calibri"/>
          <w:i/>
          <w:iCs/>
          <w:color w:val="000000"/>
          <w:sz w:val="22"/>
          <w:szCs w:val="22"/>
        </w:rPr>
        <w:t xml:space="preserve">Great Lakes Entomologist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47–55.</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Benjamin DM &amp; Schuh BA (1981) Observations on the biology of </w:t>
      </w:r>
      <w:r>
        <w:rPr>
          <w:rFonts w:ascii="Calibri" w:hAnsi="Calibri" w:eastAsia="Calibri" w:cs="Calibri"/>
          <w:i/>
          <w:iCs/>
          <w:color w:val="000000"/>
          <w:sz w:val="22"/>
          <w:szCs w:val="22"/>
        </w:rPr>
        <w:t xml:space="preserve">Phasgonophora </w:t>
      </w:r>
      <w:r>
        <w:rPr>
          <w:rFonts w:ascii="Calibri" w:hAnsi="Calibri" w:eastAsia="Calibri" w:cs="Calibri"/>
          <w:i/>
          <w:iCs/>
          <w:color w:val="000000"/>
          <w:sz w:val="22"/>
          <w:szCs w:val="22"/>
        </w:rPr>
        <w:t xml:space="preserve">sulcata </w:t>
      </w:r>
      <w:r>
        <w:rPr>
          <w:rFonts w:ascii="Calibri" w:hAnsi="Calibri" w:eastAsia="Calibri" w:cs="Calibri"/>
          <w:color w:val="000000"/>
          <w:sz w:val="22"/>
          <w:szCs w:val="22"/>
        </w:rPr>
        <w:t xml:space="preserve">(Hymenoptera: Chalcididae), a larval parasitoid of the twolined chestnut borer, </w:t>
      </w:r>
      <w:r>
        <w:rPr>
          <w:rFonts w:ascii="Calibri" w:hAnsi="Calibri" w:eastAsia="Calibri" w:cs="Calibri"/>
          <w:i/>
          <w:iCs/>
          <w:color w:val="000000"/>
          <w:sz w:val="22"/>
          <w:szCs w:val="22"/>
        </w:rPr>
        <w:t xml:space="preserve">Agrilus bilineatus </w:t>
      </w:r>
      <w:r>
        <w:rPr>
          <w:rFonts w:ascii="Calibri" w:hAnsi="Calibri" w:eastAsia="Calibri" w:cs="Calibri"/>
          <w:color w:val="000000"/>
          <w:sz w:val="22"/>
          <w:szCs w:val="22"/>
        </w:rPr>
        <w:t xml:space="preserve">(Coleoptera: Buprestidae), in Wisconsin.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113–116.</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&amp; Mattson WJ (1989) They nibbled while the forests burned. Natural History 98, 56–57.</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JA, Basham JP, Oliver JB, Youseef NN, Klingeman WE, Moulton JK et al. (2012) New state and host plant records for metallic wood-boring beetles (Coleoptera: Buprestidae) in Tennessee, U.S.A. </w:t>
      </w:r>
      <w:r>
        <w:rPr>
          <w:rFonts w:ascii="Calibri" w:hAnsi="Calibri" w:eastAsia="Calibri" w:cs="Calibri"/>
          <w:i/>
          <w:iCs/>
          <w:color w:val="000000"/>
          <w:sz w:val="22"/>
          <w:szCs w:val="22"/>
        </w:rPr>
        <w:t xml:space="preserve">The Coleopterists Bulletin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337–343.</w:t>
      </w:r>
    </w:p>
    <w:p>
      <w:pPr>
        <w:widowControl w:val="on"/>
        <w:pBdr/>
        <w:spacing w:before="220" w:after="220" w:line="240" w:lineRule="auto"/>
        <w:ind w:left="0" w:right="0"/>
        <w:jc w:val="left"/>
      </w:pPr>
      <w:r>
        <w:rPr>
          <w:rFonts w:ascii="Calibri" w:hAnsi="Calibri" w:eastAsia="Calibri" w:cs="Calibri"/>
          <w:color w:val="000000"/>
          <w:sz w:val="22"/>
          <w:szCs w:val="22"/>
        </w:rPr>
        <w:t xml:space="preserve">Herms DA, McCullough DG, Smitley DR, Sadof CS, Williamson RC &amp; Nixon PL (2014) Insecticide options for protecting ash trees from emerald ash borer. North Central IPM Center Bulletin. Online at: </w:t>
      </w:r>
      <w:hyperlink r:id="rId49476ad1b8ca35be3" w:history="1">
        <w:r>
          <w:rPr>
            <w:rFonts w:ascii="Calibri" w:hAnsi="Calibri" w:eastAsia="Calibri" w:cs="Calibri"/>
            <w:color w:val="0000CC"/>
            <w:sz w:val="22"/>
            <w:szCs w:val="22"/>
            <w:u w:val="single"/>
          </w:rPr>
          <w:t xml:space="preserve">http://www.emeraldashborer.info/files/Multistate_EAB_Insecticide_Fact_Sheet.pdf</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Hızal E &amp; Arslangündogdu Z (2018) The first record of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(Weber, 1801) (Coleoptera: Buprestidae) from Europe. </w:t>
      </w:r>
      <w:r>
        <w:rPr>
          <w:rFonts w:ascii="Calibri" w:hAnsi="Calibri" w:eastAsia="Calibri" w:cs="Calibri"/>
          <w:i/>
          <w:iCs/>
          <w:color w:val="000000"/>
          <w:sz w:val="22"/>
          <w:szCs w:val="22"/>
        </w:rPr>
        <w:t xml:space="preserve">Entomological News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127</w:t>
      </w:r>
      <w:r>
        <w:rPr>
          <w:rFonts w:ascii="Calibri" w:hAnsi="Calibri" w:eastAsia="Calibri" w:cs="Calibri"/>
          <w:color w:val="000000"/>
          <w:sz w:val="22"/>
          <w:szCs w:val="22"/>
        </w:rPr>
        <w:t xml:space="preserve">, 333–335.</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(1892) Some bred West Virginia Braconidae. </w:t>
      </w:r>
      <w:r>
        <w:rPr>
          <w:rFonts w:ascii="Calibri" w:hAnsi="Calibri" w:eastAsia="Calibri" w:cs="Calibri"/>
          <w:i/>
          <w:iCs/>
          <w:color w:val="000000"/>
          <w:sz w:val="22"/>
          <w:szCs w:val="22"/>
        </w:rPr>
        <w:t xml:space="preserve">Insect Life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256–259.</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(1894) Notes on some discoveries and observations of the year in West Virginia. </w:t>
      </w:r>
      <w:r>
        <w:rPr>
          <w:rFonts w:ascii="Calibri" w:hAnsi="Calibri" w:eastAsia="Calibri" w:cs="Calibri"/>
          <w:i/>
          <w:iCs/>
          <w:color w:val="000000"/>
          <w:sz w:val="22"/>
          <w:szCs w:val="22"/>
        </w:rPr>
        <w:t xml:space="preserve">Insect Life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145–151.</w:t>
      </w:r>
    </w:p>
    <w:p>
      <w:pPr>
        <w:widowControl w:val="on"/>
        <w:pBdr/>
        <w:spacing w:before="220" w:after="220" w:line="240" w:lineRule="auto"/>
        <w:ind w:left="0" w:right="0"/>
        <w:jc w:val="left"/>
      </w:pPr>
      <w:r>
        <w:rPr>
          <w:rFonts w:ascii="Calibri" w:hAnsi="Calibri" w:eastAsia="Calibri" w:cs="Calibri"/>
          <w:color w:val="000000"/>
          <w:sz w:val="22"/>
          <w:szCs w:val="22"/>
        </w:rPr>
        <w:t xml:space="preserve">Hopkins AD (1904) Insect injuries to hardwood forest trees, pp. 313–328. Yearbook of the United States Department of Agriculture 1903,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Horn GH (1891) The species of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of boreal America. T</w:t>
      </w:r>
      <w:r>
        <w:rPr>
          <w:rFonts w:ascii="Calibri" w:hAnsi="Calibri" w:eastAsia="Calibri" w:cs="Calibri"/>
          <w:i/>
          <w:iCs/>
          <w:color w:val="000000"/>
          <w:sz w:val="22"/>
          <w:szCs w:val="22"/>
        </w:rPr>
        <w:t xml:space="preserve">ransactions of the American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277–336.</w:t>
      </w:r>
    </w:p>
    <w:p>
      <w:pPr>
        <w:widowControl w:val="on"/>
        <w:pBdr/>
        <w:spacing w:before="220" w:after="220" w:line="240" w:lineRule="auto"/>
        <w:ind w:left="0" w:right="0"/>
        <w:jc w:val="left"/>
      </w:pPr>
      <w:r>
        <w:rPr>
          <w:rFonts w:ascii="Calibri" w:hAnsi="Calibri" w:eastAsia="Calibri" w:cs="Calibri"/>
          <w:color w:val="000000"/>
          <w:sz w:val="22"/>
          <w:szCs w:val="22"/>
        </w:rPr>
        <w:t xml:space="preserve">Hursh CR &amp; Haasis FW (1931) Effects of 1925 summer drought on southern Appalachian hardwoods. </w:t>
      </w:r>
      <w:r>
        <w:rPr>
          <w:rFonts w:ascii="Calibri" w:hAnsi="Calibri" w:eastAsia="Calibri" w:cs="Calibri"/>
          <w:i/>
          <w:iCs/>
          <w:color w:val="000000"/>
          <w:sz w:val="22"/>
          <w:szCs w:val="22"/>
        </w:rPr>
        <w:t xml:space="preserve">Ecology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380–386.</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(2016) Taxonomic, nomenclatural, distributional and biological study of the genus Agrilus (Coleoptera: Buprestidae).</w:t>
      </w:r>
      <w:r>
        <w:rPr>
          <w:rFonts w:ascii="Calibri" w:hAnsi="Calibri" w:eastAsia="Calibri" w:cs="Calibri"/>
          <w:i/>
          <w:iCs/>
          <w:color w:val="000000"/>
          <w:sz w:val="22"/>
          <w:szCs w:val="22"/>
        </w:rPr>
        <w:t xml:space="preserve"> Journal of Insect Biodiversity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(2), 1–57.</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&amp; Poláková J (2014) Host Plants of World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(Coleoptera, Buprestidae) A Critical Review. Springer, Cham (CH).</w:t>
      </w:r>
    </w:p>
    <w:p>
      <w:pPr>
        <w:widowControl w:val="on"/>
        <w:pBdr/>
        <w:spacing w:before="220" w:after="220" w:line="240" w:lineRule="auto"/>
        <w:ind w:left="0" w:right="0"/>
        <w:jc w:val="left"/>
      </w:pPr>
      <w:r>
        <w:rPr>
          <w:rFonts w:ascii="Calibri" w:hAnsi="Calibri" w:eastAsia="Calibri" w:cs="Calibri"/>
          <w:color w:val="000000"/>
          <w:sz w:val="22"/>
          <w:szCs w:val="22"/>
        </w:rPr>
        <w:t xml:space="preserve">Jones MI, Coleman TW, Graves AD, Flint ML &amp; Seybold SJ (2013) Sanitation options for managing oak wood infested with the invasive goldspotted oak borer (Coleoptera: Buprestidae) in Southern California.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235–246.</w:t>
      </w:r>
    </w:p>
    <w:p>
      <w:pPr>
        <w:widowControl w:val="on"/>
        <w:pBdr/>
        <w:spacing w:before="220" w:after="220" w:line="240" w:lineRule="auto"/>
        <w:ind w:left="0" w:right="0"/>
        <w:jc w:val="left"/>
      </w:pPr>
      <w:r>
        <w:rPr>
          <w:rFonts w:ascii="Calibri" w:hAnsi="Calibri" w:eastAsia="Calibri" w:cs="Calibri"/>
          <w:color w:val="000000"/>
          <w:sz w:val="22"/>
          <w:szCs w:val="22"/>
        </w:rPr>
        <w:t xml:space="preserve">Kegg JD (1971) The impact of gypsy moth: repeated defoliation of oak in New Jersey. </w:t>
      </w:r>
      <w:r>
        <w:rPr>
          <w:rFonts w:ascii="Calibri" w:hAnsi="Calibri" w:eastAsia="Calibri" w:cs="Calibri"/>
          <w:i/>
          <w:iCs/>
          <w:color w:val="000000"/>
          <w:sz w:val="22"/>
          <w:szCs w:val="22"/>
        </w:rPr>
        <w:t xml:space="preserve">Journal of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852–854.</w:t>
      </w:r>
    </w:p>
    <w:p>
      <w:pPr>
        <w:widowControl w:val="on"/>
        <w:pBdr/>
        <w:spacing w:before="220" w:after="220" w:line="240" w:lineRule="auto"/>
        <w:ind w:left="0" w:right="0"/>
        <w:jc w:val="left"/>
      </w:pPr>
      <w:r>
        <w:rPr>
          <w:rFonts w:ascii="Calibri" w:hAnsi="Calibri" w:eastAsia="Calibri" w:cs="Calibri"/>
          <w:color w:val="000000"/>
          <w:sz w:val="22"/>
          <w:szCs w:val="22"/>
        </w:rPr>
        <w:t xml:space="preserve">Knull JN (1932) Observations on three important forest insects.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1196–1203.</w:t>
      </w:r>
    </w:p>
    <w:p>
      <w:pPr>
        <w:widowControl w:val="on"/>
        <w:pBdr/>
        <w:spacing w:before="220" w:after="220" w:line="240" w:lineRule="auto"/>
        <w:ind w:left="0" w:right="0"/>
        <w:jc w:val="left"/>
      </w:pPr>
      <w:r>
        <w:rPr>
          <w:rFonts w:ascii="Calibri" w:hAnsi="Calibri" w:eastAsia="Calibri" w:cs="Calibri"/>
          <w:color w:val="000000"/>
          <w:sz w:val="22"/>
          <w:szCs w:val="22"/>
        </w:rPr>
        <w:t xml:space="preserve">Koval CF &amp; Heimann HF (1997) </w:t>
      </w:r>
      <w:r>
        <w:rPr>
          <w:rFonts w:ascii="Calibri" w:hAnsi="Calibri" w:eastAsia="Calibri" w:cs="Calibri"/>
          <w:i/>
          <w:iCs/>
          <w:color w:val="000000"/>
          <w:sz w:val="22"/>
          <w:szCs w:val="22"/>
        </w:rPr>
        <w:t xml:space="preserve">A2902 oak disorder: twolined chestnut borer.</w:t>
      </w:r>
      <w:r>
        <w:rPr>
          <w:rFonts w:ascii="Calibri" w:hAnsi="Calibri" w:eastAsia="Calibri" w:cs="Calibri"/>
          <w:color w:val="000000"/>
          <w:sz w:val="22"/>
          <w:szCs w:val="22"/>
        </w:rPr>
        <w:t xml:space="preserve"> Cooperative Extension Service, University Wisconsin, Madison (US).</w:t>
      </w:r>
    </w:p>
    <w:p>
      <w:pPr>
        <w:widowControl w:val="on"/>
        <w:pBdr/>
        <w:spacing w:before="220" w:after="220" w:line="240" w:lineRule="auto"/>
        <w:ind w:left="0" w:right="0"/>
        <w:jc w:val="left"/>
      </w:pPr>
      <w:r>
        <w:rPr>
          <w:rFonts w:ascii="Calibri" w:hAnsi="Calibri" w:eastAsia="Calibri" w:cs="Calibri"/>
          <w:color w:val="000000"/>
          <w:sz w:val="22"/>
          <w:szCs w:val="22"/>
        </w:rPr>
        <w:t xml:space="preserve">Lelito PL, Fraser I, Mastro VC, Tumlinson JH, Böröczky K &amp; Baker TC (2007) Visually mediated paratrooper copulations’ in the mating behavior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a highly destructive invasive pest of North American ash trees. </w:t>
      </w:r>
      <w:r>
        <w:rPr>
          <w:rFonts w:ascii="Calibri" w:hAnsi="Calibri" w:eastAsia="Calibri" w:cs="Calibri"/>
          <w:i/>
          <w:iCs/>
          <w:color w:val="000000"/>
          <w:sz w:val="22"/>
          <w:szCs w:val="22"/>
        </w:rPr>
        <w:t xml:space="preserve">Journal of Insect Behavior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537–552.</w:t>
      </w:r>
    </w:p>
    <w:p>
      <w:pPr>
        <w:widowControl w:val="on"/>
        <w:pBdr/>
        <w:spacing w:before="220" w:after="220" w:line="240" w:lineRule="auto"/>
        <w:ind w:left="0" w:right="0"/>
        <w:jc w:val="left"/>
      </w:pPr>
      <w:r>
        <w:rPr>
          <w:rFonts w:ascii="Calibri" w:hAnsi="Calibri" w:eastAsia="Calibri" w:cs="Calibri"/>
          <w:color w:val="000000"/>
          <w:sz w:val="22"/>
          <w:szCs w:val="22"/>
        </w:rPr>
        <w:t xml:space="preserve">Lewis R (1987) Trunk injury and fungal transport by </w:t>
      </w:r>
      <w:r>
        <w:rPr>
          <w:rFonts w:ascii="Calibri" w:hAnsi="Calibri" w:eastAsia="Calibri" w:cs="Calibri"/>
          <w:i/>
          <w:iCs/>
          <w:color w:val="000000"/>
          <w:sz w:val="22"/>
          <w:szCs w:val="22"/>
        </w:rPr>
        <w:t xml:space="preserve">Agrilus bilineatus, Chrysobothris femorata,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Xyloterinus </w:t>
      </w:r>
      <w:r>
        <w:rPr>
          <w:rFonts w:ascii="Calibri" w:hAnsi="Calibri" w:eastAsia="Calibri" w:cs="Calibri"/>
          <w:color w:val="000000"/>
          <w:sz w:val="22"/>
          <w:szCs w:val="22"/>
        </w:rPr>
        <w:t xml:space="preserve">sp. in oak wilt infected trees in Texas. </w:t>
      </w:r>
      <w:r>
        <w:rPr>
          <w:rFonts w:ascii="Calibri" w:hAnsi="Calibri" w:eastAsia="Calibri" w:cs="Calibri"/>
          <w:i/>
          <w:iCs/>
          <w:color w:val="000000"/>
          <w:sz w:val="22"/>
          <w:szCs w:val="22"/>
        </w:rPr>
        <w:t xml:space="preserve">Journal of the Mississippi Academy of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41–46.</w:t>
      </w:r>
    </w:p>
    <w:p>
      <w:pPr>
        <w:widowControl w:val="on"/>
        <w:pBdr/>
        <w:spacing w:before="220" w:after="220" w:line="240" w:lineRule="auto"/>
        <w:ind w:left="0" w:right="0"/>
        <w:jc w:val="left"/>
      </w:pPr>
      <w:r>
        <w:rPr>
          <w:rFonts w:ascii="Calibri" w:hAnsi="Calibri" w:eastAsia="Calibri" w:cs="Calibri"/>
          <w:color w:val="000000"/>
          <w:sz w:val="22"/>
          <w:szCs w:val="22"/>
        </w:rPr>
        <w:t xml:space="preserve">Mattson WJ &amp; Haack RA (1987) The role of drought in outbreaks of plant-eating insects. </w:t>
      </w:r>
      <w:r>
        <w:rPr>
          <w:rFonts w:ascii="Calibri" w:hAnsi="Calibri" w:eastAsia="Calibri" w:cs="Calibri"/>
          <w:i/>
          <w:iCs/>
          <w:color w:val="000000"/>
          <w:sz w:val="22"/>
          <w:szCs w:val="22"/>
        </w:rPr>
        <w:t xml:space="preserve">BioScience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110–118.</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Anulewicz AC, Lewis P &amp; Cappaert D (2011) Evaluation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control provided by emamectin benzoate and two neonicotinoid insecticides, one and two seasons after treatment.</w:t>
      </w:r>
      <w:r>
        <w:rPr>
          <w:rFonts w:ascii="Calibri" w:hAnsi="Calibri" w:eastAsia="Calibri" w:cs="Calibri"/>
          <w:i/>
          <w:iCs/>
          <w:color w:val="000000"/>
          <w:sz w:val="22"/>
          <w:szCs w:val="22"/>
        </w:rPr>
        <w:t xml:space="preserve"> Journal of Economic Entomology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1599–612.</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Cappaert D, Clark EL, Fraser I, Mastro V</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Effects of chipping, grinding, and heat on survival of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in chips.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1304–1315.</w:t>
      </w:r>
    </w:p>
    <w:p>
      <w:pPr>
        <w:widowControl w:val="on"/>
        <w:pBdr/>
        <w:spacing w:before="220" w:after="220" w:line="240" w:lineRule="auto"/>
        <w:ind w:left="0" w:right="0"/>
        <w:jc w:val="left"/>
      </w:pPr>
      <w:r>
        <w:rPr>
          <w:rFonts w:ascii="Calibri" w:hAnsi="Calibri" w:eastAsia="Calibri" w:cs="Calibri"/>
          <w:color w:val="000000"/>
          <w:sz w:val="22"/>
          <w:szCs w:val="22"/>
        </w:rPr>
        <w:t xml:space="preserve">Metcalf H &amp; Collins JF (1911) The control of the chestnut bark disease. US Department of Agriculture, Farmers’ Bulletin 467.</w:t>
      </w:r>
    </w:p>
    <w:p>
      <w:pPr>
        <w:widowControl w:val="on"/>
        <w:pBdr/>
        <w:spacing w:before="220" w:after="220" w:line="240" w:lineRule="auto"/>
        <w:ind w:left="0" w:right="0"/>
        <w:jc w:val="left"/>
      </w:pPr>
      <w:r>
        <w:rPr>
          <w:rFonts w:ascii="Calibri" w:hAnsi="Calibri" w:eastAsia="Calibri" w:cs="Calibri"/>
          <w:color w:val="000000"/>
          <w:sz w:val="22"/>
          <w:szCs w:val="22"/>
        </w:rPr>
        <w:t xml:space="preserve">Meurisse N, Rassati D, Hurley BP, Brockerhoff EG &amp; Haack RA (2019) Common pathways by which non-native forest insects move internationally and domestically.</w:t>
      </w:r>
      <w:r>
        <w:rPr>
          <w:rFonts w:ascii="Calibri" w:hAnsi="Calibri" w:eastAsia="Calibri" w:cs="Calibri"/>
          <w:i/>
          <w:iCs/>
          <w:color w:val="000000"/>
          <w:sz w:val="22"/>
          <w:szCs w:val="22"/>
        </w:rPr>
        <w:t xml:space="preserve"> Journal of Pest Science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13–27.</w:t>
      </w:r>
    </w:p>
    <w:p>
      <w:pPr>
        <w:widowControl w:val="on"/>
        <w:pBdr/>
        <w:spacing w:before="220" w:after="220" w:line="240" w:lineRule="auto"/>
        <w:ind w:left="0" w:right="0"/>
        <w:jc w:val="left"/>
      </w:pPr>
      <w:r>
        <w:rPr>
          <w:rFonts w:ascii="Calibri" w:hAnsi="Calibri" w:eastAsia="Calibri" w:cs="Calibri"/>
          <w:color w:val="000000"/>
          <w:sz w:val="22"/>
          <w:szCs w:val="22"/>
        </w:rPr>
        <w:t xml:space="preserve">Miller RO, Bloese PD, Hanover JW &amp; Haack RA (1991) Paper birch and European white birch vary in growth and resistance to bronze birch borer. </w:t>
      </w:r>
      <w:r>
        <w:rPr>
          <w:rFonts w:ascii="Calibri" w:hAnsi="Calibri" w:eastAsia="Calibri" w:cs="Calibri"/>
          <w:i/>
          <w:iCs/>
          <w:color w:val="000000"/>
          <w:sz w:val="22"/>
          <w:szCs w:val="22"/>
        </w:rPr>
        <w:t xml:space="preserve">Journal of the American Society for Horticultural Science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580–584.</w:t>
      </w:r>
    </w:p>
    <w:p>
      <w:pPr>
        <w:widowControl w:val="on"/>
        <w:pBdr/>
        <w:spacing w:before="220" w:after="220" w:line="240" w:lineRule="auto"/>
        <w:ind w:left="0" w:right="0"/>
        <w:jc w:val="left"/>
      </w:pPr>
      <w:r>
        <w:rPr>
          <w:rFonts w:ascii="Calibri" w:hAnsi="Calibri" w:eastAsia="Calibri" w:cs="Calibri"/>
          <w:color w:val="000000"/>
          <w:sz w:val="22"/>
          <w:szCs w:val="22"/>
        </w:rPr>
        <w:t xml:space="preserve">Millers I, Shriner DS &amp; Rizzo D. (1989) H</w:t>
      </w:r>
      <w:r>
        <w:rPr>
          <w:rFonts w:ascii="Calibri" w:hAnsi="Calibri" w:eastAsia="Calibri" w:cs="Calibri"/>
          <w:i/>
          <w:iCs/>
          <w:color w:val="000000"/>
          <w:sz w:val="22"/>
          <w:szCs w:val="22"/>
        </w:rPr>
        <w:t xml:space="preserve">istory of Hardwood Decline in the Eastern United States</w:t>
      </w:r>
      <w:r>
        <w:rPr>
          <w:rFonts w:ascii="Calibri" w:hAnsi="Calibri" w:eastAsia="Calibri" w:cs="Calibri"/>
          <w:color w:val="000000"/>
          <w:sz w:val="22"/>
          <w:szCs w:val="22"/>
        </w:rPr>
        <w:t xml:space="preserve">. USDA Forest Service, General Technical Report NE-126, Broomall (US).</w:t>
      </w:r>
    </w:p>
    <w:p>
      <w:pPr>
        <w:widowControl w:val="on"/>
        <w:pBdr/>
        <w:spacing w:before="220" w:after="220" w:line="240" w:lineRule="auto"/>
        <w:ind w:left="0" w:right="0"/>
        <w:jc w:val="left"/>
      </w:pPr>
      <w:r>
        <w:rPr>
          <w:rFonts w:ascii="Calibri" w:hAnsi="Calibri" w:eastAsia="Calibri" w:cs="Calibri"/>
          <w:color w:val="000000"/>
          <w:sz w:val="22"/>
          <w:szCs w:val="22"/>
        </w:rPr>
        <w:t xml:space="preserve">Muzika RM, Liebhold A &amp; Gottschalk K. (1997) Silvicultural methods of </w:t>
      </w:r>
      <w:r>
        <w:rPr>
          <w:rFonts w:ascii="Calibri" w:hAnsi="Calibri" w:eastAsia="Calibri" w:cs="Calibri"/>
          <w:i/>
          <w:iCs/>
          <w:color w:val="000000"/>
          <w:sz w:val="22"/>
          <w:szCs w:val="22"/>
        </w:rPr>
        <w:t xml:space="preserve">Lymantria dispar</w:t>
      </w:r>
      <w:r>
        <w:rPr>
          <w:rFonts w:ascii="Calibri" w:hAnsi="Calibri" w:eastAsia="Calibri" w:cs="Calibri"/>
          <w:color w:val="000000"/>
          <w:sz w:val="22"/>
          <w:szCs w:val="22"/>
        </w:rPr>
        <w:t xml:space="preserve"> L. management: effects on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(Weber) populations. In Proceedings: </w:t>
      </w:r>
      <w:r>
        <w:rPr>
          <w:rFonts w:ascii="Calibri" w:hAnsi="Calibri" w:eastAsia="Calibri" w:cs="Calibri"/>
          <w:i/>
          <w:iCs/>
          <w:color w:val="000000"/>
          <w:sz w:val="22"/>
          <w:szCs w:val="22"/>
        </w:rPr>
        <w:t xml:space="preserve">Integrating cultural tactics into the management of bark beetle and reforestation pests</w:t>
      </w:r>
      <w:r>
        <w:rPr>
          <w:rFonts w:ascii="Calibri" w:hAnsi="Calibri" w:eastAsia="Calibri" w:cs="Calibri"/>
          <w:color w:val="000000"/>
          <w:sz w:val="22"/>
          <w:szCs w:val="22"/>
        </w:rPr>
        <w:t xml:space="preserve"> (Eds Grégoire JC, Liebhold AM, Stephen FM, Day KR &amp; Salom SM), pp. 9–14.</w:t>
      </w:r>
    </w:p>
    <w:p>
      <w:pPr>
        <w:widowControl w:val="on"/>
        <w:pBdr/>
        <w:spacing w:before="220" w:after="220" w:line="240" w:lineRule="auto"/>
        <w:ind w:left="0" w:right="0"/>
        <w:jc w:val="left"/>
      </w:pPr>
      <w:r>
        <w:rPr>
          <w:rFonts w:ascii="Calibri" w:hAnsi="Calibri" w:eastAsia="Calibri" w:cs="Calibri"/>
          <w:color w:val="000000"/>
          <w:sz w:val="22"/>
          <w:szCs w:val="22"/>
        </w:rPr>
        <w:t xml:space="preserve">USDA Forest Service, General Technical Report NE-236, Radnor (US).</w:t>
      </w:r>
    </w:p>
    <w:p>
      <w:pPr>
        <w:widowControl w:val="on"/>
        <w:pBdr/>
        <w:spacing w:before="220" w:after="220" w:line="240" w:lineRule="auto"/>
        <w:ind w:left="0" w:right="0"/>
        <w:jc w:val="left"/>
      </w:pPr>
      <w:r>
        <w:rPr>
          <w:rFonts w:ascii="Calibri" w:hAnsi="Calibri" w:eastAsia="Calibri" w:cs="Calibri"/>
          <w:color w:val="000000"/>
          <w:sz w:val="22"/>
          <w:szCs w:val="22"/>
        </w:rPr>
        <w:t xml:space="preserve">Muzika RM, Liebhold AM &amp; Twery MJ (2000) Dynamics of twolined chestnut borer,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as influenced by defoliation and selection thinning. </w:t>
      </w:r>
      <w:r>
        <w:rPr>
          <w:rFonts w:ascii="Calibri" w:hAnsi="Calibri" w:eastAsia="Calibri" w:cs="Calibri"/>
          <w:i/>
          <w:iCs/>
          <w:color w:val="000000"/>
          <w:sz w:val="22"/>
          <w:szCs w:val="22"/>
        </w:rPr>
        <w:t xml:space="preserve">Agricultural and Forest Entomology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283–289.</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GH (1987) Additional notes on the biology and distribution of Buprestidae (Coleoptera) in North America, II.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57–65.</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GH &amp; Hespenheide HA (1998) A re-evaluation of some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Curtis species (Coleoptera: Buprestidae).</w:t>
      </w:r>
      <w:r>
        <w:rPr>
          <w:rFonts w:ascii="Calibri" w:hAnsi="Calibri" w:eastAsia="Calibri" w:cs="Calibri"/>
          <w:i/>
          <w:iCs/>
          <w:color w:val="000000"/>
          <w:sz w:val="22"/>
          <w:szCs w:val="22"/>
        </w:rPr>
        <w:t xml:space="preserve"> The Coleopterists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31–34.</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GH, Verity DS &amp; Westcott RL (1981) Additional notes on the biology and distribution of Buprestidae (Coleoptera) of North America. T</w:t>
      </w:r>
      <w:r>
        <w:rPr>
          <w:rFonts w:ascii="Calibri" w:hAnsi="Calibri" w:eastAsia="Calibri" w:cs="Calibri"/>
          <w:i/>
          <w:iCs/>
          <w:color w:val="000000"/>
          <w:sz w:val="22"/>
          <w:szCs w:val="22"/>
        </w:rPr>
        <w:t xml:space="preserve">he Coleopterists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129–152.</w:t>
      </w:r>
    </w:p>
    <w:p>
      <w:pPr>
        <w:widowControl w:val="on"/>
        <w:pBdr/>
        <w:spacing w:before="220" w:after="220" w:line="240" w:lineRule="auto"/>
        <w:ind w:left="0" w:right="0"/>
        <w:jc w:val="left"/>
      </w:pPr>
      <w:r>
        <w:rPr>
          <w:rFonts w:ascii="Calibri" w:hAnsi="Calibri" w:eastAsia="Calibri" w:cs="Calibri"/>
          <w:color w:val="000000"/>
          <w:sz w:val="22"/>
          <w:szCs w:val="22"/>
        </w:rPr>
        <w:t xml:space="preserve">Nelson GH, Walters GC, Haines RD &amp; Bellamy CL (2008) A catalog and bibliography of the Buprestoidea of America north of Mexico. The Coleopterists Society, Special Publication 4, 274 pp.</w:t>
      </w:r>
    </w:p>
    <w:p>
      <w:pPr>
        <w:widowControl w:val="on"/>
        <w:pBdr/>
        <w:spacing w:before="220" w:after="220" w:line="240" w:lineRule="auto"/>
        <w:ind w:left="0" w:right="0"/>
        <w:jc w:val="left"/>
      </w:pPr>
      <w:r>
        <w:rPr>
          <w:rFonts w:ascii="Calibri" w:hAnsi="Calibri" w:eastAsia="Calibri" w:cs="Calibri"/>
          <w:color w:val="000000"/>
          <w:sz w:val="22"/>
          <w:szCs w:val="22"/>
        </w:rPr>
        <w:t xml:space="preserve">Nichols JO (1968) Oak mortality in Pennsylvania: a ten-year study. </w:t>
      </w:r>
      <w:r>
        <w:rPr>
          <w:rFonts w:ascii="Calibri" w:hAnsi="Calibri" w:eastAsia="Calibri" w:cs="Calibri"/>
          <w:i/>
          <w:iCs/>
          <w:color w:val="000000"/>
          <w:sz w:val="22"/>
          <w:szCs w:val="22"/>
        </w:rPr>
        <w:t xml:space="preserve">Journal of Forestry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681–694.</w:t>
      </w:r>
    </w:p>
    <w:p>
      <w:pPr>
        <w:widowControl w:val="on"/>
        <w:pBdr/>
        <w:spacing w:before="220" w:after="220" w:line="240" w:lineRule="auto"/>
        <w:ind w:left="0" w:right="0"/>
        <w:jc w:val="left"/>
      </w:pPr>
      <w:r>
        <w:rPr>
          <w:rFonts w:ascii="Calibri" w:hAnsi="Calibri" w:eastAsia="Calibri" w:cs="Calibri"/>
          <w:color w:val="000000"/>
          <w:sz w:val="22"/>
          <w:szCs w:val="22"/>
        </w:rPr>
        <w:t xml:space="preserve">Nielsen DG, Muilenburg VL &amp; Herms DA (2011) Interspecific variation in resistance of Asian, European, and North American birches (</w:t>
      </w:r>
      <w:r>
        <w:rPr>
          <w:rFonts w:ascii="Calibri" w:hAnsi="Calibri" w:eastAsia="Calibri" w:cs="Calibri"/>
          <w:i/>
          <w:iCs/>
          <w:color w:val="000000"/>
          <w:sz w:val="22"/>
          <w:szCs w:val="22"/>
        </w:rPr>
        <w:t xml:space="preserve">Betula </w:t>
      </w:r>
      <w:r>
        <w:rPr>
          <w:rFonts w:ascii="Calibri" w:hAnsi="Calibri" w:eastAsia="Calibri" w:cs="Calibri"/>
          <w:color w:val="000000"/>
          <w:sz w:val="22"/>
          <w:szCs w:val="22"/>
        </w:rPr>
        <w:t xml:space="preserve">spp.) to bronze birch borer (Coleoptera: Buprestidae).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648–653.</w:t>
      </w:r>
    </w:p>
    <w:p>
      <w:pPr>
        <w:widowControl w:val="on"/>
        <w:pBdr/>
        <w:spacing w:before="220" w:after="220" w:line="240" w:lineRule="auto"/>
        <w:ind w:left="0" w:right="0"/>
        <w:jc w:val="left"/>
      </w:pPr>
      <w:r>
        <w:rPr>
          <w:rFonts w:ascii="Calibri" w:hAnsi="Calibri" w:eastAsia="Calibri" w:cs="Calibri"/>
          <w:color w:val="000000"/>
          <w:sz w:val="22"/>
          <w:szCs w:val="22"/>
        </w:rPr>
        <w:t xml:space="preserve">Økland B, Haack RA &amp; Wilhelmsen G (2012) Detection probability of forest pests in current inspection protocols – A case study of the bronze birch borer.</w:t>
      </w:r>
      <w:r>
        <w:rPr>
          <w:rFonts w:ascii="Calibri" w:hAnsi="Calibri" w:eastAsia="Calibri" w:cs="Calibri"/>
          <w:i/>
          <w:iCs/>
          <w:color w:val="000000"/>
          <w:sz w:val="22"/>
          <w:szCs w:val="22"/>
        </w:rPr>
        <w:t xml:space="preserve"> Scandinavian Journal of Forest Research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285–297.</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(2006) Efficacy of three insecticides applied to bark to control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w:t>
      </w:r>
      <w:r>
        <w:rPr>
          <w:rFonts w:ascii="Calibri" w:hAnsi="Calibri" w:eastAsia="Calibri" w:cs="Calibri"/>
          <w:i/>
          <w:iCs/>
          <w:color w:val="000000"/>
          <w:sz w:val="22"/>
          <w:szCs w:val="22"/>
        </w:rPr>
        <w:t xml:space="preserve"> The Great Lakes Entomologist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27–33.</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(2007) Can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emerge from logs two summers after infested trees are cut?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92–95.</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(2014) Biology of the European oak borer in Michigan, United States of America, with comparisons to the native twolined chestnut borer.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36–51.</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(2015) Comparison of different trap colors and types for capturing adult Agrilus (Coleoptera: Buprestidae) and other buprestids. </w:t>
      </w:r>
      <w:r>
        <w:rPr>
          <w:rFonts w:ascii="Calibri" w:hAnsi="Calibri" w:eastAsia="Calibri" w:cs="Calibri"/>
          <w:i/>
          <w:iCs/>
          <w:color w:val="000000"/>
          <w:sz w:val="22"/>
          <w:szCs w:val="22"/>
        </w:rPr>
        <w:t xml:space="preserve">Great Lakes Entomologist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45–66.</w:t>
      </w:r>
    </w:p>
    <w:p>
      <w:pPr>
        <w:widowControl w:val="on"/>
        <w:pBdr/>
        <w:spacing w:before="220" w:after="220" w:line="240" w:lineRule="auto"/>
        <w:ind w:left="0" w:right="0"/>
        <w:jc w:val="left"/>
      </w:pPr>
      <w:r>
        <w:rPr>
          <w:rFonts w:ascii="Calibri" w:hAnsi="Calibri" w:eastAsia="Calibri" w:cs="Calibri"/>
          <w:color w:val="000000"/>
          <w:sz w:val="22"/>
          <w:szCs w:val="22"/>
        </w:rPr>
        <w:t xml:space="preserve">Poland TM, Chen Y, Koch J &amp; Pureswaran D (2015) Review of the emerald ash borer (Coleoptera: Buprestidae), life history, mating behaviours, host plant selection, and host resistance. </w:t>
      </w:r>
      <w:r>
        <w:rPr>
          <w:rFonts w:ascii="Calibri" w:hAnsi="Calibri" w:eastAsia="Calibri" w:cs="Calibri"/>
          <w:i/>
          <w:iCs/>
          <w:color w:val="000000"/>
          <w:sz w:val="22"/>
          <w:szCs w:val="22"/>
        </w:rPr>
        <w:t xml:space="preserve">The Canadian Entomologist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252–262.</w:t>
      </w:r>
    </w:p>
    <w:p>
      <w:pPr>
        <w:widowControl w:val="on"/>
        <w:pBdr/>
        <w:spacing w:before="220" w:after="220" w:line="240" w:lineRule="auto"/>
        <w:ind w:left="0" w:right="0"/>
        <w:jc w:val="left"/>
      </w:pPr>
      <w:r>
        <w:rPr>
          <w:rFonts w:ascii="Calibri" w:hAnsi="Calibri" w:eastAsia="Calibri" w:cs="Calibri"/>
          <w:color w:val="000000"/>
          <w:sz w:val="22"/>
          <w:szCs w:val="22"/>
        </w:rPr>
        <w:t xml:space="preserve">Portal Quercus (2017) Quercus portal: A European genetic and genomic web resources for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hyperlink r:id="rId11156ad1b8ca36a14" w:history="1">
        <w:r>
          <w:rPr>
            <w:rFonts w:ascii="Calibri" w:hAnsi="Calibri" w:eastAsia="Calibri" w:cs="Calibri"/>
            <w:color w:val="0000CC"/>
            <w:sz w:val="22"/>
            <w:szCs w:val="22"/>
            <w:u w:val="single"/>
          </w:rPr>
          <w:t xml:space="preserve">https://arachne.pierroton.inra.fr/QuercusPortal/</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Reed K, Denman S, Leather SR, Forster J &amp; Inward DJG (2018) The lifecycle of </w:t>
      </w:r>
      <w:r>
        <w:rPr>
          <w:rFonts w:ascii="Calibri" w:hAnsi="Calibri" w:eastAsia="Calibri" w:cs="Calibri"/>
          <w:i/>
          <w:iCs/>
          <w:color w:val="000000"/>
          <w:sz w:val="22"/>
          <w:szCs w:val="22"/>
        </w:rPr>
        <w:t xml:space="preserve">Agrilus biguttatus</w:t>
      </w:r>
      <w:r>
        <w:rPr>
          <w:rFonts w:ascii="Calibri" w:hAnsi="Calibri" w:eastAsia="Calibri" w:cs="Calibri"/>
          <w:color w:val="000000"/>
          <w:sz w:val="22"/>
          <w:szCs w:val="22"/>
        </w:rPr>
        <w:t xml:space="preserve">: the role of temperature in its development and distribution, and implications for acute oak decline.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334–346.</w:t>
      </w:r>
    </w:p>
    <w:p>
      <w:pPr>
        <w:widowControl w:val="on"/>
        <w:pBdr/>
        <w:spacing w:before="220" w:after="220" w:line="240" w:lineRule="auto"/>
        <w:ind w:left="0" w:right="0"/>
        <w:jc w:val="left"/>
      </w:pPr>
      <w:r>
        <w:rPr>
          <w:rFonts w:ascii="Calibri" w:hAnsi="Calibri" w:eastAsia="Calibri" w:cs="Calibri"/>
          <w:color w:val="000000"/>
          <w:sz w:val="22"/>
          <w:szCs w:val="22"/>
        </w:rPr>
        <w:t xml:space="preserve">Sallé A, Nageleisen LM &amp; Lieutier F (2014) Bark and wood boring insects involved in oak declines in Europe: Current knowledge and future prospects in a context of climate change. </w:t>
      </w:r>
      <w:r>
        <w:rPr>
          <w:rFonts w:ascii="Calibri" w:hAnsi="Calibri" w:eastAsia="Calibri" w:cs="Calibri"/>
          <w:i/>
          <w:iCs/>
          <w:color w:val="000000"/>
          <w:sz w:val="22"/>
          <w:szCs w:val="22"/>
        </w:rPr>
        <w:t xml:space="preserve">Forest Ecology and Management </w:t>
      </w:r>
      <w:r>
        <w:rPr>
          <w:rFonts w:ascii="Calibri" w:hAnsi="Calibri" w:eastAsia="Calibri" w:cs="Calibri"/>
          <w:b/>
          <w:bCs/>
          <w:color w:val="000000"/>
          <w:sz w:val="22"/>
          <w:szCs w:val="22"/>
        </w:rPr>
        <w:t xml:space="preserve">328</w:t>
      </w:r>
      <w:r>
        <w:rPr>
          <w:rFonts w:ascii="Calibri" w:hAnsi="Calibri" w:eastAsia="Calibri" w:cs="Calibri"/>
          <w:color w:val="000000"/>
          <w:sz w:val="22"/>
          <w:szCs w:val="22"/>
        </w:rPr>
        <w:t xml:space="preserve">, 79–93.</w:t>
      </w:r>
    </w:p>
    <w:p>
      <w:pPr>
        <w:widowControl w:val="on"/>
        <w:pBdr/>
        <w:spacing w:before="220" w:after="220" w:line="240" w:lineRule="auto"/>
        <w:ind w:left="0" w:right="0"/>
        <w:jc w:val="left"/>
      </w:pPr>
      <w:r>
        <w:rPr>
          <w:rFonts w:ascii="Calibri" w:hAnsi="Calibri" w:eastAsia="Calibri" w:cs="Calibri"/>
          <w:color w:val="000000"/>
          <w:sz w:val="22"/>
          <w:szCs w:val="22"/>
        </w:rPr>
        <w:t xml:space="preserve">Smitley DR, Herms DA &amp; Davis TW (2015) Efficacy of soil-applied neonicotinoid insecticides for long-term protection against emerald ash borer (Coleoptera: Buprestidae).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2344–2353.</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Guide to Insect Borers in North American Broadleaf Trees and Shrubs. USDA Forest Service, Agriculture Handbook, AH-706. </w:t>
      </w:r>
      <w:hyperlink r:id="rId98196ad1b8ca36c64" w:history="1">
        <w:r>
          <w:rPr>
            <w:rFonts w:ascii="Calibri" w:hAnsi="Calibri" w:eastAsia="Calibri" w:cs="Calibri"/>
            <w:color w:val="0000CC"/>
            <w:sz w:val="22"/>
            <w:szCs w:val="22"/>
            <w:u w:val="single"/>
          </w:rPr>
          <w:t xml:space="preserve">https://www.fs.usda.gov/treesearch/pubs/22150</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Staley JM (1965) Decline and mortality of red oak and scarlet oaks.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2–17.</w:t>
      </w:r>
    </w:p>
    <w:p>
      <w:pPr>
        <w:widowControl w:val="on"/>
        <w:pBdr/>
        <w:spacing w:before="220" w:after="220" w:line="240" w:lineRule="auto"/>
        <w:ind w:left="0" w:right="0"/>
        <w:jc w:val="left"/>
      </w:pPr>
      <w:r>
        <w:rPr>
          <w:rFonts w:ascii="Calibri" w:hAnsi="Calibri" w:eastAsia="Calibri" w:cs="Calibri"/>
          <w:color w:val="000000"/>
          <w:sz w:val="22"/>
          <w:szCs w:val="22"/>
        </w:rPr>
        <w:t xml:space="preserve">Stambaugh WJ, Fergus CL, Craighead FC &amp; Thompson HE (1955) Viable spores of </w:t>
      </w:r>
      <w:r>
        <w:rPr>
          <w:rFonts w:ascii="Calibri" w:hAnsi="Calibri" w:eastAsia="Calibri" w:cs="Calibri"/>
          <w:i/>
          <w:iCs/>
          <w:color w:val="000000"/>
          <w:sz w:val="22"/>
          <w:szCs w:val="22"/>
        </w:rPr>
        <w:t xml:space="preserve">Endoconidiophora fagacearum</w:t>
      </w:r>
      <w:r>
        <w:rPr>
          <w:rFonts w:ascii="Calibri" w:hAnsi="Calibri" w:eastAsia="Calibri" w:cs="Calibri"/>
          <w:color w:val="000000"/>
          <w:sz w:val="22"/>
          <w:szCs w:val="22"/>
        </w:rPr>
        <w:t xml:space="preserve"> from bark and wood-boring beetles. </w:t>
      </w:r>
      <w:r>
        <w:rPr>
          <w:rFonts w:ascii="Calibri" w:hAnsi="Calibri" w:eastAsia="Calibri" w:cs="Calibri"/>
          <w:i/>
          <w:iCs/>
          <w:color w:val="000000"/>
          <w:sz w:val="22"/>
          <w:szCs w:val="22"/>
        </w:rPr>
        <w:t xml:space="preserve">Plant Disease Reporter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867–871.</w:t>
      </w:r>
    </w:p>
    <w:p>
      <w:pPr>
        <w:widowControl w:val="on"/>
        <w:pBdr/>
        <w:spacing w:before="220" w:after="220" w:line="240" w:lineRule="auto"/>
        <w:ind w:left="0" w:right="0"/>
        <w:jc w:val="left"/>
      </w:pPr>
      <w:r>
        <w:rPr>
          <w:rFonts w:ascii="Calibri" w:hAnsi="Calibri" w:eastAsia="Calibri" w:cs="Calibri"/>
          <w:color w:val="000000"/>
          <w:sz w:val="22"/>
          <w:szCs w:val="22"/>
        </w:rPr>
        <w:t xml:space="preserve">Stringer JW, Kimmerer TW, Overstreet JB &amp; Dunn JP (1989) Oak mortality in eastern Kentucky.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86–91.</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RAJ, Bauer LS, Poland TM &amp; Windell KN (2010) Flight performance of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on a flight mill and in free flight. </w:t>
      </w:r>
      <w:r>
        <w:rPr>
          <w:rFonts w:ascii="Calibri" w:hAnsi="Calibri" w:eastAsia="Calibri" w:cs="Calibri"/>
          <w:i/>
          <w:iCs/>
          <w:color w:val="000000"/>
          <w:sz w:val="22"/>
          <w:szCs w:val="22"/>
        </w:rPr>
        <w:t xml:space="preserve">Journal of Insect Behavior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128–148.</w:t>
      </w:r>
    </w:p>
    <w:p>
      <w:pPr>
        <w:widowControl w:val="on"/>
        <w:pBdr/>
        <w:spacing w:before="220" w:after="220" w:line="240" w:lineRule="auto"/>
        <w:ind w:left="0" w:right="0"/>
        <w:jc w:val="left"/>
      </w:pPr>
      <w:r>
        <w:rPr>
          <w:rFonts w:ascii="Calibri" w:hAnsi="Calibri" w:eastAsia="Calibri" w:cs="Calibri"/>
          <w:color w:val="000000"/>
          <w:sz w:val="22"/>
          <w:szCs w:val="22"/>
        </w:rPr>
        <w:t xml:space="preserve">VTFPR (Vermont Department of Forests, Parks and Recreation) (2011) Forest Insect and Disease Conditions in Vermont 2011. Vermont Agency of Natural Resources, Department of Forests, Parks &amp; Recreation, Waterbury (US). </w:t>
      </w:r>
      <w:hyperlink r:id="rId81426ad1b8ca36e49" w:history="1">
        <w:r>
          <w:rPr>
            <w:rFonts w:ascii="Calibri" w:hAnsi="Calibri" w:eastAsia="Calibri" w:cs="Calibri"/>
            <w:color w:val="0000CC"/>
            <w:sz w:val="22"/>
            <w:szCs w:val="22"/>
            <w:u w:val="single"/>
          </w:rPr>
          <w:t xml:space="preserve">https://fpr.vermont.gov/sites/fpr/files/Forest_and_Forestry/Forest_Health/Library/Final2011ConditionsReport.pdf</w:t>
        </w:r>
      </w:hyperlink>
      <w:r>
        <w:rPr>
          <w:rFonts w:ascii="Calibri" w:hAnsi="Calibri" w:eastAsia="Calibri" w:cs="Calibri"/>
          <w:color w:val="000000"/>
          <w:sz w:val="22"/>
          <w:szCs w:val="22"/>
        </w:rPr>
        <w:t xml:space="preserve"> [accessed on 01 August 2019]</w:t>
      </w:r>
    </w:p>
    <w:p>
      <w:pPr>
        <w:widowControl w:val="on"/>
        <w:pBdr/>
        <w:spacing w:before="220" w:after="220" w:line="240" w:lineRule="auto"/>
        <w:ind w:left="0" w:right="0"/>
        <w:jc w:val="left"/>
      </w:pPr>
      <w:r>
        <w:rPr>
          <w:rFonts w:ascii="Calibri" w:hAnsi="Calibri" w:eastAsia="Calibri" w:cs="Calibri"/>
          <w:color w:val="000000"/>
          <w:sz w:val="22"/>
          <w:szCs w:val="22"/>
        </w:rPr>
        <w:t xml:space="preserve">Wargo PM (1977) </w:t>
      </w:r>
      <w:r>
        <w:rPr>
          <w:rFonts w:ascii="Calibri" w:hAnsi="Calibri" w:eastAsia="Calibri" w:cs="Calibri"/>
          <w:i/>
          <w:iCs/>
          <w:color w:val="000000"/>
          <w:sz w:val="22"/>
          <w:szCs w:val="22"/>
        </w:rPr>
        <w:t xml:space="preserve">Armillariella mellea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and mortality of defoliated oak trees.</w:t>
      </w:r>
      <w:r>
        <w:rPr>
          <w:rFonts w:ascii="Calibri" w:hAnsi="Calibri" w:eastAsia="Calibri" w:cs="Calibri"/>
          <w:i/>
          <w:iCs/>
          <w:color w:val="000000"/>
          <w:sz w:val="22"/>
          <w:szCs w:val="22"/>
        </w:rPr>
        <w:t xml:space="preserve">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485–492.</w:t>
      </w:r>
    </w:p>
    <w:p>
      <w:pPr>
        <w:widowControl w:val="on"/>
        <w:pBdr/>
        <w:spacing w:before="220" w:after="220" w:line="240" w:lineRule="auto"/>
        <w:ind w:left="0" w:right="0"/>
        <w:jc w:val="left"/>
      </w:pPr>
      <w:r>
        <w:rPr>
          <w:rFonts w:ascii="Calibri" w:hAnsi="Calibri" w:eastAsia="Calibri" w:cs="Calibri"/>
          <w:color w:val="000000"/>
          <w:sz w:val="22"/>
          <w:szCs w:val="22"/>
        </w:rPr>
        <w:t xml:space="preserve">Wargo PM, Houston DR &amp; LaMadeleine LA (1983) Oak Decline. </w:t>
      </w:r>
      <w:r>
        <w:rPr>
          <w:rFonts w:ascii="Calibri" w:hAnsi="Calibri" w:eastAsia="Calibri" w:cs="Calibri"/>
          <w:i/>
          <w:iCs/>
          <w:color w:val="000000"/>
          <w:sz w:val="22"/>
          <w:szCs w:val="22"/>
        </w:rPr>
        <w:t xml:space="preserve">Forest Insect &amp; Disease Leaflet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165</w:t>
      </w:r>
      <w:r>
        <w:rPr>
          <w:rFonts w:ascii="Calibri" w:hAnsi="Calibri" w:eastAsia="Calibri" w:cs="Calibri"/>
          <w:color w:val="000000"/>
          <w:sz w:val="22"/>
          <w:szCs w:val="22"/>
        </w:rPr>
        <w:t xml:space="preserve">. USDA Forest Service,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RP &amp; DeMerchant I (2012) New Coleoptera records from New Brunswick, Canada: Buprestidae. </w:t>
      </w:r>
      <w:r>
        <w:rPr>
          <w:rFonts w:ascii="Calibri" w:hAnsi="Calibri" w:eastAsia="Calibri" w:cs="Calibri"/>
          <w:i/>
          <w:iCs/>
          <w:color w:val="000000"/>
          <w:sz w:val="22"/>
          <w:szCs w:val="22"/>
        </w:rPr>
        <w:t xml:space="preserve">ZooKeys </w:t>
      </w:r>
      <w:r>
        <w:rPr>
          <w:rFonts w:ascii="Calibri" w:hAnsi="Calibri" w:eastAsia="Calibri" w:cs="Calibri"/>
          <w:b/>
          <w:bCs/>
          <w:color w:val="000000"/>
          <w:sz w:val="22"/>
          <w:szCs w:val="22"/>
        </w:rPr>
        <w:t xml:space="preserve">179</w:t>
      </w:r>
      <w:r>
        <w:rPr>
          <w:rFonts w:ascii="Calibri" w:hAnsi="Calibri" w:eastAsia="Calibri" w:cs="Calibri"/>
          <w:color w:val="000000"/>
          <w:sz w:val="22"/>
          <w:szCs w:val="22"/>
        </w:rPr>
        <w:t xml:space="preserve">, 55–65.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Robert A. Haack and Toby R. Petrice, US Department of Agriculture, Forest Service, Northern Research Station, Lansing, MI, USA.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EPPO datasheets on pests recommended for regulation. Available online. </w:t>
      </w:r>
      <w:hyperlink r:id="rId27196ad1b8ca3706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2020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(2020) </w:t>
      </w:r>
      <w:r>
        <w:rPr>
          <w:rFonts w:ascii="Calibri" w:hAnsi="Calibri" w:eastAsia="Calibri" w:cs="Calibri"/>
          <w:i/>
          <w:iCs/>
          <w:color w:val="000000"/>
          <w:sz w:val="22"/>
          <w:szCs w:val="22"/>
        </w:rPr>
        <w:t xml:space="preserve">Agrilus bilineatus.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(1), 158-165. </w:t>
      </w:r>
      <w:hyperlink r:id="rId88926ad1b8ca37143" w:history="1">
        <w:r>
          <w:rPr>
            <w:rFonts w:ascii="Calibri" w:hAnsi="Calibri" w:eastAsia="Calibri" w:cs="Calibri"/>
            <w:color w:val="0000CC"/>
            <w:sz w:val="22"/>
            <w:szCs w:val="22"/>
            <w:u w:val="single"/>
          </w:rPr>
          <w:t xml:space="preserve">https://onlinelibrary.wiley.com/doi/epdf/10.1111/epp.12641</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30209">
    <w:multiLevelType w:val="hybridMultilevel"/>
    <w:lvl w:ilvl="0" w:tplc="70189669">
      <w:start w:val="1"/>
      <w:numFmt w:val="decimal"/>
      <w:lvlText w:val="%1."/>
      <w:lvlJc w:val="left"/>
      <w:pPr>
        <w:ind w:left="720" w:hanging="360"/>
      </w:pPr>
    </w:lvl>
    <w:lvl w:ilvl="1" w:tplc="70189669" w:tentative="1">
      <w:start w:val="1"/>
      <w:numFmt w:val="lowerLetter"/>
      <w:lvlText w:val="%2."/>
      <w:lvlJc w:val="left"/>
      <w:pPr>
        <w:ind w:left="1440" w:hanging="360"/>
      </w:pPr>
    </w:lvl>
    <w:lvl w:ilvl="2" w:tplc="70189669" w:tentative="1">
      <w:start w:val="1"/>
      <w:numFmt w:val="lowerRoman"/>
      <w:lvlText w:val="%3."/>
      <w:lvlJc w:val="right"/>
      <w:pPr>
        <w:ind w:left="2160" w:hanging="180"/>
      </w:pPr>
    </w:lvl>
    <w:lvl w:ilvl="3" w:tplc="70189669" w:tentative="1">
      <w:start w:val="1"/>
      <w:numFmt w:val="decimal"/>
      <w:lvlText w:val="%4."/>
      <w:lvlJc w:val="left"/>
      <w:pPr>
        <w:ind w:left="2880" w:hanging="360"/>
      </w:pPr>
    </w:lvl>
    <w:lvl w:ilvl="4" w:tplc="70189669" w:tentative="1">
      <w:start w:val="1"/>
      <w:numFmt w:val="lowerLetter"/>
      <w:lvlText w:val="%5."/>
      <w:lvlJc w:val="left"/>
      <w:pPr>
        <w:ind w:left="3600" w:hanging="360"/>
      </w:pPr>
    </w:lvl>
    <w:lvl w:ilvl="5" w:tplc="70189669" w:tentative="1">
      <w:start w:val="1"/>
      <w:numFmt w:val="lowerRoman"/>
      <w:lvlText w:val="%6."/>
      <w:lvlJc w:val="right"/>
      <w:pPr>
        <w:ind w:left="4320" w:hanging="180"/>
      </w:pPr>
    </w:lvl>
    <w:lvl w:ilvl="6" w:tplc="70189669" w:tentative="1">
      <w:start w:val="1"/>
      <w:numFmt w:val="decimal"/>
      <w:lvlText w:val="%7."/>
      <w:lvlJc w:val="left"/>
      <w:pPr>
        <w:ind w:left="5040" w:hanging="360"/>
      </w:pPr>
    </w:lvl>
    <w:lvl w:ilvl="7" w:tplc="70189669" w:tentative="1">
      <w:start w:val="1"/>
      <w:numFmt w:val="lowerLetter"/>
      <w:lvlText w:val="%8."/>
      <w:lvlJc w:val="left"/>
      <w:pPr>
        <w:ind w:left="5760" w:hanging="360"/>
      </w:pPr>
    </w:lvl>
    <w:lvl w:ilvl="8" w:tplc="70189669" w:tentative="1">
      <w:start w:val="1"/>
      <w:numFmt w:val="lowerRoman"/>
      <w:lvlText w:val="%9."/>
      <w:lvlJc w:val="right"/>
      <w:pPr>
        <w:ind w:left="6480" w:hanging="180"/>
      </w:pPr>
    </w:lvl>
  </w:abstractNum>
  <w:abstractNum w:abstractNumId="11530208">
    <w:multiLevelType w:val="hybridMultilevel"/>
    <w:lvl w:ilvl="0" w:tplc="219191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30208">
    <w:abstractNumId w:val="11530208"/>
  </w:num>
  <w:num w:numId="11530209">
    <w:abstractNumId w:val="1153020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0875517" Type="http://schemas.microsoft.com/office/2011/relationships/commentsExtended" Target="commentsExtended.xml"/><Relationship Id="rId788725490" Type="http://schemas.microsoft.com/office/2011/relationships/people" Target="people.xml"/><Relationship Id="rId81736ad1b8ca31609" Type="http://schemas.openxmlformats.org/officeDocument/2006/relationships/hyperlink" Target="https://gd.eppo.int/taxon/AGRLBL/" TargetMode="External"/><Relationship Id="rId43366ad1b8ca31673" Type="http://schemas.openxmlformats.org/officeDocument/2006/relationships/hyperlink" Target="https://gd.eppo.int/taxon/AGRLBL/categorization" TargetMode="External"/><Relationship Id="rId10546ad1b8ca31db7" Type="http://schemas.openxmlformats.org/officeDocument/2006/relationships/hyperlink" Target="https://gd.eppo.int/taxon/AGRLBL/photos" TargetMode="External"/><Relationship Id="rId58256ad1b8ca34d6e" Type="http://schemas.openxmlformats.org/officeDocument/2006/relationships/hyperlink" Target="https://doi.org/10.1371/journal.pone.0033185." TargetMode="External"/><Relationship Id="rId64116ad1b8ca355a6" Type="http://schemas.openxmlformats.org/officeDocument/2006/relationships/hyperlink" Target="https://gd.eppo.int/taxon/AGRLBL/documents" TargetMode="External"/><Relationship Id="rId45606ad1b8ca3560a" Type="http://schemas.openxmlformats.org/officeDocument/2006/relationships/hyperlink" Target="https://gd.eppo.int/taxon/AGRLBL/documents" TargetMode="External"/><Relationship Id="rId49476ad1b8ca35be3" Type="http://schemas.openxmlformats.org/officeDocument/2006/relationships/hyperlink" Target="http://www.emeraldashborer.info/files/Multistate_EAB_Insecticide_Fact_Sheet.pdf" TargetMode="External"/><Relationship Id="rId11156ad1b8ca36a14" Type="http://schemas.openxmlformats.org/officeDocument/2006/relationships/hyperlink" Target="https://arachne.pierroton.inra.fr/QuercusPortal/" TargetMode="External"/><Relationship Id="rId98196ad1b8ca36c64" Type="http://schemas.openxmlformats.org/officeDocument/2006/relationships/hyperlink" Target="https://www.fs.usda.gov/treesearch/pubs/22150" TargetMode="External"/><Relationship Id="rId81426ad1b8ca36e49" Type="http://schemas.openxmlformats.org/officeDocument/2006/relationships/hyperlink" Target="https://fpr.vermont.gov/sites/fpr/files/Forest_and_Forestry/Forest_Health/Library/Final2011ConditionsReport.pdf" TargetMode="External"/><Relationship Id="rId27196ad1b8ca37067" Type="http://schemas.openxmlformats.org/officeDocument/2006/relationships/hyperlink" Target="https://gd.eppo.int" TargetMode="External"/><Relationship Id="rId88926ad1b8ca37143" Type="http://schemas.openxmlformats.org/officeDocument/2006/relationships/hyperlink" Target="https://onlinelibrary.wiley.com/doi/epdf/10.1111/epp.12641" TargetMode="External"/><Relationship Id="rId62976ad1b8ca31c89" Type="http://schemas.openxmlformats.org/officeDocument/2006/relationships/image" Target="media/imgrId62976ad1b8ca31c89.jpg"/><Relationship Id="rId46136ad1b8ca32f35" Type="http://schemas.openxmlformats.org/officeDocument/2006/relationships/image" Target="media/imgrId46136ad1b8ca32f35.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