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Apple fruit crinkle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Apscaviroid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AFCVd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apscaviroid</w:t>
            </w:r>
            <w:hyperlink r:id="rId14876681b07b4681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9376681b07b4685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AFCVD0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848412" name="name90606681b07b46940" descr="1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1.jpg"/>
                          <pic:cNvPicPr/>
                        </pic:nvPicPr>
                        <pic:blipFill>
                          <a:blip r:embed="rId43946681b07b4693e" cstate="print"/>
                          <a:stretch>
                            <a:fillRect/>
                          </a:stretch>
                        </pic:blipFill>
                        <pic:spPr>
                          <a:xfrm>
                            <a:off x="0" y="0"/>
                            <a:ext cx="2160000" cy="1281600"/>
                          </a:xfrm>
                          <a:prstGeom prst="rect">
                            <a:avLst/>
                          </a:prstGeom>
                          <a:ln w="0">
                            <a:noFill/>
                          </a:ln>
                        </pic:spPr>
                      </pic:pic>
                    </a:graphicData>
                  </a:graphic>
                </wp:inline>
              </w:drawing>
            </w:r>
            <w:hyperlink r:id="rId94166681b07b46a6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an unclassified viroid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Indeed, based on structural features [a central conserved region (CCR) identical to that of the other members of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with which it also shares the terminal conserved region (TCR)], AFCVd should be classified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However, its classification at species level is still tentative. The current criteria, established by the International Committee on Taxonomy of Viruses, to create a novel viroid species, are i) less than 90% sequence identity (over the entire genome) between the viroid to be classified and the other viroids and ii) at least one divergent biological feature with respect to the members of the closest viroid species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AFCVd shares the highest sequence identity (89.4%%) with Australian grapevine viroid (AGVd, species </w:t>
      </w:r>
      <w:r>
        <w:rPr>
          <w:rFonts w:ascii="Calibri" w:hAnsi="Calibri" w:eastAsia="Calibri" w:cs="Calibri"/>
          <w:i/>
          <w:iCs/>
          <w:color w:val="000000"/>
          <w:sz w:val="22"/>
          <w:szCs w:val="22"/>
        </w:rPr>
        <w:t xml:space="preserve">Australian grapevine viroid, </w:t>
      </w:r>
      <w:r>
        <w:rPr>
          <w:rFonts w:ascii="Calibri" w:hAnsi="Calibri" w:eastAsia="Calibri" w:cs="Calibri"/>
          <w:color w:val="000000"/>
          <w:sz w:val="22"/>
          <w:szCs w:val="22"/>
        </w:rPr>
        <w:t xml:space="preserve">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evidence has been provided so far that AFCVd diverges from AGVd from a biological point of view, explaining its still partially unresolved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AFCVd was initially identified from apple trees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Japan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was later identified, again in Japan, in natural infections of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of oriental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(Nakaune and Nakano, 2008). Research involving germplasm material in the USA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indicates that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is an experimental host and suggests that it is also a natural host. However, it is unclear whether the detection of natural infection in pear, performed by molecular hybridization, was confirmed by another technique. The status of pear as a natural host should therefore be considered as still doubtful and not unambiguously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By mechanical inoculation,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have been shown to be experimental hosts of AFCVd (Suzuki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all reports of AFCVd are from Japan. The presence of AFCVd in oriental persimmon in Georgia (United States of America) has been documented by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also exists a report of the presence of AFCVd in apple in the Xinjiang province of China (Zhao &amp; Niu, 2009). However, the Genbank AFCVd sequence accessions associated with this report do not appear in Genbank, while the detection appears to rely on a single PCR technique. Taken together, the presence of AFCVd in China should be considered as doubtful.</w:t>
      </w:r>
    </w:p>
    <w:p>
      <w:r>
        <w:drawing>
          <wp:inline distT="0" distB="0" distL="0" distR="0">
            <wp:extent cx="6120000" cy="3067200"/>
            <wp:docPr id="56829023" name="name52026681b07b47b59" descr="AF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VD0_distribution_map.jpg"/>
                    <pic:cNvPicPr/>
                  </pic:nvPicPr>
                  <pic:blipFill>
                    <a:blip r:embed="rId80526681b07b47b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has been transmitted to apple seedlings by grafting, budding or razor-slashing inoculation using purified RNA preparations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Similar to the other members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it is assumed that AFCVd replicates in the nucleus of host plants, moves locally through plasmodesmata and systemically invades the plants through their phloem, leading to generalized infection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for most viroids, the natural mode of spread from plant to plant, if any, is still unclear. In apple, natural spread to neighbouring trees has not been documented. AFCVd is however efficiently transmitted by vegetative propagation techniques such as budding or grafting (Koganezawa &amp; Ito, 2011). In hop, AFCVd transmission is also possible through cuttings and mechanical injury during cultural operations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characteristic symptoms on sensitive varieties consist of crinkled and roughened fruits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Ito &amp; Yoshida, 1998). In severe cases, fruit crinkling is associated with internal fruit flesh browning, pitting and necrosis. Dappling in the form of discoloured, sometimes slightly depressed, spots is also observed on the fruits of red-skinned cultivars (Koganezawa &amp; Ito, 2011). In the most affected varieties, fruits also tend to drop prematurely. In some varieties, fruits may be smaller, in the absence of other obvious symptoms. Blistering of the bark is also observed in some varieties. Infection is however symptomless in some varieties and no leaf symptoms are observed in any variety (Koganezawa &amp; Ito,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hop, an association of AFCVd infection with dwarfing of plants and leaf curling has been suggested, together with a reduction in alpha acid content of hop cones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Whether AFCVd induces symptoms in infected oriental persimmon remains doubtful (Nakaune &amp; Nakano, 2008;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 small, circular, naked single-stranded RNA molecule of ~370 nucleotides. As for other members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AFCVd genomic molecule lacks ribozymes, adopts a rod-shape secondary structure and contains a central conserved region (CCR) and a terminal conserved region (TCR)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orchards, visual inspections should be carried out on fruit-bearing trees. The visual examination of apples after harvest can also allow the detection of symptoms. However, the practicality of the use of visual examination is dependent on the circumstances (e.g. cultivar and environmental conditions). AFCVd can be detected by indexing on fruit-bearing trees of susceptible varieties (Koganezawa &amp; Ito, 2011), but the test can take up to two years to yield results. Detection can more readily be achieved using either molecular hybridization with molecular probes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reverse-transcription polymerase chain reaction (RT-PCR)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apparent absence of vectors or of other modes of transmission, movement and trade of contaminated propagation materials is seen as the most significant, if not unique, mode of long-distance movement. Vegetative propagation techniques and cultural operations are the mean of short distance dispersal. Apple fruits are not considered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symptoms induced by AFCVd on sensitive apple cultivars and on hop plants can be severe, the geographic distribution at world scale appears to be very limited. Distribution in Japan, the main country where AFCVd is reported, appears also to be quite limited. Overall, the current economic impact of AFCVd appears very limited.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inefficiency of any known natural spread mechanism, the most efficient control strategy appears to be the development and use of AFCVd-free propagation materials (Koganezawa &amp; Ito, 2011). No known control measures are known in the field, besides the destruction of infected plants, which has proven its efficacy in Japan (Koganezawa &amp; Ito,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propagation material and seen as relatively limited given the limited geographical distribution of AFCVd and the apparently inefficient (apple, persimmon) or relatively inefficient (hop) spread in the field. EFSA (2019) considered that climatic conditions in the EPPO region would not impair establishment. However, symptom expression and severity may be affected by climatic conditions (e.g. temperature and light) and by the varieties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apple, oriental persimmon or hop plants for planting into the EPPO region could require that these plants are produced in a pest free area, in a pest free place/site of production, or shown to be free from AFCVd by appropriate molecular diagnostic methods. A number of EPPO countries (e.g. EU countries: Annex VI, points 8 &amp; 9 of Regulation 2019/2072 (EU, 2019)) already ban the import of apple plants for planting (other than seeds) from listed countries including Japan. Host plants for planting could also be imported through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(2020) ICTV Report Consortium. ICTV Virus Taxonomy Profile: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001543.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Torchetti EM, Flores R &amp; Sano T (2017) Other apscaviroids infecting pome fruit trees.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pp. 229-241. Elsevier Academic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Jaques Miret JA, Justesen AF, MacLeod A, Magnusson CS, Milonas P, Navas-Cortes JA, Parnell S, Potting R, Reignault PL, Thulke H-H, Van der Werf W, Vicent Civera A, Yuen J, Zappala L, Candresse T, Chatzivassiliou E, Finelli F, Winter S, Chiumenti M, Di Serio F, Kaluski T, Minafra A &amp; Rubino L. Scientific Opinion on the pest categorisation of non-EU viruses and viroids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Mill.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5590, 81 pp.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MA, Carbonell A, Gago S, Dela Pena M &amp; Daros JA. (2009) Viroid replication: rolling-circles, enzymes and ribozymes.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317-334.</w:t>
      </w:r>
    </w:p>
    <w:p>
      <w:pPr>
        <w:widowControl w:val="on"/>
        <w:pBdr/>
        <w:spacing w:before="220" w:after="220" w:line="240" w:lineRule="auto"/>
        <w:ind w:left="0" w:right="0"/>
        <w:jc w:val="left"/>
      </w:pPr>
      <w:r>
        <w:rPr>
          <w:rFonts w:ascii="Calibri" w:hAnsi="Calibri" w:eastAsia="Calibri" w:cs="Calibri"/>
          <w:color w:val="000000"/>
          <w:sz w:val="22"/>
          <w:szCs w:val="22"/>
        </w:rPr>
        <w:t xml:space="preserve">Gregory A, Scott SW, Brannen PM &amp; Royal DC (2018) Graft-transmissible agents in oriental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L) in the southeastern USA.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w:t>
      </w:r>
    </w:p>
    <w:p>
      <w:pPr>
        <w:widowControl w:val="on"/>
        <w:pBdr/>
        <w:spacing w:before="220" w:after="220" w:line="240" w:lineRule="auto"/>
        <w:ind w:left="0" w:right="0"/>
        <w:jc w:val="left"/>
      </w:pPr>
      <w:r>
        <w:rPr>
          <w:rFonts w:ascii="Calibri" w:hAnsi="Calibri" w:eastAsia="Calibri" w:cs="Calibri"/>
          <w:color w:val="000000"/>
          <w:sz w:val="22"/>
          <w:szCs w:val="22"/>
        </w:rPr>
        <w:t xml:space="preserve">Ito T, Kanematsu S, Koganezawa H, Tsuchizaki T &amp; Yoshida K (1993) Detection of a viroid associated with apple fruit crinkle disease.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520-527.</w:t>
      </w:r>
    </w:p>
    <w:p>
      <w:pPr>
        <w:widowControl w:val="on"/>
        <w:pBdr/>
        <w:spacing w:before="220" w:after="220" w:line="240" w:lineRule="auto"/>
        <w:ind w:left="0" w:right="0"/>
        <w:jc w:val="left"/>
      </w:pPr>
      <w:r>
        <w:rPr>
          <w:rFonts w:ascii="Calibri" w:hAnsi="Calibri" w:eastAsia="Calibri" w:cs="Calibri"/>
          <w:color w:val="000000"/>
          <w:sz w:val="22"/>
          <w:szCs w:val="22"/>
        </w:rPr>
        <w:t xml:space="preserve">Ito T &amp; Yoshida K (1998) Reproduction of apple fruit crinkle disease symptoms by apple fruit crinkle viroid.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587-594.</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Ito T (2011) Apple fruit crinkle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150-152.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Lin L, Li R, Mock R &amp; Kinard G (2011) Development of a polyprobe to detect six viroids of pome and stone fruit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Nakaune R &amp; Nakano M (2008) Identification of a new Apscaviroid from Japanese persimmon.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969-972.</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Yoshida H, Goshono M, Monma T, Kawasaki H &amp; Ishizaki K (2004) Characterization of a new viroid strain from hops: evidence for viroid speciation by isolation in different host species. </w:t>
      </w:r>
      <w:r>
        <w:rPr>
          <w:rFonts w:ascii="Calibri" w:hAnsi="Calibri" w:eastAsia="Calibri" w:cs="Calibri"/>
          <w:i/>
          <w:iCs/>
          <w:color w:val="000000"/>
          <w:sz w:val="22"/>
          <w:szCs w:val="22"/>
        </w:rPr>
        <w:t xml:space="preserve">Journal of General Plant Pathology</w:t>
      </w:r>
      <w:r>
        <w:rPr>
          <w:rFonts w:ascii="Calibri" w:hAnsi="Calibri" w:eastAsia="Calibri" w:cs="Calibri"/>
          <w:b/>
          <w:bCs/>
          <w:color w:val="000000"/>
          <w:sz w:val="22"/>
          <w:szCs w:val="22"/>
        </w:rPr>
        <w:t xml:space="preserve"> 70</w:t>
      </w:r>
      <w:r>
        <w:rPr>
          <w:rFonts w:ascii="Calibri" w:hAnsi="Calibri" w:eastAsia="Calibri" w:cs="Calibri"/>
          <w:color w:val="000000"/>
          <w:sz w:val="22"/>
          <w:szCs w:val="22"/>
        </w:rPr>
        <w:t xml:space="preserve">, 181-187.</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T, Fujibayashi M, Hataya T, Taneda A, He YH, Tsushima T, Duraisamy GS, Siglova K, Matousek J &amp; Sano T (2017) Characterization of host-dependent mutations of apple fruit crinkle viroid replicating in newly identified experimental hosts suggests maintenance of stem-loop structures in the left-hand half of the molecule is important for replication. </w:t>
      </w:r>
      <w:r>
        <w:rPr>
          <w:rFonts w:ascii="Calibri" w:hAnsi="Calibri" w:eastAsia="Calibri" w:cs="Calibri"/>
          <w:i/>
          <w:iCs/>
          <w:color w:val="000000"/>
          <w:sz w:val="22"/>
          <w:szCs w:val="22"/>
        </w:rPr>
        <w:t xml:space="preserve">Journal of General Virology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506-516.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&amp; Niu JX (2009) Detection of apple fruit crinkle viroid in Xinjiang apple and its specific fragment sequence analysis. </w:t>
      </w:r>
      <w:r>
        <w:rPr>
          <w:rFonts w:ascii="Calibri" w:hAnsi="Calibri" w:eastAsia="Calibri" w:cs="Calibri"/>
          <w:i/>
          <w:iCs/>
          <w:color w:val="000000"/>
          <w:sz w:val="22"/>
          <w:szCs w:val="22"/>
        </w:rPr>
        <w:t xml:space="preserve">Journal of Agricultural Biotechnology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164-169.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Francesco di Serio and Thierry Candresse. </w:t>
      </w: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Apple fruit crinkle viroid</w:t>
      </w:r>
      <w:r>
        <w:rPr>
          <w:rFonts w:ascii="Calibri" w:hAnsi="Calibri" w:eastAsia="Calibri" w:cs="Calibri"/>
          <w:color w:val="000000"/>
          <w:sz w:val="22"/>
          <w:szCs w:val="22"/>
        </w:rPr>
        <w:t xml:space="preserve">. EPPO datasheets on pests recommended for regulation. Available online. </w:t>
      </w:r>
      <w:hyperlink r:id="rId35156681b07b4891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8741308" name="name74806681b07b489c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806681b07b489c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45893">
    <w:multiLevelType w:val="hybridMultilevel"/>
    <w:lvl w:ilvl="0" w:tplc="52689093">
      <w:start w:val="1"/>
      <w:numFmt w:val="decimal"/>
      <w:lvlText w:val="%1."/>
      <w:lvlJc w:val="left"/>
      <w:pPr>
        <w:ind w:left="720" w:hanging="360"/>
      </w:pPr>
    </w:lvl>
    <w:lvl w:ilvl="1" w:tplc="52689093" w:tentative="1">
      <w:start w:val="1"/>
      <w:numFmt w:val="lowerLetter"/>
      <w:lvlText w:val="%2."/>
      <w:lvlJc w:val="left"/>
      <w:pPr>
        <w:ind w:left="1440" w:hanging="360"/>
      </w:pPr>
    </w:lvl>
    <w:lvl w:ilvl="2" w:tplc="52689093" w:tentative="1">
      <w:start w:val="1"/>
      <w:numFmt w:val="lowerRoman"/>
      <w:lvlText w:val="%3."/>
      <w:lvlJc w:val="right"/>
      <w:pPr>
        <w:ind w:left="2160" w:hanging="180"/>
      </w:pPr>
    </w:lvl>
    <w:lvl w:ilvl="3" w:tplc="52689093" w:tentative="1">
      <w:start w:val="1"/>
      <w:numFmt w:val="decimal"/>
      <w:lvlText w:val="%4."/>
      <w:lvlJc w:val="left"/>
      <w:pPr>
        <w:ind w:left="2880" w:hanging="360"/>
      </w:pPr>
    </w:lvl>
    <w:lvl w:ilvl="4" w:tplc="52689093" w:tentative="1">
      <w:start w:val="1"/>
      <w:numFmt w:val="lowerLetter"/>
      <w:lvlText w:val="%5."/>
      <w:lvlJc w:val="left"/>
      <w:pPr>
        <w:ind w:left="3600" w:hanging="360"/>
      </w:pPr>
    </w:lvl>
    <w:lvl w:ilvl="5" w:tplc="52689093" w:tentative="1">
      <w:start w:val="1"/>
      <w:numFmt w:val="lowerRoman"/>
      <w:lvlText w:val="%6."/>
      <w:lvlJc w:val="right"/>
      <w:pPr>
        <w:ind w:left="4320" w:hanging="180"/>
      </w:pPr>
    </w:lvl>
    <w:lvl w:ilvl="6" w:tplc="52689093" w:tentative="1">
      <w:start w:val="1"/>
      <w:numFmt w:val="decimal"/>
      <w:lvlText w:val="%7."/>
      <w:lvlJc w:val="left"/>
      <w:pPr>
        <w:ind w:left="5040" w:hanging="360"/>
      </w:pPr>
    </w:lvl>
    <w:lvl w:ilvl="7" w:tplc="52689093" w:tentative="1">
      <w:start w:val="1"/>
      <w:numFmt w:val="lowerLetter"/>
      <w:lvlText w:val="%8."/>
      <w:lvlJc w:val="left"/>
      <w:pPr>
        <w:ind w:left="5760" w:hanging="360"/>
      </w:pPr>
    </w:lvl>
    <w:lvl w:ilvl="8" w:tplc="52689093" w:tentative="1">
      <w:start w:val="1"/>
      <w:numFmt w:val="lowerRoman"/>
      <w:lvlText w:val="%9."/>
      <w:lvlJc w:val="right"/>
      <w:pPr>
        <w:ind w:left="6480" w:hanging="180"/>
      </w:pPr>
    </w:lvl>
  </w:abstractNum>
  <w:abstractNum w:abstractNumId="75745892">
    <w:multiLevelType w:val="hybridMultilevel"/>
    <w:lvl w:ilvl="0" w:tplc="314534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45892">
    <w:abstractNumId w:val="75745892"/>
  </w:num>
  <w:num w:numId="75745893">
    <w:abstractNumId w:val="757458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5732714" Type="http://schemas.microsoft.com/office/2011/relationships/commentsExtended" Target="commentsExtended.xml"/><Relationship Id="rId116399891" Type="http://schemas.microsoft.com/office/2011/relationships/people" Target="people.xml"/><Relationship Id="rId14876681b07b46811" Type="http://schemas.openxmlformats.org/officeDocument/2006/relationships/hyperlink" Target="https://gd.eppo.int/taxon/AFCVD0/" TargetMode="External"/><Relationship Id="rId29376681b07b46858" Type="http://schemas.openxmlformats.org/officeDocument/2006/relationships/hyperlink" Target="https://gd.eppo.int/taxon/AFCVD0/categorization" TargetMode="External"/><Relationship Id="rId94166681b07b46a6f" Type="http://schemas.openxmlformats.org/officeDocument/2006/relationships/hyperlink" Target="https://gd.eppo.int/taxon/AFCVD0/photos" TargetMode="External"/><Relationship Id="rId35156681b07b48912" Type="http://schemas.openxmlformats.org/officeDocument/2006/relationships/hyperlink" Target="https://gd.eppo.int" TargetMode="External"/><Relationship Id="rId43946681b07b4693e" Type="http://schemas.openxmlformats.org/officeDocument/2006/relationships/image" Target="media/imgrId43946681b07b4693e.jpg"/><Relationship Id="rId80526681b07b47b56" Type="http://schemas.openxmlformats.org/officeDocument/2006/relationships/image" Target="media/imgrId80526681b07b47b56.jpg"/><Relationship Id="rId49806681b07b489ce" Type="http://schemas.openxmlformats.org/officeDocument/2006/relationships/image" Target="media/imgrId49806681b07b489c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