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Trirachys sartus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Trirachys sartus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Aeolesthes sarta</w:t>
            </w:r>
            <w:r>
              <w:rPr>
                <w:rFonts w:ascii="Calibri" w:hAnsi="Calibri" w:eastAsia="Calibri" w:cs="Calibri"/>
                <w:color w:val="000000"/>
                <w:position w:val="-3"/>
                <w:sz w:val="22"/>
                <w:szCs w:val="22"/>
              </w:rPr>
              <w:t xml:space="preserve"> (Solsky), </w:t>
            </w:r>
            <w:r>
              <w:rPr>
                <w:rFonts w:ascii="Calibri" w:hAnsi="Calibri" w:eastAsia="Calibri" w:cs="Calibri"/>
                <w:i/>
                <w:iCs/>
                <w:color w:val="000000"/>
                <w:position w:val="-3"/>
                <w:sz w:val="22"/>
                <w:szCs w:val="22"/>
              </w:rPr>
              <w:t xml:space="preserve">Pachydissus sartus</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Uzbek longhorn beetle, city longhorn beetle, sart longhorn beetle, town longhorn beetle</w:t>
            </w:r>
            <w:hyperlink r:id="rId961166985ff92c74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1766985ff92c7c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AELSSA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184151" name="name118266985ff92cfde" descr="1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7.jpg"/>
                          <pic:cNvPicPr/>
                        </pic:nvPicPr>
                        <pic:blipFill>
                          <a:blip r:embed="rId152566985ff92cfdc" cstate="print"/>
                          <a:stretch>
                            <a:fillRect/>
                          </a:stretch>
                        </pic:blipFill>
                        <pic:spPr>
                          <a:xfrm>
                            <a:off x="0" y="0"/>
                            <a:ext cx="2160000" cy="1281600"/>
                          </a:xfrm>
                          <a:prstGeom prst="rect">
                            <a:avLst/>
                          </a:prstGeom>
                          <a:ln w="0">
                            <a:noFill/>
                          </a:ln>
                        </pic:spPr>
                      </pic:pic>
                    </a:graphicData>
                  </a:graphic>
                </wp:inline>
              </w:drawing>
            </w:r>
            <w:hyperlink r:id="rId801266985ff92d18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polyphagous on woody plants. The preferred hosts are </w:t>
      </w:r>
      <w:r>
        <w:rPr>
          <w:rFonts w:ascii="Calibri" w:hAnsi="Calibri" w:eastAsia="Calibri" w:cs="Calibri"/>
          <w:i/>
          <w:iCs/>
          <w:color w:val="000000"/>
          <w:sz w:val="22"/>
          <w:szCs w:val="22"/>
        </w:rPr>
        <w:t xml:space="preserve">Populus, Ulmus, Platanus, Salix, Juglans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cappadocicum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thought to be Pakistan and Western India, from which it spread westwards to Afghanistan and Iran and northwards to the Central Asian countries; Tajikistan, Kyrgyzstan, Turkmenistan, Uzbekistan where it was first found in 1911 (in Samarkand, UZ). The pest continues to increase its range in these countries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was also found in several poplar trees in South Kazakhstan (Shymkent), however, the researcher believes that the pest will not be able to survive there (Kostin, 1973).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some information about findings in Japan, Malaysia and Sri Lanka (CAPS Program Resource, 2020) but more data is needed to confirm these findings</w:t>
      </w:r>
      <w:r>
        <w:rPr>
          <w:rFonts w:ascii="Calibri" w:hAnsi="Calibri" w:eastAsia="Calibri" w:cs="Calibri"/>
          <w:i/>
          <w:iCs/>
          <w:color w:val="000000"/>
          <w:sz w:val="22"/>
          <w:szCs w:val="22"/>
        </w:rPr>
        <w:t xml:space="preserve">. T. sartus</w:t>
      </w:r>
      <w:r>
        <w:rPr>
          <w:rFonts w:ascii="Calibri" w:hAnsi="Calibri" w:eastAsia="Calibri" w:cs="Calibri"/>
          <w:color w:val="000000"/>
          <w:sz w:val="22"/>
          <w:szCs w:val="22"/>
        </w:rPr>
        <w:t xml:space="preserve"> is found usually in lower mountainous areas up to an altitude of 2000 m.</w:t>
      </w:r>
    </w:p>
    <w:p>
      <w:r>
        <w:drawing>
          <wp:inline distT="0" distB="0" distL="0" distR="0">
            <wp:extent cx="6120000" cy="3067200"/>
            <wp:docPr id="31705886" name="name757666985ff92e541" descr="AEL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SSA_distribution_map.jpg"/>
                    <pic:cNvPicPr/>
                  </pic:nvPicPr>
                  <pic:blipFill>
                    <a:blip r:embed="rId434666985ff92e53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(Xizhang), India (Arunachal Pradesh, Himachal Pradesh, Jammu &amp; Kashmir), Iran, Kazakhstan, Kyrgyzstan, Pakistan,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takes two years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Adults usually leave their pupation cells at an average daily temperatures from 15 to 20°C. The mass beetle emergence in Tajikistan (Dushanbe) was observed from the end of April to June at 15,7ºC (Kulinich, 1965), and in Pakistan from March to April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Beetles are generally active in the evening and night. During the daytime, the adults hide under the bark, in larval tunnels and in other refuges. After about 19:00, they leave their hiding places, males appearing first, and move about until morning on the surface of the particular tree on which they have developed. This species does not fly much and maturation feeding has not been observed. Just after exiting the hiding places, the adults begin mating. Males can mate multiple times.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slit-like niches in the bark of trunks and large branches shortly after leaving the pupation cells and continue oviposition for about two months. They lay 1–3 eggs at each site. Normally, one female lays 240–270 eggs in her lifetime (EPPO, 2005). The maximum number of eggs found in one female was 342 (Kulinich, 1965). Viable eggs are produced at a minimum temperature of 15°C, however, oviposition does not occur at temperatures below 10°C or above 35°C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Maximum egg hatch occurs at 22 to 24°C, 12 to 13 days following oviposition.   The development of larvae in the egg lasts 9–17 days. Hatched neonate larvae are light coloured and about 2.5-4.0 mm long and by the end of summer they grow to 50-60 mm. Adult males live 7 to 15 days and females live 19 to 25 days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Each larva makes its own tunnel (even if several eggs were laid together) in order to feed between the bark and the wood. Frass is ejected through the entry hole. Later, larvae enter the wood and, at the end of the first season of development, make a long (about 25 cm) tunnel which first rises parallel to the long axis of the trunk or branch and then turns to form a downward gallery of 15 cm. At the bottom of this gallery the larva overwinters protected by a double plug made from borings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spring, larvae continue to feed, making tunnels deep into the wood. At the end of July, they prepare pupation cells protected by double plugs made from borings. Pupation occurs in these cells and, after about two weeks, adults appear. The adults stay in the pupation cells over winter and leave them in spring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elliptical emergence holes 3-3.5 х 1.2-1.5 сm in trunks and large branches, and frass at the basis of infested trees, are indications of the presence of the pest. The adult beetles are conspicuous and may be seen sitting on the trunks. Branch and tree dieback is easily detected by observation of wilting and drying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3–4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are light coloured, 2.5-4.0 mm long. Full grown larvae are pale yellowish, covered with golden hairs, about 60–70 mm long, with black mandibles.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white, then brownish-grey, up to 45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has an elongated dark grey-brown body with elytra covered with short silvery hairs.  Shiny silvery spots form two irregular bands crossing the elytra. Body length varies from 22 to 42.2 mm in males and 29.2 to 43 mm in females. The male has antennae 2.5 times as long as the body, whereas the female antennae are shorter than the body. Elytra obliquely truncate at the apex, the outer angle being unarmed and the sutural angle is dentate or shortly spine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are infrequent fliers and usually remain on the surface of the host tree on which they developed. In this regard, natural spread of the pest by adult flight is relatively slow (Kulinich, 1965; EPPO, 2005). The most likely pathway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introduction is infested wood, especially wood packaging material. Different life stages may readily be transported with untreated wood and large plants for planting moving in trade, because they remain concealed and difficult to detect.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unlikely to be carried in small plants for planting (of forest, ornamental or fruit trees) as it does not attack small branches or seedlings. Adults may, however, be carried as contaminating pests on various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one of the most important pests of many forest, ornamental and deciduous fruit trees in the region of its present distribution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Yagdyev, 1979, 1987; Sengupta &amp; Sengupta, 1981; Krivosheina &amp; Tokgaev, 1985; Khan et al., 2013). It attacks both stressed and healthy trees of different ages. Successive generations remain on the same tree for several consecutive years, eventually causing its death. Sometimes, young larvae encircle a tree feeding on the cambium, which leads to the rapid death of the tree. Young trees with thin bark are most susceptible to the beetle and 1–3 larvae may be enough to kill a tree (Kulinich, 1965). Gaffar and Bhat (1991) consider this beetle as one of the most destructive pests of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India. Serious damage is also observed in shelter belts and in fruit (especially apple) orchards (Krivosheina, 1984;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the spread and damage to tees by </w:t>
      </w:r>
      <w:r>
        <w:rPr>
          <w:rFonts w:ascii="Calibri" w:hAnsi="Calibri" w:eastAsia="Calibri" w:cs="Calibri"/>
          <w:i/>
          <w:iCs/>
          <w:color w:val="000000"/>
          <w:sz w:val="22"/>
          <w:szCs w:val="22"/>
        </w:rPr>
        <w:t xml:space="preserve">T. sartus </w:t>
      </w:r>
      <w:r>
        <w:rPr>
          <w:rFonts w:ascii="Calibri" w:hAnsi="Calibri" w:eastAsia="Calibri" w:cs="Calibri"/>
          <w:color w:val="000000"/>
          <w:sz w:val="22"/>
          <w:szCs w:val="22"/>
        </w:rPr>
        <w:t xml:space="preserve">usually depends on the location of the plant growth.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more common in the valleys than in the mountains and it causes especially great damage to trees in the valleys. Kulinich (1965) reported that in the Beshkent and Vakhsh valleys (Tajikistan) (350-450 m above sea level) it was difficult to find trees that were not damaged by this pest. In the Gissar valley (800-850 m) there were fewer trees damaged by pest. The higher the mountains, the more difficult it is to find trees infested or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However, single infected trees were also found at an altitude of more than 1800 m.</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serious damage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caused to urban plantations, which usually grow in unfavorable climatic conditions (poor watering, closely located road, etc.) and are less resistant to pests. For example, all large trees in Tashauz city (Turkmenistan) were destroyed because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Affected towns are usually situated in hot and dry climatic conditions, where large deciduous trees are particularly important for the urban environment, and are also difficult to grow. In this case, trees in cities located in the highlands can also be severely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example, in Kabul, 1800 m above sea level) (Kulinich,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Major control efforts are undertaken in countries where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present. Control measures include management actions (e.g. surveys in nurseries with burning of infested plants for planting, and felling and burning of all infested trees), planting more resistant species and varieties of trees, treatments with chemical and biological insecticides (Krivosheina, 1984; Gaffar &amp; Bhat, 1991; Mohi-Uddin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Many investigations have been performed on biological and microbiological control of the pest (Mamaev &amp; Yagdyev, 1981; Arshad &amp; Haﬁz, 1983; Hanif &amp; Chaudhry, 1992). Kamran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studied application the insect repellent technique against larval instars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under field conditions but these methods have had little practical success.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absent from practically all EPPO regions (present only in southern Kyrgyzstan, southern Kazakhstan and Uzbekistan, and in the potential member countries Tajikistan and Turkmenistan). An EPPO PRA concluded that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 serious pest in countries where it occurs, and already has a history of spread from the Indian subcontinent to Central Asia (EPPO, 2005; Orlinski, 2006). It has a wide host range. In view of the hot and dry climatic conditions of its countries of origin and present distribution, the endangered area is primarily the Mediterranean and other southern countries (such as Albania, Algeria, Bulgaria, Greece, Italy, Portugal, Romania). Its impact would most probably concern: plantations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Juglans</w:t>
      </w:r>
      <w:r>
        <w:rPr>
          <w:rFonts w:ascii="Calibri" w:hAnsi="Calibri" w:eastAsia="Calibri" w:cs="Calibri"/>
          <w:color w:val="000000"/>
          <w:sz w:val="22"/>
          <w:szCs w:val="22"/>
        </w:rPr>
        <w:t xml:space="preserve"> and other amenity trees in cities and parks; fruit trees; various tree species in forests. Infested large plants for planting and wood are the most likely pathways for introduction. Since there is at present little international trade in the wood of host plants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the main phytosanitary risk comes from untreated wood packaging material (especially dunnage). There have been two cases of </w:t>
      </w:r>
      <w:r>
        <w:rPr>
          <w:rFonts w:ascii="Calibri" w:hAnsi="Calibri" w:eastAsia="Calibri" w:cs="Calibri"/>
          <w:i/>
          <w:iCs/>
          <w:color w:val="000000"/>
          <w:sz w:val="22"/>
          <w:szCs w:val="22"/>
        </w:rPr>
        <w:t xml:space="preserve">Trirachys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p. interception in U.S. ports in wood packing material originating from India and China in 2013 (CAPS Program Resource,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2002, </w:t>
      </w:r>
      <w:r>
        <w:rPr>
          <w:rFonts w:ascii="Calibri" w:hAnsi="Calibri" w:eastAsia="Calibri" w:cs="Calibri"/>
          <w:i/>
          <w:iCs/>
          <w:color w:val="000000"/>
          <w:sz w:val="22"/>
          <w:szCs w:val="22"/>
        </w:rPr>
        <w:t xml:space="preserve">Trirachys sartus </w:t>
      </w:r>
      <w:r>
        <w:rPr>
          <w:rFonts w:ascii="Calibri" w:hAnsi="Calibri" w:eastAsia="Calibri" w:cs="Calibri"/>
          <w:color w:val="000000"/>
          <w:sz w:val="22"/>
          <w:szCs w:val="22"/>
        </w:rPr>
        <w:t xml:space="preserve">was added to the EPPO A2 List of pests recommended for regulation as a quarantine pest, and endangered EPPO member countries are thus recommended to regulate it as a quarantine pest. Phytosanitary measures could include requiring consignments originate from a pest-free area. Wood packaging materials should respect requirements of ISPM no. 15 (ISPM, 2018). International movement of wood of the host plants from countries where the pest is currently distributed does not seem very likely, but measures in that case could be debarking, grub-hole freedom, heat treatment, fumigation or other appropriate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MI, Haﬁz IA &amp; Chaudhry MI (1977) Biological studies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attacking poplars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Arshad M &amp; Haﬁz IA (1983) Microbial trials of a 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against the adults of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213–215.</w:t>
      </w:r>
    </w:p>
    <w:p>
      <w:pPr>
        <w:widowControl w:val="on"/>
        <w:pBdr/>
        <w:spacing w:before="220" w:after="220" w:line="240" w:lineRule="auto"/>
        <w:ind w:left="0" w:right="0"/>
        <w:jc w:val="left"/>
      </w:pPr>
      <w:r>
        <w:rPr>
          <w:rFonts w:ascii="Calibri" w:hAnsi="Calibri" w:eastAsia="Calibri" w:cs="Calibri"/>
          <w:color w:val="000000"/>
          <w:sz w:val="22"/>
          <w:szCs w:val="22"/>
        </w:rPr>
        <w:t xml:space="preserve">CAPS Program Resource and Collaboration Site (n.d.). Retrieved from </w:t>
      </w:r>
      <w:hyperlink r:id="rId327066985ff92f170" w:history="1">
        <w:r>
          <w:rPr>
            <w:rFonts w:ascii="Calibri" w:hAnsi="Calibri" w:eastAsia="Calibri" w:cs="Calibri"/>
            <w:color w:val="0000CC"/>
            <w:sz w:val="22"/>
            <w:szCs w:val="22"/>
            <w:u w:val="single"/>
          </w:rPr>
          <w:t xml:space="preserve">http://download.ceris.purdue.edu/file/3122</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on 04/22/2020.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387-389. </w:t>
      </w:r>
    </w:p>
    <w:p>
      <w:pPr>
        <w:widowControl w:val="on"/>
        <w:pBdr/>
        <w:spacing w:before="220" w:after="220" w:line="240" w:lineRule="auto"/>
        <w:ind w:left="0" w:right="0"/>
        <w:jc w:val="left"/>
      </w:pPr>
      <w:r>
        <w:rPr>
          <w:rFonts w:ascii="Calibri" w:hAnsi="Calibri" w:eastAsia="Calibri" w:cs="Calibri"/>
          <w:color w:val="000000"/>
          <w:sz w:val="22"/>
          <w:szCs w:val="22"/>
        </w:rPr>
        <w:t xml:space="preserve">Farashiani ME, Sadeghi SE &amp; Abaii M (2001) Geographic distribution and hosts of sart longhorn beetle,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(Col.: Cerambycidae) in Iran. </w:t>
      </w:r>
      <w:r>
        <w:rPr>
          <w:rFonts w:ascii="Calibri" w:hAnsi="Calibri" w:eastAsia="Calibri" w:cs="Calibri"/>
          <w:i/>
          <w:iCs/>
          <w:color w:val="000000"/>
          <w:sz w:val="22"/>
          <w:szCs w:val="22"/>
        </w:rPr>
        <w:t xml:space="preserve">Journal of Entomological Society of Iran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81-96.</w:t>
      </w:r>
    </w:p>
    <w:p>
      <w:pPr>
        <w:widowControl w:val="on"/>
        <w:pBdr/>
        <w:spacing w:before="220" w:after="220" w:line="240" w:lineRule="auto"/>
        <w:ind w:left="0" w:right="0"/>
        <w:jc w:val="left"/>
      </w:pPr>
      <w:r>
        <w:rPr>
          <w:rFonts w:ascii="Calibri" w:hAnsi="Calibri" w:eastAsia="Calibri" w:cs="Calibri"/>
          <w:color w:val="000000"/>
          <w:sz w:val="22"/>
          <w:szCs w:val="22"/>
        </w:rPr>
        <w:t xml:space="preserve">Gaffar SA &amp; Bhat AA (1991) Management of stem borer,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infesting walnut trees in Kashmir. </w:t>
      </w:r>
      <w:r>
        <w:rPr>
          <w:rFonts w:ascii="Calibri" w:hAnsi="Calibri" w:eastAsia="Calibri" w:cs="Calibri"/>
          <w:i/>
          <w:iCs/>
          <w:color w:val="000000"/>
          <w:sz w:val="22"/>
          <w:szCs w:val="22"/>
        </w:rPr>
        <w:t xml:space="preserve">Indian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138–141.</w:t>
      </w:r>
    </w:p>
    <w:p>
      <w:pPr>
        <w:widowControl w:val="on"/>
        <w:pBdr/>
        <w:spacing w:before="220" w:after="220" w:line="240" w:lineRule="auto"/>
        <w:ind w:left="0" w:right="0"/>
        <w:jc w:val="left"/>
      </w:pPr>
      <w:r>
        <w:rPr>
          <w:rFonts w:ascii="Calibri" w:hAnsi="Calibri" w:eastAsia="Calibri" w:cs="Calibri"/>
          <w:color w:val="000000"/>
          <w:sz w:val="22"/>
          <w:szCs w:val="22"/>
        </w:rPr>
        <w:t xml:space="preserve">Hanif G &amp; Chaudhry MI (1992) Some observations on natural enemies of poplar borers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no. 15. </w:t>
      </w:r>
      <w:r>
        <w:rPr>
          <w:rFonts w:ascii="Calibri" w:hAnsi="Calibri" w:eastAsia="Calibri" w:cs="Calibri"/>
          <w:i/>
          <w:iCs/>
          <w:color w:val="000000"/>
          <w:sz w:val="22"/>
          <w:szCs w:val="22"/>
        </w:rPr>
        <w:t xml:space="preserve">Guidelines for Regulating Wood Packaging in International Trade</w:t>
      </w:r>
      <w:r>
        <w:rPr>
          <w:rFonts w:ascii="Calibri" w:hAnsi="Calibri" w:eastAsia="Calibri" w:cs="Calibri"/>
          <w:color w:val="000000"/>
          <w:sz w:val="22"/>
          <w:szCs w:val="22"/>
        </w:rPr>
        <w:t xml:space="preserv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 Karpiński L, Szczepański WT, Taszakowski A,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606, 41-6 https://doi.org/10.3897/zookeys.606.9190</w:t>
      </w:r>
    </w:p>
    <w:p>
      <w:pPr>
        <w:widowControl w:val="on"/>
        <w:pBdr/>
        <w:spacing w:before="220" w:after="220" w:line="240" w:lineRule="auto"/>
        <w:ind w:left="0" w:right="0"/>
        <w:jc w:val="left"/>
      </w:pPr>
      <w:r>
        <w:rPr>
          <w:rFonts w:ascii="Calibri" w:hAnsi="Calibri" w:eastAsia="Calibri" w:cs="Calibri"/>
          <w:color w:val="000000"/>
          <w:sz w:val="22"/>
          <w:szCs w:val="22"/>
        </w:rPr>
        <w:t xml:space="preserve">Kamran K, Kakar A, Arif S &amp; Iqbal A  (2017) Evaluation of insect repellent and insecticide implantation techniques against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in Quetta district of Baluchistan province, Pakistan. </w:t>
      </w:r>
      <w:r>
        <w:rPr>
          <w:rFonts w:ascii="Calibri" w:hAnsi="Calibri" w:eastAsia="Calibri" w:cs="Calibri"/>
          <w:i/>
          <w:iCs/>
          <w:color w:val="000000"/>
          <w:sz w:val="22"/>
          <w:szCs w:val="22"/>
        </w:rPr>
        <w:t xml:space="preserve">Journal of Entomology and Zoology Studies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Khan SA, Bhatia S, Tripathi N (2013) Entomological investigation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a major pest on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L.) in Kashmir valley. </w:t>
      </w:r>
      <w:r>
        <w:rPr>
          <w:rFonts w:ascii="Calibri" w:hAnsi="Calibri" w:eastAsia="Calibri" w:cs="Calibri"/>
          <w:i/>
          <w:iCs/>
          <w:color w:val="000000"/>
          <w:sz w:val="22"/>
          <w:szCs w:val="22"/>
        </w:rPr>
        <w:t xml:space="preserve">Journal of Academia and Industrial Research </w:t>
      </w:r>
      <w:r>
        <w:rPr>
          <w:rFonts w:ascii="Calibri" w:hAnsi="Calibri" w:eastAsia="Calibri" w:cs="Calibri"/>
          <w:color w:val="000000"/>
          <w:sz w:val="22"/>
          <w:szCs w:val="22"/>
        </w:rPr>
        <w:t xml:space="preserve">(2) 6: 325-330.</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(1984) [Role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fruit orchards in Turkmenia.]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[Wood-boring beetles of Kazakhstan (bark beetles, cerambycids, bupristids).] Alma-Ata, 1-288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PN (1965) [Beetles that harm fruit and nut crops in the southern slope of the Gissar Range.] Dushanbe, 1-172,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Yagdyev A (1981) [Characteristics of development of the Turkmenian hymenopteran (</w:t>
      </w:r>
      <w:r>
        <w:rPr>
          <w:rFonts w:ascii="Calibri" w:hAnsi="Calibri" w:eastAsia="Calibri" w:cs="Calibri"/>
          <w:i/>
          <w:iCs/>
          <w:color w:val="000000"/>
          <w:sz w:val="22"/>
          <w:szCs w:val="22"/>
        </w:rPr>
        <w:t xml:space="preserve">Scleroderma turcmenica</w:t>
      </w:r>
      <w:r>
        <w:rPr>
          <w:rFonts w:ascii="Calibri" w:hAnsi="Calibri" w:eastAsia="Calibri" w:cs="Calibri"/>
          <w:color w:val="000000"/>
          <w:sz w:val="22"/>
          <w:szCs w:val="22"/>
        </w:rPr>
        <w:t xml:space="preserve">) on larvae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experimental conditions.]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Mir GM, &amp; Wani MA (2005) Severity of infestation and damage to walnut plantation by important insect pests in Kashmir.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188-193.</w:t>
      </w:r>
    </w:p>
    <w:p>
      <w:pPr>
        <w:widowControl w:val="on"/>
        <w:pBdr/>
        <w:spacing w:before="220" w:after="220" w:line="240" w:lineRule="auto"/>
        <w:ind w:left="0" w:right="0"/>
        <w:jc w:val="left"/>
      </w:pPr>
      <w:r>
        <w:rPr>
          <w:rFonts w:ascii="Calibri" w:hAnsi="Calibri" w:eastAsia="Calibri" w:cs="Calibri"/>
          <w:color w:val="000000"/>
          <w:sz w:val="22"/>
          <w:szCs w:val="22"/>
        </w:rPr>
        <w:t xml:space="preserve">Mohi-Uddin S, Munazah Y, Ahmed MDJ &amp; Ahmed SB (2009) Management of apple stem borer, Aeolesthes sarta Solsky (Coleoptera: Cerambycidae) in Kashmir. Environment and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931–933.</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OEPP/EPPO (2006), Bulletin OEPP/EPPO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Shahramanov IK, Muhanov SZh &amp; Maslyakov VY (1991) [Potential quarantine forest pests in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Sengupta CK &amp; Sengupta T (1981) Cerambycidae (Coleoptera) of Arunachal Pradesh.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133–154.</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ML (1999) Insect pest status of poplars in India. </w:t>
      </w:r>
      <w:r>
        <w:rPr>
          <w:rFonts w:ascii="Calibri" w:hAnsi="Calibri" w:eastAsia="Calibri" w:cs="Calibri"/>
          <w:i/>
          <w:iCs/>
          <w:color w:val="000000"/>
          <w:sz w:val="22"/>
          <w:szCs w:val="22"/>
        </w:rPr>
        <w:t xml:space="preserve">Indian Forester</w:t>
      </w:r>
      <w:r>
        <w:rPr>
          <w:rFonts w:ascii="Calibri" w:hAnsi="Calibri" w:eastAsia="Calibri" w:cs="Calibri"/>
          <w:color w:val="000000"/>
          <w:sz w:val="22"/>
          <w:szCs w:val="22"/>
        </w:rPr>
        <w:t xml:space="preserve"> 125: 866-872.</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(1979) A review of the xylophagous insects of the forests of the Central Kopet-dag.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776–780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(1987) [Pests of ornamental plants in towns of Turkmenistan.]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47–50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EPPO datasheets on pests recommended for regulation. Available online. </w:t>
      </w:r>
      <w:hyperlink r:id="rId792766985ff92fda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387-389. </w:t>
      </w:r>
      <w:hyperlink r:id="rId219266985ff92fe82" w:history="1">
        <w:r>
          <w:rPr>
            <w:rFonts w:ascii="Calibri" w:hAnsi="Calibri" w:eastAsia="Calibri" w:cs="Calibri"/>
            <w:color w:val="0000CC"/>
            <w:sz w:val="22"/>
            <w:szCs w:val="22"/>
            <w:u w:val="single"/>
          </w:rPr>
          <w:t xml:space="preserve">https://doi.org/10.1111/j.1365-2338.2005.00842.x</w:t>
        </w:r>
      </w:hyperlink>
    </w:p>
    <w:p>
      <w:r>
        <w:drawing>
          <wp:inline distT="0" distB="0" distL="0" distR="0">
            <wp:extent cx="1800000" cy="604800"/>
            <wp:docPr id="41904717" name="name689166985ff92ff1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2066985ff92ff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08390">
    <w:multiLevelType w:val="hybridMultilevel"/>
    <w:lvl w:ilvl="0" w:tplc="35057634">
      <w:start w:val="1"/>
      <w:numFmt w:val="decimal"/>
      <w:lvlText w:val="%1."/>
      <w:lvlJc w:val="left"/>
      <w:pPr>
        <w:ind w:left="720" w:hanging="360"/>
      </w:pPr>
    </w:lvl>
    <w:lvl w:ilvl="1" w:tplc="35057634" w:tentative="1">
      <w:start w:val="1"/>
      <w:numFmt w:val="lowerLetter"/>
      <w:lvlText w:val="%2."/>
      <w:lvlJc w:val="left"/>
      <w:pPr>
        <w:ind w:left="1440" w:hanging="360"/>
      </w:pPr>
    </w:lvl>
    <w:lvl w:ilvl="2" w:tplc="35057634" w:tentative="1">
      <w:start w:val="1"/>
      <w:numFmt w:val="lowerRoman"/>
      <w:lvlText w:val="%3."/>
      <w:lvlJc w:val="right"/>
      <w:pPr>
        <w:ind w:left="2160" w:hanging="180"/>
      </w:pPr>
    </w:lvl>
    <w:lvl w:ilvl="3" w:tplc="35057634" w:tentative="1">
      <w:start w:val="1"/>
      <w:numFmt w:val="decimal"/>
      <w:lvlText w:val="%4."/>
      <w:lvlJc w:val="left"/>
      <w:pPr>
        <w:ind w:left="2880" w:hanging="360"/>
      </w:pPr>
    </w:lvl>
    <w:lvl w:ilvl="4" w:tplc="35057634" w:tentative="1">
      <w:start w:val="1"/>
      <w:numFmt w:val="lowerLetter"/>
      <w:lvlText w:val="%5."/>
      <w:lvlJc w:val="left"/>
      <w:pPr>
        <w:ind w:left="3600" w:hanging="360"/>
      </w:pPr>
    </w:lvl>
    <w:lvl w:ilvl="5" w:tplc="35057634" w:tentative="1">
      <w:start w:val="1"/>
      <w:numFmt w:val="lowerRoman"/>
      <w:lvlText w:val="%6."/>
      <w:lvlJc w:val="right"/>
      <w:pPr>
        <w:ind w:left="4320" w:hanging="180"/>
      </w:pPr>
    </w:lvl>
    <w:lvl w:ilvl="6" w:tplc="35057634" w:tentative="1">
      <w:start w:val="1"/>
      <w:numFmt w:val="decimal"/>
      <w:lvlText w:val="%7."/>
      <w:lvlJc w:val="left"/>
      <w:pPr>
        <w:ind w:left="5040" w:hanging="360"/>
      </w:pPr>
    </w:lvl>
    <w:lvl w:ilvl="7" w:tplc="35057634" w:tentative="1">
      <w:start w:val="1"/>
      <w:numFmt w:val="lowerLetter"/>
      <w:lvlText w:val="%8."/>
      <w:lvlJc w:val="left"/>
      <w:pPr>
        <w:ind w:left="5760" w:hanging="360"/>
      </w:pPr>
    </w:lvl>
    <w:lvl w:ilvl="8" w:tplc="35057634" w:tentative="1">
      <w:start w:val="1"/>
      <w:numFmt w:val="lowerRoman"/>
      <w:lvlText w:val="%9."/>
      <w:lvlJc w:val="right"/>
      <w:pPr>
        <w:ind w:left="6480" w:hanging="180"/>
      </w:pPr>
    </w:lvl>
  </w:abstractNum>
  <w:abstractNum w:abstractNumId="49808389">
    <w:multiLevelType w:val="hybridMultilevel"/>
    <w:lvl w:ilvl="0" w:tplc="29394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08389">
    <w:abstractNumId w:val="49808389"/>
  </w:num>
  <w:num w:numId="49808390">
    <w:abstractNumId w:val="498083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9119084" Type="http://schemas.microsoft.com/office/2011/relationships/commentsExtended" Target="commentsExtended.xml"/><Relationship Id="rId747098570" Type="http://schemas.microsoft.com/office/2011/relationships/people" Target="people.xml"/><Relationship Id="rId961166985ff92c74c" Type="http://schemas.openxmlformats.org/officeDocument/2006/relationships/hyperlink" Target="https://gd.eppo.int/taxon/AELSSA/" TargetMode="External"/><Relationship Id="rId841766985ff92c7c5" Type="http://schemas.openxmlformats.org/officeDocument/2006/relationships/hyperlink" Target="https://gd.eppo.int/taxon/AELSSA/categorization" TargetMode="External"/><Relationship Id="rId801266985ff92d189" Type="http://schemas.openxmlformats.org/officeDocument/2006/relationships/hyperlink" Target="https://gd.eppo.int/taxon/AELSSA/photos" TargetMode="External"/><Relationship Id="rId327066985ff92f170" Type="http://schemas.openxmlformats.org/officeDocument/2006/relationships/hyperlink" Target="http://download.ceris.purdue.edu/file/3122" TargetMode="External"/><Relationship Id="rId792766985ff92fda8" Type="http://schemas.openxmlformats.org/officeDocument/2006/relationships/hyperlink" Target="https://gd.eppo.int" TargetMode="External"/><Relationship Id="rId219266985ff92fe82" Type="http://schemas.openxmlformats.org/officeDocument/2006/relationships/hyperlink" Target="https://doi.org/10.1111/j.1365-2338.2005.00842.x" TargetMode="External"/><Relationship Id="rId152566985ff92cfdc" Type="http://schemas.openxmlformats.org/officeDocument/2006/relationships/image" Target="media/imgrId152566985ff92cfdc.jpg"/><Relationship Id="rId434666985ff92e53c" Type="http://schemas.openxmlformats.org/officeDocument/2006/relationships/image" Target="media/imgrId434666985ff92e53c.jpg"/><Relationship Id="rId882066985ff92ff1d" Type="http://schemas.openxmlformats.org/officeDocument/2006/relationships/image" Target="media/imgrId882066985ff92ff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