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Acleris gloverana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Acleris gloverana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black-headed bud worm</w:t>
            </w:r>
            <w:hyperlink r:id="rId549869995aa6736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24969995aa6736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ACLRGL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125644" name="name197769995aa673e0d"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444869995aa673e0a" cstate="print"/>
                          <a:stretch>
                            <a:fillRect/>
                          </a:stretch>
                        </pic:blipFill>
                        <pic:spPr>
                          <a:xfrm>
                            <a:off x="0" y="0"/>
                            <a:ext cx="2160000" cy="1281600"/>
                          </a:xfrm>
                          <a:prstGeom prst="rect">
                            <a:avLst/>
                          </a:prstGeom>
                          <a:ln w="0">
                            <a:noFill/>
                          </a:ln>
                        </pic:spPr>
                      </pic:pic>
                    </a:graphicData>
                  </a:graphic>
                </wp:inline>
              </w:drawing>
            </w:r>
            <w:hyperlink r:id="rId391769995aa673f2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described originally from a single specimen from California, 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later, more comprehensive description based on specimens from the Eastern USA was named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(Fernald)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specific name </w:t>
      </w:r>
      <w:r>
        <w:rPr>
          <w:rFonts w:ascii="Calibri" w:hAnsi="Calibri" w:eastAsia="Calibri" w:cs="Calibri"/>
          <w:i/>
          <w:iCs/>
          <w:color w:val="000000"/>
          <w:sz w:val="22"/>
          <w:szCs w:val="22"/>
        </w:rPr>
        <w:t xml:space="preserve">variana </w:t>
      </w:r>
      <w:r>
        <w:rPr>
          <w:rFonts w:ascii="Calibri" w:hAnsi="Calibri" w:eastAsia="Calibri" w:cs="Calibri"/>
          <w:color w:val="000000"/>
          <w:sz w:val="22"/>
          <w:szCs w:val="22"/>
        </w:rPr>
        <w:t xml:space="preserve">was applied subsequently to black-headed budworms throughout North America. Powell (1962) decided eastern and western populations were sufficiently distinct to warrant separate species designations within the genus </w:t>
      </w:r>
      <w:r>
        <w:rPr>
          <w:rFonts w:ascii="Calibri" w:hAnsi="Calibri" w:eastAsia="Calibri" w:cs="Calibri"/>
          <w:i/>
          <w:iCs/>
          <w:color w:val="000000"/>
          <w:sz w:val="22"/>
          <w:szCs w:val="22"/>
        </w:rPr>
        <w:t xml:space="preserve">Acleris</w:t>
      </w:r>
      <w:r>
        <w:rPr>
          <w:rFonts w:ascii="Calibri" w:hAnsi="Calibri" w:eastAsia="Calibri" w:cs="Calibri"/>
          <w:color w:val="000000"/>
          <w:sz w:val="22"/>
          <w:szCs w:val="22"/>
        </w:rPr>
        <w:t xml:space="preserve">, applying the senior synonym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to populations west of the Rocky Mountains and retaining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for populations to the east. This biogeographical boundary, however, was assumed by Powell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he did not examine specimens from interior or Rocky Mountain locations when forming the new taxonomic combinations. These changes were not widely accepted until 1970, so earlier references to western black-headed budworm used the name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creating some confusion in the literature (Otvos &amp; Fajrajsl, 1997). Currently, the name western black-headed budworm is used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black-headed budworm for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consensus of the black-headed budworm as a single, transcontinental species with the name </w:t>
      </w:r>
      <w:r>
        <w:rPr>
          <w:rFonts w:ascii="Calibri" w:hAnsi="Calibri" w:eastAsia="Calibri" w:cs="Calibri"/>
          <w:i/>
          <w:iCs/>
          <w:color w:val="000000"/>
          <w:sz w:val="22"/>
          <w:szCs w:val="22"/>
        </w:rPr>
        <w:t xml:space="preserve">Acleris variana </w:t>
      </w:r>
      <w:r>
        <w:rPr>
          <w:rFonts w:ascii="Calibri" w:hAnsi="Calibri" w:eastAsia="Calibri" w:cs="Calibri"/>
          <w:color w:val="000000"/>
          <w:sz w:val="22"/>
          <w:szCs w:val="22"/>
        </w:rPr>
        <w:t xml:space="preserve">reflected the high polymorphism in colour variants of the moth, often from the same location. Variation was also recognized in primary host associations along a longitudinal cline;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eastern forests,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)/balsam fir in central forests;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hemlock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in interior montane western forests;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Pacific coastal forests. Application of modern taxonomic techniques may reveal a single species with longitudinal variation in characters. If this is the case, the senior synonym for the species would be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are hemlocks (</w:t>
      </w:r>
      <w:r>
        <w:rPr>
          <w:rFonts w:ascii="Calibri" w:hAnsi="Calibri" w:eastAsia="Calibri" w:cs="Calibri"/>
          <w:i/>
          <w:iCs/>
          <w:color w:val="000000"/>
          <w:sz w:val="22"/>
          <w:szCs w:val="22"/>
        </w:rPr>
        <w:t xml:space="preserve">Tsuga </w:t>
      </w:r>
      <w:r>
        <w:rPr>
          <w:rFonts w:ascii="Calibri" w:hAnsi="Calibri" w:eastAsia="Calibri" w:cs="Calibri"/>
          <w:color w:val="000000"/>
          <w:sz w:val="22"/>
          <w:szCs w:val="22"/>
        </w:rPr>
        <w:t xml:space="preserve">spp.),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hosts include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Major historical outbreaks are recorded principally on western hemlock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in Pacific coastal forests. Both mature and juvenile stands may support dense populations of western black-headed budworm (Prebble &amp; Graham 1945, Powell 1962, Furniss &amp; Carolin 1977, Koot 1991, Nealis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is native to North America west of the Rocky Mountains. Its distribution extends from Sierra Nevada and Cascade ranges in Northern California and the Rocky Mountains in Colorado, northwards through Wyoming, Montana, the Pacific Northwest, and Alaska in the USA, and British Columbia, Alberta, and Yukon in Canada. The Rocky Mountains are an area of likely overlap of western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black-headed budworms.</w:t>
      </w:r>
    </w:p>
    <w:p>
      <w:r>
        <w:drawing>
          <wp:inline distT="0" distB="0" distL="0" distR="0">
            <wp:extent cx="6120000" cy="3067200"/>
            <wp:docPr id="30715515" name="name330469995aa6752a1" descr="ACLR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RGL_distribution_map.jpg"/>
                    <pic:cNvPicPr/>
                  </pic:nvPicPr>
                  <pic:blipFill>
                    <a:blip r:embed="rId844569995aa6752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Yukon Territory), United States of America (Alaska, California, Colorado, Idaho, Montana, Nevada,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Western black-headed budworm is univoltine throughout its range. Adult moths are active mainly in August and September, but flight and oviposition can extend to October under cool, Pacific coastal conditions. Eggs are deposited singly on the undersides of needles on the outer extremities of the crowns of dominant and co-dominant trees. In cage experiments, a mean oviposition rate of 86 eggs per female has been recorded (Schmiege, 1965). </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the overwintering stage. Survival during the egg stage appears relatively high and consistent from year to year. Hatching coincides with budbreak the following May and June. Neonate larvae move to feed at the bases of expanding buds and disperse on silk threads within and between tree crowns. In the early feeding stages, larvae may feed on a succession of small buds. Relatively low survival has been reported for western black-headed budworm during the dispersal period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Shepherd &amp; Gray, 2001).</w:t>
      </w:r>
    </w:p>
    <w:p>
      <w:pPr>
        <w:widowControl w:val="on"/>
        <w:pBdr/>
        <w:spacing w:before="220" w:after="220" w:line="240" w:lineRule="auto"/>
        <w:ind w:left="0" w:right="0"/>
        <w:jc w:val="both"/>
      </w:pPr>
      <w:r>
        <w:rPr>
          <w:rFonts w:ascii="Calibri" w:hAnsi="Calibri" w:eastAsia="Calibri" w:cs="Calibri"/>
          <w:color w:val="000000"/>
          <w:sz w:val="22"/>
          <w:szCs w:val="22"/>
        </w:rPr>
        <w:t xml:space="preserve">As shoots elongate, larvae web the needles and twigs into a protective shelter where they continue to feed. Larvae prefer current-year foliage, but the last instar larvae can subsist on old foliage, particularly the softer foliage of western hemlock and true firs. Life-table studies report five larval instars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This is unlike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for which studies suggest a proportion of a population, especially males, have only four instars. Larval survival rates are a function of weather and parasitism. Correlations between weather and survival can be difficult to interpret. Anecdotal observations suggest cool, wet weather during the larval period reduces survival, but this seems inconsistent with the observed prevalence of outbreaks in wet, northern coastal forests. Many species of generalist parasitoids and predators have been recorded attacking western black-headed budworm along with a polyhedral disease which affects it, but quantitative estimates of impact are sparse and not related readily to generation survival of the insect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Torgersen, 1970; Gray &amp; Shepherd, 1993).</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damaged feeding sites from late July through September. Some larvae may drop from the foliage and pupate in the shrub layer. Adults emerge approximately two weeks after pupation. In captivity, male budworms lived an average of 15 days and females 22 days (Schmiege, 1965).</w:t>
      </w:r>
    </w:p>
    <w:p>
      <w:pPr>
        <w:widowControl w:val="on"/>
        <w:pBdr/>
        <w:spacing w:before="220" w:after="220" w:line="240" w:lineRule="auto"/>
        <w:ind w:left="0" w:right="0"/>
        <w:jc w:val="both"/>
      </w:pPr>
      <w:r>
        <w:rPr>
          <w:rFonts w:ascii="Calibri" w:hAnsi="Calibri" w:eastAsia="Calibri" w:cs="Calibri"/>
          <w:color w:val="000000"/>
          <w:sz w:val="22"/>
          <w:szCs w:val="22"/>
        </w:rPr>
        <w:t xml:space="preserve">Periodic, damaging outbreaks of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occur at approximately 10- to 15-year intervals and last 2 to 6 years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More details are provided in the section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further down.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appears first in the upper portion of the tree canopy. Damaged foliage attached to the larval webs dries, giving the forest a reddish-brown appearance by the end of the feeding period. In severe cases, the entire leader may be stripped bare of needles. The most severe impacts, including tree mortality, occur in juvenile stands (&lt; 25 years of age) (Prebble &amp;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their alarming appearance, most damaged trees recover within a few years of the end of an outbreak (Nealis </w:t>
      </w:r>
      <w:r>
        <w:rPr>
          <w:rFonts w:ascii="Calibri" w:hAnsi="Calibri" w:eastAsia="Calibri" w:cs="Calibri"/>
          <w:i/>
          <w:iCs/>
          <w:color w:val="000000"/>
          <w:sz w:val="22"/>
          <w:szCs w:val="22"/>
        </w:rPr>
        <w:t xml:space="preserve">&amp; </w:t>
      </w:r>
      <w:r>
        <w:rPr>
          <w:rFonts w:ascii="Calibri" w:hAnsi="Calibri" w:eastAsia="Calibri" w:cs="Calibri"/>
          <w:color w:val="000000"/>
          <w:sz w:val="22"/>
          <w:szCs w:val="22"/>
        </w:rPr>
        <w:t xml:space="preserve">Turnquist,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western black-headed budworm are often concurrent with those of other irruptive insects such as the hemlock sawfly, </w:t>
      </w:r>
      <w:r>
        <w:rPr>
          <w:rFonts w:ascii="Calibri" w:hAnsi="Calibri" w:eastAsia="Calibri" w:cs="Calibri"/>
          <w:i/>
          <w:iCs/>
          <w:color w:val="000000"/>
          <w:sz w:val="22"/>
          <w:szCs w:val="22"/>
        </w:rPr>
        <w:t xml:space="preserve">Neodiprion tsugae</w:t>
      </w:r>
      <w:r>
        <w:rPr>
          <w:rFonts w:ascii="Calibri" w:hAnsi="Calibri" w:eastAsia="Calibri" w:cs="Calibri"/>
          <w:color w:val="000000"/>
          <w:sz w:val="22"/>
          <w:szCs w:val="22"/>
        </w:rPr>
        <w:t xml:space="preserve">. It is difficult to distinguish their specific damage without close inspection during the feeding period (Koot,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Single, pale-yellow, oval, approximately 0.8-1 mm long, flattened (Koot, 1991;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The egg chorion becomes flattened after hatching and may remain on the needle for the following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 mm long, pale green with dark brown prolegs and brown or black headcapsules. Fully grown larvae are 12-16 mm in length, uniformly green with no distinctive markings. Thoracic shield is black and head capsule dark brown to black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Duncan,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measure 7- 9 mm long, sometimes females are up to 12 mm long (Koot, 1991). Pupae are at first green to brown, turning to dark brown shading to green on the wing pads. Cremaster broad, curved ventrally with a long hooklet on each side; one pair of long hooklets on the dorsal surface and two shorter pairs on the ventral surface.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overall grey to brownish with polymorphic wing colour and patterns. Forewings present variations in colour and patterns of spots or bands. Hindwings are grey or brownish grey (Koot, 1991; Powell, 1962;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CABI, 2019). The forewing measures 8.0-9.8 mm (Powell, 1962). Abdomen and dorsum are grey. The genital tuft of females is relatively small and more dorsal compared to that of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(Powell,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can be captured in pheromone traps baited with 1000 mg (E)-11,13-tetradecadienal (E11, 13-14: Ald) as the primary component of the lure, with (Z)-11,13-tetradecadienal added as a secondary component in the ratio of 95:5 (E):(Z). Traps should be deployed by late July and retrieved in October. There is a good correlation between pheromone trap catches and subsequent egg density with predictive value for expected defoliation levels the next season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detected by inspection of the underside of host foliage between October and April. Estimates of egg density are obtained by washing eggs off foliage with boiling water and recovering on filter paper and expressing the density as number of eggs per 45-cm branch tip. A sequential sampling plan has been developed (Shepherd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1990).</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and pupal stages can be sampled directly by removing and inspecting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Overview surveys rely on aerial detection of severe defoliation which results in reddish-brown discoloration of tree crowns. Damage estimates are affected by the time of the survey relative to period between maximum discoloration and eventual needle loss. If there are concurrent outbreaks of hemlock sawfly, ground inspections are recommended to confirm relative impacts of the co-occurring defoliators.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long distances, but natural spread from the current distribution in North America to the EPPO region is unlikely. The most likely pathway for international movement is via host plants for planting (except seeds) and cut branches (including Christmas trees - although host plants are not common Christmas trees). Viable eggs reside on foliage for several months and could go unnoticed. Egg laying occurs on both mature trees and juvenile trees less than 25 years old. Non-foliated portions of host trees are unlikely to harbour viable life stages outside the feeding and maturation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Recurrent outbreaks of western black-headed budworm have been recorded in North America from the Pacific Northwest states through British Columbia and north to Alaska and the Yukon. Surveys suggest population maxima occur every 10-15 years in susceptible forests,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a high content of western hemlock, </w:t>
      </w:r>
      <w:r>
        <w:rPr>
          <w:rFonts w:ascii="Calibri" w:hAnsi="Calibri" w:eastAsia="Calibri" w:cs="Calibri"/>
          <w:i/>
          <w:iCs/>
          <w:color w:val="000000"/>
          <w:sz w:val="22"/>
          <w:szCs w:val="22"/>
        </w:rPr>
        <w:t xml:space="preserve">T. heterophylla. </w:t>
      </w:r>
      <w:r>
        <w:rPr>
          <w:rFonts w:ascii="Calibri" w:hAnsi="Calibri" w:eastAsia="Calibri" w:cs="Calibri"/>
          <w:color w:val="000000"/>
          <w:sz w:val="22"/>
          <w:szCs w:val="22"/>
        </w:rPr>
        <w:t xml:space="preserve">Notable outbreaks have been most frequent, extensive, and severe in wet, coastal Pacific forests. Both mature and juvenile stands (&lt; 25 years of age) are susceptible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Scattered outbreaks have been reported on hemlock and spruce in interior montane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Defoliating outbreaks of western black-headed budworm are often concurrent with infestations of hemlock sawfly, </w:t>
      </w:r>
      <w:r>
        <w:rPr>
          <w:rFonts w:ascii="Calibri" w:hAnsi="Calibri" w:eastAsia="Calibri" w:cs="Calibri"/>
          <w:i/>
          <w:iCs/>
          <w:color w:val="000000"/>
          <w:sz w:val="22"/>
          <w:szCs w:val="22"/>
        </w:rPr>
        <w:t xml:space="preserve">Neodiprion tsugae </w:t>
      </w:r>
      <w:r>
        <w:rPr>
          <w:rFonts w:ascii="Calibri" w:hAnsi="Calibri" w:eastAsia="Calibri" w:cs="Calibri"/>
          <w:color w:val="000000"/>
          <w:sz w:val="22"/>
          <w:szCs w:val="22"/>
        </w:rPr>
        <w:t xml:space="preserve">(Hymenoptera: Diprionidae) although black-headed budworm is usually the most abundant of the two.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may last 2-6 years at the regional level, but most stands are defoliated for only 1, sometimes 2, years. Tree mortality is infrequent in large trees. Stands with juvenile trees comprise a greater proportion of the area defoliated in recent outbreaks. In these stands, the most vigorous trees in spaced stands were the most susceptible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high levels of defoliation, tree mortality is patchy and infrequent overall. Decreases in radial growth and occasional top-kill of leaders is common but most trees in these younger age classes recover by 5 years post-defoliation (Nealis &amp; Turnquist,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typically used for forest defoliators have been tested or used operationally against western black-headed budworm on hemlock (Lejeune, 1975). However, the short-lived nature of outbreaks makes operational planning difficult and the resilience of coastal forests to defoliation makes it generally unnecessary (Hard,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presents a threat to several introduced conifer species and a potential threat to related, native conifer species in the EPPO region. Native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are widespread in the EPPO region. Several North American host species have also been extensively planted for wood production, such as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in North-Western and Central Europe (Da Ronch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Houston Durrant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Other host species may also be planted to a more limited extent in the EPPO region, as forest or amenity trees. Additional studies are required for a better understanding of the areas where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would present the highest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(western black-headed budworm). Compendium record.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Da Ronch F, Caudullo G &amp; de Rigo D (2016)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e01a4f5+.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RW (2006) Conifer defoliators of British Columbia. Natural Resources Canada, Canadian Forest Service. Cat. No. Fo144-3/2006E.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214669995aa675fac"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134969995aa676066" w:history="1">
        <w:r>
          <w:rPr>
            <w:rFonts w:ascii="Calibri" w:hAnsi="Calibri" w:eastAsia="Calibri" w:cs="Calibri"/>
            <w:color w:val="0000CC"/>
            <w:sz w:val="22"/>
            <w:szCs w:val="22"/>
            <w:u w:val="single"/>
          </w:rPr>
          <w:t xml:space="preserve">https://eur-lex.europa.eu/legal-content/EN/TXT/?uri=CELEX%3A32019R2072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VM (1977) Western Forest Insects.</w:t>
      </w:r>
      <w:r>
        <w:rPr>
          <w:rFonts w:ascii="Calibri" w:hAnsi="Calibri" w:eastAsia="Calibri" w:cs="Calibri"/>
          <w:i/>
          <w:iCs/>
          <w:color w:val="000000"/>
          <w:sz w:val="22"/>
          <w:szCs w:val="22"/>
        </w:rPr>
        <w:t xml:space="preserve"> Miscellaneous Publication No. 1339</w:t>
      </w:r>
      <w:r>
        <w:rPr>
          <w:rFonts w:ascii="Calibri" w:hAnsi="Calibri" w:eastAsia="Calibri" w:cs="Calibri"/>
          <w:color w:val="000000"/>
          <w:sz w:val="22"/>
          <w:szCs w:val="22"/>
        </w:rPr>
        <w:t xml:space="preserve">, USDA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Gray TG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Shepherd RF (1993) Hymenopterous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on Vancouver Island, British Columbia, 1970-1974.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11-13.</w:t>
      </w:r>
    </w:p>
    <w:p>
      <w:pPr>
        <w:widowControl w:val="on"/>
        <w:pBdr/>
        <w:spacing w:before="220" w:after="220" w:line="240" w:lineRule="auto"/>
        <w:ind w:left="0" w:right="0"/>
        <w:jc w:val="left"/>
      </w:pPr>
      <w:r>
        <w:rPr>
          <w:rFonts w:ascii="Calibri" w:hAnsi="Calibri" w:eastAsia="Calibri" w:cs="Calibri"/>
          <w:color w:val="000000"/>
          <w:sz w:val="22"/>
          <w:szCs w:val="22"/>
        </w:rPr>
        <w:t xml:space="preserve">Hard JS (1974) Budworm in coastal Alaska.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26-31.</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Durrant T, Mauri A, de Rigo D &amp; Caudullo G (2016)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e0137a1+.</w:t>
      </w:r>
    </w:p>
    <w:p>
      <w:pPr>
        <w:widowControl w:val="on"/>
        <w:pBdr/>
        <w:spacing w:before="220" w:after="220" w:line="240" w:lineRule="auto"/>
        <w:ind w:left="0" w:right="0"/>
        <w:jc w:val="left"/>
      </w:pPr>
      <w:r>
        <w:rPr>
          <w:rFonts w:ascii="Calibri" w:hAnsi="Calibri" w:eastAsia="Calibri" w:cs="Calibri"/>
          <w:color w:val="000000"/>
          <w:sz w:val="22"/>
          <w:szCs w:val="22"/>
        </w:rPr>
        <w:t xml:space="preserve">Koot HP (1991) Western black-headed budworm. </w:t>
      </w:r>
      <w:r>
        <w:rPr>
          <w:rFonts w:ascii="Calibri" w:hAnsi="Calibri" w:eastAsia="Calibri" w:cs="Calibri"/>
          <w:i/>
          <w:iCs/>
          <w:color w:val="000000"/>
          <w:sz w:val="22"/>
          <w:szCs w:val="22"/>
        </w:rPr>
        <w:t xml:space="preserve">Forest Pest Leaflet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Information Canada, Cat. No. Fo. 29-6/24-1992E.</w:t>
      </w:r>
    </w:p>
    <w:p>
      <w:pPr>
        <w:widowControl w:val="on"/>
        <w:pBdr/>
        <w:spacing w:before="220" w:after="220" w:line="240" w:lineRule="auto"/>
        <w:ind w:left="0" w:right="0"/>
        <w:jc w:val="left"/>
      </w:pPr>
      <w:r>
        <w:rPr>
          <w:rFonts w:ascii="Calibri" w:hAnsi="Calibri" w:eastAsia="Calibri" w:cs="Calibri"/>
          <w:color w:val="000000"/>
          <w:sz w:val="22"/>
          <w:szCs w:val="22"/>
        </w:rPr>
        <w:t xml:space="preserve">Lejeune RR (1975) Western black-headed budworm. In: Prebble, ML (ed) </w:t>
      </w:r>
      <w:r>
        <w:rPr>
          <w:rFonts w:ascii="Calibri" w:hAnsi="Calibri" w:eastAsia="Calibri" w:cs="Calibri"/>
          <w:i/>
          <w:iCs/>
          <w:color w:val="000000"/>
          <w:sz w:val="22"/>
          <w:szCs w:val="22"/>
        </w:rPr>
        <w:t xml:space="preserve">Aerial Control of Forest Insects in Canada. </w:t>
      </w:r>
      <w:r>
        <w:rPr>
          <w:rFonts w:ascii="Calibri" w:hAnsi="Calibri" w:eastAsia="Calibri" w:cs="Calibri"/>
          <w:color w:val="000000"/>
          <w:sz w:val="22"/>
          <w:szCs w:val="22"/>
        </w:rPr>
        <w:t xml:space="preserve">Information Canada, Cat. No. Fo23/19/1975, 159-166.</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Garbutt R (2004) Defoliation of juvenile western hemlock by western black-headed budworm in Pacific coastal Forests.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198</w:t>
      </w:r>
      <w:r>
        <w:rPr>
          <w:rFonts w:ascii="Calibri" w:hAnsi="Calibri" w:eastAsia="Calibri" w:cs="Calibri"/>
          <w:color w:val="000000"/>
          <w:sz w:val="22"/>
          <w:szCs w:val="22"/>
        </w:rPr>
        <w:t xml:space="preserve">, 291-301.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Silk P,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Wu J (2010) Baited pheromone traps track changes in populations of western black-headed budworm (Lepidoptera: Tortricidae).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458-465.</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Turnquist R (2010) Impact and recovery of western hemlock following disturbances by forestry and insect defoliation.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699-706.</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&amp; Fajrajsl A (1997) An annotated bibliography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Information Report BC-X-371</w:t>
      </w:r>
      <w:r>
        <w:rPr>
          <w:rFonts w:ascii="Calibri" w:hAnsi="Calibri" w:eastAsia="Calibri" w:cs="Calibri"/>
          <w:color w:val="000000"/>
          <w:sz w:val="22"/>
          <w:szCs w:val="22"/>
        </w:rPr>
        <w:t xml:space="preserve">, Pacific Forestry Centre, Victoria, Canada,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(1962) Taxonomic studies on the </w:t>
      </w:r>
      <w:r>
        <w:rPr>
          <w:rFonts w:ascii="Calibri" w:hAnsi="Calibri" w:eastAsia="Calibri" w:cs="Calibri"/>
          <w:i/>
          <w:iCs/>
          <w:color w:val="000000"/>
          <w:sz w:val="22"/>
          <w:szCs w:val="22"/>
        </w:rPr>
        <w:t xml:space="preserve">Acleris gloverana - variana</w:t>
      </w:r>
      <w:r>
        <w:rPr>
          <w:rFonts w:ascii="Calibri" w:hAnsi="Calibri" w:eastAsia="Calibri" w:cs="Calibri"/>
          <w:color w:val="000000"/>
          <w:sz w:val="22"/>
          <w:szCs w:val="22"/>
        </w:rPr>
        <w:t xml:space="preserve"> complex, the black-headed budworms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833-840.</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K (1945) The current outbreak of defoliating insects in coast hemlock forests of British Columbia. Part I. Description of outbreak and damage. Part II. Factors of natural control. </w:t>
      </w:r>
      <w:r>
        <w:rPr>
          <w:rFonts w:ascii="Calibri" w:hAnsi="Calibri" w:eastAsia="Calibri" w:cs="Calibri"/>
          <w:i/>
          <w:iCs/>
          <w:color w:val="000000"/>
          <w:sz w:val="22"/>
          <w:szCs w:val="22"/>
        </w:rPr>
        <w:t xml:space="preserve">British Columbian Lumberman</w:t>
      </w:r>
      <w:r>
        <w:rPr>
          <w:rFonts w:ascii="Calibri" w:hAnsi="Calibri" w:eastAsia="Calibri" w:cs="Calibri"/>
          <w:color w:val="000000"/>
          <w:sz w:val="22"/>
          <w:szCs w:val="22"/>
        </w:rPr>
        <w:t xml:space="preserve"> Nos 1369, 1370.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Schmiege DC (1965) The fecundity of black-headed budworm,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(Fern.) (Lepidoptera: Tortricidae) in coastal Alaska.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1226-1230.</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(1990) A sampling system for eggs of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 (Lepidoptera: Tortricidae) on western hemlock, </w:t>
      </w:r>
      <w:r>
        <w:rPr>
          <w:rFonts w:ascii="Calibri" w:hAnsi="Calibri" w:eastAsia="Calibri" w:cs="Calibri"/>
          <w:i/>
          <w:iCs/>
          <w:color w:val="000000"/>
          <w:sz w:val="22"/>
          <w:szCs w:val="22"/>
        </w:rPr>
        <w:t xml:space="preserve">Tsuga heterophylla </w:t>
      </w:r>
      <w:r>
        <w:rPr>
          <w:rFonts w:ascii="Calibri" w:hAnsi="Calibri" w:eastAsia="Calibri" w:cs="Calibri"/>
          <w:color w:val="000000"/>
          <w:sz w:val="22"/>
          <w:szCs w:val="22"/>
        </w:rPr>
        <w:t xml:space="preserve">(Raf.) Sarg.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555-562.</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(2001) Comparative rates of density change in declining populations of the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(Lepidoptera: Tortricidae) among different sites on Vancouver Island.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883-891.</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(1970)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(Lepidoptera: Tortricidae), in southeast Alaska</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1294-1299.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VG Nealis, Natural Resources Canada (retired).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EPPO datasheets on pests recommended for regulation. Available online. </w:t>
      </w:r>
      <w:hyperlink r:id="rId905269995aa6768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part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32,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49-54. </w:t>
      </w:r>
      <w:hyperlink r:id="rId780269995aa676a27" w:history="1">
        <w:r>
          <w:rPr>
            <w:rFonts w:ascii="Calibri" w:hAnsi="Calibri" w:eastAsia="Calibri" w:cs="Calibri"/>
            <w:color w:val="0000CC"/>
            <w:sz w:val="22"/>
            <w:szCs w:val="22"/>
            <w:u w:val="single"/>
          </w:rPr>
          <w:t xml:space="preserve">https://onlinelibrary.wiley.com/doi/abs/10.1111/j.1365-2338.1980.tb02693.x</w:t>
        </w:r>
      </w:hyperlink>
    </w:p>
    <w:p>
      <w:r>
        <w:drawing>
          <wp:inline distT="0" distB="0" distL="0" distR="0">
            <wp:extent cx="1800000" cy="604800"/>
            <wp:docPr id="39527157" name="name493969995aa676e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7369995aa676e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072553">
    <w:multiLevelType w:val="hybridMultilevel"/>
    <w:lvl w:ilvl="0" w:tplc="30125837">
      <w:start w:val="1"/>
      <w:numFmt w:val="decimal"/>
      <w:lvlText w:val="%1."/>
      <w:lvlJc w:val="left"/>
      <w:pPr>
        <w:ind w:left="720" w:hanging="360"/>
      </w:pPr>
    </w:lvl>
    <w:lvl w:ilvl="1" w:tplc="30125837" w:tentative="1">
      <w:start w:val="1"/>
      <w:numFmt w:val="lowerLetter"/>
      <w:lvlText w:val="%2."/>
      <w:lvlJc w:val="left"/>
      <w:pPr>
        <w:ind w:left="1440" w:hanging="360"/>
      </w:pPr>
    </w:lvl>
    <w:lvl w:ilvl="2" w:tplc="30125837" w:tentative="1">
      <w:start w:val="1"/>
      <w:numFmt w:val="lowerRoman"/>
      <w:lvlText w:val="%3."/>
      <w:lvlJc w:val="right"/>
      <w:pPr>
        <w:ind w:left="2160" w:hanging="180"/>
      </w:pPr>
    </w:lvl>
    <w:lvl w:ilvl="3" w:tplc="30125837" w:tentative="1">
      <w:start w:val="1"/>
      <w:numFmt w:val="decimal"/>
      <w:lvlText w:val="%4."/>
      <w:lvlJc w:val="left"/>
      <w:pPr>
        <w:ind w:left="2880" w:hanging="360"/>
      </w:pPr>
    </w:lvl>
    <w:lvl w:ilvl="4" w:tplc="30125837" w:tentative="1">
      <w:start w:val="1"/>
      <w:numFmt w:val="lowerLetter"/>
      <w:lvlText w:val="%5."/>
      <w:lvlJc w:val="left"/>
      <w:pPr>
        <w:ind w:left="3600" w:hanging="360"/>
      </w:pPr>
    </w:lvl>
    <w:lvl w:ilvl="5" w:tplc="30125837" w:tentative="1">
      <w:start w:val="1"/>
      <w:numFmt w:val="lowerRoman"/>
      <w:lvlText w:val="%6."/>
      <w:lvlJc w:val="right"/>
      <w:pPr>
        <w:ind w:left="4320" w:hanging="180"/>
      </w:pPr>
    </w:lvl>
    <w:lvl w:ilvl="6" w:tplc="30125837" w:tentative="1">
      <w:start w:val="1"/>
      <w:numFmt w:val="decimal"/>
      <w:lvlText w:val="%7."/>
      <w:lvlJc w:val="left"/>
      <w:pPr>
        <w:ind w:left="5040" w:hanging="360"/>
      </w:pPr>
    </w:lvl>
    <w:lvl w:ilvl="7" w:tplc="30125837" w:tentative="1">
      <w:start w:val="1"/>
      <w:numFmt w:val="lowerLetter"/>
      <w:lvlText w:val="%8."/>
      <w:lvlJc w:val="left"/>
      <w:pPr>
        <w:ind w:left="5760" w:hanging="360"/>
      </w:pPr>
    </w:lvl>
    <w:lvl w:ilvl="8" w:tplc="30125837" w:tentative="1">
      <w:start w:val="1"/>
      <w:numFmt w:val="lowerRoman"/>
      <w:lvlText w:val="%9."/>
      <w:lvlJc w:val="right"/>
      <w:pPr>
        <w:ind w:left="6480" w:hanging="180"/>
      </w:pPr>
    </w:lvl>
  </w:abstractNum>
  <w:abstractNum w:abstractNumId="51072552">
    <w:multiLevelType w:val="hybridMultilevel"/>
    <w:lvl w:ilvl="0" w:tplc="39663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072552">
    <w:abstractNumId w:val="51072552"/>
  </w:num>
  <w:num w:numId="51072553">
    <w:abstractNumId w:val="510725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2580048" Type="http://schemas.microsoft.com/office/2011/relationships/commentsExtended" Target="commentsExtended.xml"/><Relationship Id="rId364946784" Type="http://schemas.microsoft.com/office/2011/relationships/people" Target="people.xml"/><Relationship Id="rId549869995aa673654" Type="http://schemas.openxmlformats.org/officeDocument/2006/relationships/hyperlink" Target="https://gd.eppo.int/taxon/ACLRGL/" TargetMode="External"/><Relationship Id="rId124969995aa6736bd" Type="http://schemas.openxmlformats.org/officeDocument/2006/relationships/hyperlink" Target="https://gd.eppo.int/taxon/ACLRGL/categorization" TargetMode="External"/><Relationship Id="rId391769995aa673f2a" Type="http://schemas.openxmlformats.org/officeDocument/2006/relationships/hyperlink" Target="https://gd.eppo.int/taxon/ACLRGL/photos" TargetMode="External"/><Relationship Id="rId214669995aa675fac" Type="http://schemas.openxmlformats.org/officeDocument/2006/relationships/hyperlink" Target="https://gd.eppo.int/taxon/HEMELE/documents" TargetMode="External"/><Relationship Id="rId134969995aa676066" Type="http://schemas.openxmlformats.org/officeDocument/2006/relationships/hyperlink" Target="https://eur-lex.europa.eu/legal-content/EN/TXT/?uri=CELEX%3A32019R2072" TargetMode="External"/><Relationship Id="rId905269995aa676870" Type="http://schemas.openxmlformats.org/officeDocument/2006/relationships/hyperlink" Target="https://gd.eppo.int" TargetMode="External"/><Relationship Id="rId780269995aa676a27" Type="http://schemas.openxmlformats.org/officeDocument/2006/relationships/hyperlink" Target="https://onlinelibrary.wiley.com/doi/abs/10.1111/j.1365-2338.1980.tb02693.x" TargetMode="External"/><Relationship Id="rId444869995aa673e0a" Type="http://schemas.openxmlformats.org/officeDocument/2006/relationships/image" Target="media/imgrId444869995aa673e0a.jpg"/><Relationship Id="rId844569995aa67529d" Type="http://schemas.openxmlformats.org/officeDocument/2006/relationships/image" Target="media/imgrId844569995aa67529d.jpg"/><Relationship Id="rId507369995aa676e29" Type="http://schemas.openxmlformats.org/officeDocument/2006/relationships/image" Target="media/imgrId507369995aa676e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