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 species complex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 species complex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Kosako, Yano, Hotta &amp; Nishiuchi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solanacearum</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Burkholderia solanacearum</w:t>
            </w:r>
            <w:r>
              <w:rPr>
                <w:rFonts w:ascii="Calibri" w:hAnsi="Calibri" w:eastAsia="Calibri" w:cs="Calibri"/>
                <w:color w:val="000000"/>
                <w:position w:val="-3"/>
                <w:sz w:val="22"/>
                <w:szCs w:val="22"/>
              </w:rPr>
              <w:t xml:space="preserve"> (Smith) Yabuuchi, Kosako, Oyaizu, Yano, Hotta, Hashimoto, Ezaki &amp; Arakawa, </w:t>
            </w:r>
            <w:r>
              <w:rPr>
                <w:rFonts w:ascii="Calibri" w:hAnsi="Calibri" w:eastAsia="Calibri" w:cs="Calibri"/>
                <w:i/>
                <w:iCs/>
                <w:color w:val="000000"/>
                <w:position w:val="-3"/>
                <w:sz w:val="22"/>
                <w:szCs w:val="22"/>
              </w:rPr>
              <w:t xml:space="preserve">Pseudomonas solanacearum</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Ralstonia solanacearum sensu lato</w:t>
            </w:r>
            <w:r>
              <w:rPr>
                <w:rFonts w:ascii="Calibri" w:hAnsi="Calibri" w:eastAsia="Calibri" w:cs="Calibri"/>
                <w:color w:val="000000"/>
                <w:position w:val="-3"/>
                <w:sz w:val="22"/>
                <w:szCs w:val="22"/>
              </w:rPr>
              <w:t xml:space="preserve"> (Smith) Yabuuchi, Kosako, Yano, Hotta &amp; Nishiuchi, </w:t>
            </w:r>
            <w:r>
              <w:rPr>
                <w:rFonts w:ascii="Calibri" w:hAnsi="Calibri" w:eastAsia="Calibri" w:cs="Calibri"/>
                <w:i/>
                <w:iCs/>
                <w:color w:val="000000"/>
                <w:position w:val="-3"/>
                <w:sz w:val="22"/>
                <w:szCs w:val="22"/>
              </w:rPr>
              <w:t xml:space="preserve">Xanthomonas solanacearum</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6897665a16011495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443665a1601149a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658594" name="name5374665a160115153" descr="4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0.jpg"/>
                          <pic:cNvPicPr/>
                        </pic:nvPicPr>
                        <pic:blipFill>
                          <a:blip r:embed="rId3569665a160115150" cstate="print"/>
                          <a:stretch>
                            <a:fillRect/>
                          </a:stretch>
                        </pic:blipFill>
                        <pic:spPr>
                          <a:xfrm>
                            <a:off x="0" y="0"/>
                            <a:ext cx="2160000" cy="1281600"/>
                          </a:xfrm>
                          <a:prstGeom prst="rect">
                            <a:avLst/>
                          </a:prstGeom>
                          <a:ln w="0">
                            <a:noFill/>
                          </a:ln>
                        </pic:spPr>
                      </pic:pic>
                    </a:graphicData>
                  </a:graphic>
                </wp:inline>
              </w:drawing>
            </w:r>
            <w:hyperlink r:id="rId3621665a16011536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comprises three subspecies: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Some genotypes with apparent host specificity were historically designated race status, i.e.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 on banana/plantain (race 2) and potato (race 3) as well as </w:t>
      </w:r>
      <w:r>
        <w:rPr>
          <w:rFonts w:ascii="Calibri" w:hAnsi="Calibri" w:eastAsia="Calibri" w:cs="Calibri"/>
          <w:i/>
          <w:iCs/>
          <w:color w:val="000000"/>
          <w:sz w:val="22"/>
          <w:szCs w:val="22"/>
        </w:rPr>
        <w:t xml:space="preserve">R. pseudosolanacearum </w:t>
      </w:r>
      <w:r>
        <w:rPr>
          <w:rFonts w:ascii="Calibri" w:hAnsi="Calibri" w:eastAsia="Calibri" w:cs="Calibri"/>
          <w:color w:val="000000"/>
          <w:sz w:val="22"/>
          <w:szCs w:val="22"/>
        </w:rPr>
        <w:t xml:space="preserve">(Phylotype III) on ginger (race 4) and mulberry (race 5). It is now recognized that there are genetically variable strains within each phylotype and species, which collectively affect a very wide range of hosts (over 250 species), including many tropical and subtropical crops, in 54 botanical families.  In Indonesia, two host-specific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respectively cause the spittlebug-transmitted Sumatra disease of cloves and the pollinator-transmitted banana blood disease. The third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wider host range. Many perennial non-crop species, including nightshades of the Solanaceae family, are also hosts of the pathogen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The list below includes natural hosts worldwide, focusing mainly on cultivated plants where isolates of the bacterium have been characterized to phylotype and sequevar of the RSSC. The RSSC has a wide and growing host range that is not yet fully known, especially regarding the full range of wild hosts around the world. For historical host lists, see Kelman (1953), Bradbury (1986), Persley (1986) and Hayward (1994a). Several other lists of wild herbaceous and tree hosts have been reported, with a wider range than currently shown here,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&amp; Rossato, 2008;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Phylotype II (PIIB-1)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referred to as race 3 biovar 2) has spread worldwide through trade in infected potatoes and has been introduced in to the EPPO region.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and further spread occasionally to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crops and to a limited extent to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been observed. A second sequevar of phylotype II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Some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have also occasionally been introduced into the EPPO region with ornamental/herbal plants or plant parts of tropical origin and have caused bacterial wilt disease under heated greenhouse conditions in temperate climates.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(turmeric), </w:t>
      </w:r>
      <w:r>
        <w:rPr>
          <w:rFonts w:ascii="Calibri" w:hAnsi="Calibri" w:eastAsia="Calibri" w:cs="Calibri"/>
          <w:i/>
          <w:iCs/>
          <w:color w:val="000000"/>
          <w:sz w:val="22"/>
          <w:szCs w:val="22"/>
        </w:rPr>
        <w:t xml:space="preserve">Anthurium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compactum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repandus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Smallanthus sonchifolius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fruticosum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each phylotype is thought to have a different geographical origin. Phylotype I is regarded to be of Asian origin, Phylotype II of Central and South American Origin, Phylotype III of African origin and Phylotype IV of Indonesian origin. Whereas Phylotypes III and IV appear to have largely remained in their centres of origin, Phylotypes I and II have been dispersed worldwide. International transmission of distinct genotypes is likely to have occurred through trade in infected, often asymptomatic, vegetatively propagated crops (e.g. banana/plantain, potato and ginger) and ornamental host plants and plant parts). Specific maps for the different species of the RSSC complex is available in EPPO Global Database and a meta-analysis of the known global distribution and host range of the RSSC compiled at the University of California Davis (Lowe-Power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has resulted in a database of phylotype and sequevar distribution, available at </w:t>
      </w:r>
      <w:hyperlink r:id="rId8754665a160118344" w:history="1">
        <w:r>
          <w:rPr>
            <w:rFonts w:ascii="Calibri" w:hAnsi="Calibri" w:eastAsia="Calibri" w:cs="Calibri"/>
            <w:color w:val="0000CC"/>
            <w:sz w:val="22"/>
            <w:szCs w:val="22"/>
            <w:u w:val="single"/>
          </w:rPr>
          <w:t xml:space="preserve">https://github.com/lowepowerlab/Ralstonia_Global_Diversity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The worldwide reported distribution of the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species complex, is as follows:</w:t>
      </w:r>
    </w:p>
    <w:p>
      <w:r>
        <w:drawing>
          <wp:inline distT="0" distB="0" distL="0" distR="0">
            <wp:extent cx="6120000" cy="3067200"/>
            <wp:docPr id="44144346" name="name7003665a16011993b" descr="RALS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O_distribution_map.jpg"/>
                    <pic:cNvPicPr/>
                  </pic:nvPicPr>
                  <pic:blipFill>
                    <a:blip r:embed="rId7085665a16011993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Jordan, Kyrgyzstan, Moldova, Netherlands, Poland, Portugal (mainland, Azores, Madeira), Romania, Russia (Central Russia), Serbia, Slovakia, Slovenia, Spain (mainland), Switzerland, Türkiye,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Comoros, Congo, Congo, Democratic republic of the, Cote d'Ivoire, Egypt, Eswatini, Ethiopia, Gambia, Ghana, Guinea, Kenya, Lesotho, Madagascar, Malawi, Mali, Mauritius, Mayotte, Niger, Nigeria, Reunion, Rwanda, Senegal, Seychelles, Somalia,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Beijing, Chongqing, Fujian, Gansu, Guangdong, Guangxi, Guizhou, Hainan, Hebei, Henan, Hubei, Hunan, Jiangsu, Jiangxi, Jilin, Liaoning, Neimenggu, Ningxia, Qinghai, Shaanxi, Shandong, Shanghai, Shanxi, Sichuan, Xianggang (Hong Kong), Xinjiang, Yunnan, Zhejiang), India (Andaman and Nicobar Islands, Andhra Pradesh, Arunachal Pradesh, Assam, Bihar, Chhattisgarh, Goa, Gujarat, Himachal Pradesh, Jammu &amp; Kashmir, Jharkand, Karnataka, Kerala, Madhya Pradesh, Maharashtra, Manipur, Meghalaya, Mizoram, Nagaland, Odisha, Punjab, Tamil Nadu, Tripura, Uttarakhand, Uttar Pradesh, West Bengal), Indonesia (Irian Jaya, Java, Nusa Tenggara, Sulawesi, Sumatra), Iran, Iraq, Japan (Hokkaido, Honshu, Kyushu, Ryukyu Archipelago), Jordan, Korea Dem. People's Republic, Korea, Republic, Kyrgyzstan, Laos, Malaysia (Sabah, Sarawak, West), Myanmar, Nepal, Pakistan, Philippines, Saudi Arabia,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Illinois, Indiana, Louisiana, New Hampshire, New Jersey, North Carolina, Pennsylvania, South Carolina, South Dakota,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Victoria), Cook Islands, Fiji, French Polynesia, Guam, Micronesia, New Caledonia, New Zealand, Papua New Guinea, Samoa,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nightshade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(strain PIIB-1) that can then spread to susceptible potato and tomato crops when irrigated with contaminated surface water in the summer.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been shown to survive in a viable but non-culturable (VBNC) form at low temperature, but the epidemiological relevance of this is unclear. Disease is usually most severe at temperatures of 24-35°C, although one strain (PIIB-1), which has spread with the movement of potato across the world,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considered to be the major cause of wilting. Disease severity generally increases if the bacteria are found in association with root nematodes. In tobacco and other crop hosts, nematode infestation changes the physiology of the plants, causing susceptibility to bacterial wilt (Chen, 1984). Several researchers have shown that the combined pathogenic effects of </w:t>
      </w:r>
      <w:r>
        <w:rPr>
          <w:rFonts w:ascii="Calibri" w:hAnsi="Calibri" w:eastAsia="Calibri" w:cs="Calibri"/>
          <w:i/>
          <w:iCs/>
          <w:color w:val="000000"/>
          <w:sz w:val="22"/>
          <w:szCs w:val="22"/>
        </w:rPr>
        <w:t xml:space="preserve">Ralstonia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greater than their independent effects (e.g. Sitaramaiah &amp; Sinha, 1984; Kidane,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 The youngest leaves usually wilt first, with this symptom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dissolved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youngest leaves are the first to be affected and have a flaccid appearance, usually this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w:t>
      </w:r>
      <w:r>
        <w:rPr>
          <w:rFonts w:ascii="Calibri" w:hAnsi="Calibri" w:eastAsia="Calibri" w:cs="Calibri"/>
          <w:b/>
          <w:bCs/>
          <w:color w:val="000000"/>
          <w:sz w:val="22"/>
          <w:szCs w:val="22"/>
        </w:rPr>
        <w:t xml:space="preserve">and plantain</w:t>
      </w:r>
    </w:p>
    <w:p>
      <w:pPr>
        <w:widowControl w:val="on"/>
        <w:pBdr/>
        <w:spacing w:before="220" w:after="220" w:line="240" w:lineRule="auto"/>
        <w:ind w:left="0" w:right="0"/>
        <w:jc w:val="both"/>
      </w:pPr>
      <w:r>
        <w:rPr>
          <w:rFonts w:ascii="Calibri" w:hAnsi="Calibri" w:eastAsia="Calibri" w:cs="Calibri"/>
          <w:color w:val="000000"/>
          <w:sz w:val="22"/>
          <w:szCs w:val="22"/>
        </w:rPr>
        <w:t xml:space="preserve">Moko disease on AAA Cavendish banana or Bugtok disease on AAB type cooking banana, caused by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hyperlink r:id="rId6501665a16011a4b9" w:history="1">
        <w:r>
          <w:rPr>
            <w:rFonts w:ascii="Calibri" w:hAnsi="Calibri" w:eastAsia="Calibri" w:cs="Calibri"/>
            <w:i/>
            <w:iCs/>
            <w:color w:val="0000CC"/>
            <w:sz w:val="22"/>
            <w:szCs w:val="22"/>
            <w:u w:val="single"/>
          </w:rPr>
          <w:t xml:space="preserve">Fusarium oxysporum</w:t>
        </w:r>
        <w:r>
          <w:rPr>
            <w:rFonts w:ascii="Calibri" w:hAnsi="Calibri" w:eastAsia="Calibri" w:cs="Calibri"/>
            <w:color w:val="0000CC"/>
            <w:sz w:val="22"/>
            <w:szCs w:val="22"/>
            <w:u w:val="single"/>
          </w:rPr>
          <w:t xml:space="preserve"> f. sp. </w:t>
        </w:r>
        <w:r>
          <w:rPr>
            <w:rFonts w:ascii="Calibri" w:hAnsi="Calibri" w:eastAsia="Calibri" w:cs="Calibri"/>
            <w:i/>
            <w:iCs/>
            <w:color w:val="0000CC"/>
            <w:sz w:val="22"/>
            <w:szCs w:val="22"/>
            <w:u w:val="single"/>
          </w:rPr>
          <w:t xml:space="preserve">cubense</w:t>
        </w:r>
        <w:r>
          <w:rPr>
            <w:rFonts w:ascii="Calibri" w:hAnsi="Calibri" w:eastAsia="Calibri" w:cs="Calibri"/>
            <w:color w:val="0000CC"/>
            <w:sz w:val="22"/>
            <w:szCs w:val="22"/>
            <w:u w:val="single"/>
          </w:rPr>
          <w:t xml:space="preserve"> Tropical race 4</w:t>
        </w:r>
      </w:hyperlink>
      <w:r>
        <w:rPr>
          <w:rFonts w:ascii="Calibri" w:hAnsi="Calibri" w:eastAsia="Calibri" w:cs="Calibri"/>
          <w:color w:val="000000"/>
          <w:sz w:val="22"/>
          <w:szCs w:val="22"/>
        </w:rPr>
        <w:t xml:space="preserve">. A clear distinction is possible when fruits are affected: brown dry rot is seen only in the case of Moko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mature leaves of banana plants with blood disease, caused by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show a conspicuous transient yellowing, followed by loss of turgor, desiccation and necrosis. In mature plants, the base of the petiole collapses, causing wilted leaves to hang down around the pseudostem. The youngest leaves cease to emerge and develop whitish and later necrotic panels in the lamina. Daughter suckers may show general wilting, but infection is not always systemic and healthy suckers are sometimes produced. Internally, vascular bundles exhibit a reddish-brown discoloration which, depending on the mode of infection, may extend throughout the plant or may be confined to the central fruit stem. If kept moist, cut vascular tissues exude droplets of bacterial ooze which can vary in colour from white to reddish-brown or black. Blackening and shrivelling of male flowers is frequently found in mature plants, indicating that infection occurs via inflorescences and is transmitted by insects in a similar way to Moko disease. Where this occurs, dieback may extend into the lower fruit bunches, but remaining fruits, and often the whole raceme, may appear outwardly healthy. Internally, fruits in all bunches are usually uniformly discoloured reddish-brown and rotten.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ornamental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ornamentals exhibit typical wilting symptoms as described above. Symptoms observed on ornamentals under glasshouse conditions in the EPPO region are described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caused by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PIIB-1 on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(geranium) are wilting and subsequent chlorosis (often sectorial yellowing) of leaves. Stems may blacken and eventually become necrotic. Internally, vascular browning is often visible. Leaves later become brown and necrotic as the whole plant desiccates, collapses and dies.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due to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infections include the following:</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Curcuma longa,</w:t>
      </w:r>
      <w:r>
        <w:rPr>
          <w:rFonts w:ascii="Calibri" w:hAnsi="Calibri" w:eastAsia="Calibri" w:cs="Calibri"/>
          <w:color w:val="000000"/>
          <w:sz w:val="22"/>
          <w:szCs w:val="22"/>
        </w:rPr>
        <w:t xml:space="preserve"> the first symptoms are wilting and subsequent chlorosis of leaves. Stems, including the flower stems (stalks), may acquire a brownish to black discoloration and become necrotic. Similar symptoms may be seen in the roots, including the rhizomes, of the plant. Internal vascular browning is often visible. Under favourable environmental conditions, wilting of the whole plant may follow rapidly.</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initial wilting of young shoots and flower stalks is followed by yellowing and early abscission of leaves, stunting, dieback with black necrosis of pruned branches, and in some cases purulent discharge of creamy white slime on cut wounds in the stem. Typical symptoms following heavy infections include necrosis of the stems and intense brown discoloration at the stem base (Tjou-Tam-Sin</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selective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rhizomes of ginger and turmeric, banana suckers) as well as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bacteria are transmitted mechanically during pruning operations or when cuttings are taken for propagation. Spread to neighbouring plants can also occur through soil drainage water and by root contact. The bacteria also spread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other hosts (including tomato, Capsicum,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and strains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which cause blood disease of banana and Sumatra disease of clove are transmitted by insects (including pollinating flies, bees, wasps and thrips on banana and xylem-feeding spittlebugs of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on clove) with potential for rapid spread over several kilometres.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in Indonesia and the Philippines,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caused considerable hardship to both subsistence and cash economies, where banana is a major, low input, staple source of carbohydrate, vitamins and minerals for countless communities. In many countries in which the pathogen has quarantine status, important losses result from regulatory eradication measures and restrictions introduced on further production on infested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use of healthy (tested) seed potatoes, early and accurate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Hot-air treatment of ginger roots for 30 min at 50°C is reported to successfully remove viable infections (Tsang and Shintaku, 1998).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syzygii, 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quarantine organisms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bacteria are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There are already several examples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being introduced into the EPPO region in traded ornamentals. These strains are unlikely to establish outside of protected glasshouse environments in temperate areas but may pose a higher risk in the warmer southern regions. Banana-infecting strains of the species complex are not found in the banana-producing areas of the southern Mediterranean zone. A particular variant of the banana infecting strain PIIB-4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(named PIIB-4NPB), is not pathogenic on banana but has been shown to infect cucurbits and Anthurium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 host range including solanaceous crops and could present a risk if accidentally imported into the EPPO region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that provides guidance on surveillance for the pathogen and its containment and eradication if found with a focus on potato.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and other quarantine pests.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the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species complex.</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1246665a16011b27c"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7944665a16011b3b2"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3386665a16011b512"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2796665a16011b58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4825665a16011b5db"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7405665a16011b65d"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7202665a16011b6b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4048665a16011b706"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2637665a16011b8f5"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Kidane E, Seid A, Kebede M (2019) Reaction of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cultivars towards root-knot nematode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and bacterial wilt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246-253.</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5622665a16011bbab"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Lowe-Power T, Avalos J, Munoz MC, Chipman K (2021) A meta-analysis of the known global distribution and host range of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complex. </w:t>
      </w:r>
      <w:hyperlink r:id="rId8297665a16011bc0a" w:history="1">
        <w:r>
          <w:rPr>
            <w:rFonts w:ascii="Calibri" w:hAnsi="Calibri" w:eastAsia="Calibri" w:cs="Calibri"/>
            <w:color w:val="0000CC"/>
            <w:sz w:val="22"/>
            <w:szCs w:val="22"/>
            <w:u w:val="single"/>
          </w:rPr>
          <w:t xml:space="preserve">https://doi.org/10.1101/2020.07.13.189936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6111665a16011bc7a"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3701665a16011beae"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1503665a16011bf1d"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1382665a16011c36e"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6847665a16011c532"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Tsang MMC, Shintaku M (1998) Hot air treatment for control of bacterial wilt in ginger root. </w:t>
      </w:r>
      <w:r>
        <w:rPr>
          <w:rFonts w:ascii="Calibri" w:hAnsi="Calibri" w:eastAsia="Calibri" w:cs="Calibri"/>
          <w:i/>
          <w:iCs/>
          <w:color w:val="000000"/>
          <w:sz w:val="22"/>
          <w:szCs w:val="22"/>
        </w:rPr>
        <w:t xml:space="preserve">Applied Engineering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59-163</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1560665a16011c5c0"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7117665a16011c9b8"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 species complex</w:t>
      </w:r>
      <w:r>
        <w:rPr>
          <w:rFonts w:ascii="Calibri" w:hAnsi="Calibri" w:eastAsia="Calibri" w:cs="Calibri"/>
          <w:color w:val="000000"/>
          <w:sz w:val="22"/>
          <w:szCs w:val="22"/>
        </w:rPr>
        <w:t xml:space="preserve">. EPPO datasheets on pests recommended for regulation. Available online. </w:t>
      </w:r>
      <w:hyperlink r:id="rId9205665a16011cb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58, </w:t>
      </w:r>
      <w:r>
        <w:rPr>
          <w:rFonts w:ascii="Calibri" w:hAnsi="Calibri" w:eastAsia="Calibri" w:cs="Calibri"/>
          <w:i/>
          <w:iCs/>
          <w:color w:val="000000"/>
          <w:sz w:val="22"/>
          <w:szCs w:val="22"/>
        </w:rPr>
        <w:t xml:space="preserve">Pseudomonas solanacearum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53-57. </w:t>
      </w:r>
      <w:hyperlink r:id="rId2532665a16011ceba" w:history="1">
        <w:r>
          <w:rPr>
            <w:rFonts w:ascii="Calibri" w:hAnsi="Calibri" w:eastAsia="Calibri" w:cs="Calibri"/>
            <w:color w:val="0000CC"/>
            <w:sz w:val="22"/>
            <w:szCs w:val="22"/>
            <w:u w:val="single"/>
          </w:rPr>
          <w:t xml:space="preserve">https://doi.org/10.1111/j.1365-2338.1978.tb02770.x</w:t>
        </w:r>
      </w:hyperlink>
      <w:r>
        <w:rPr>
          <w:rFonts w:ascii="Calibri" w:hAnsi="Calibri" w:eastAsia="Calibri" w:cs="Calibri"/>
          <w:color w:val="000000"/>
          <w:sz w:val="22"/>
          <w:szCs w:val="22"/>
        </w:rPr>
        <w:t xml:space="preserve"> </w:t>
      </w:r>
    </w:p>
    <w:p>
      <w:r>
        <w:drawing>
          <wp:inline distT="0" distB="0" distL="0" distR="0">
            <wp:extent cx="1800000" cy="604800"/>
            <wp:docPr id="86858475" name="name3934665a16011cf6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13665a16011cf6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191859">
    <w:multiLevelType w:val="hybridMultilevel"/>
    <w:lvl w:ilvl="0" w:tplc="35305578">
      <w:start w:val="1"/>
      <w:numFmt w:val="decimal"/>
      <w:lvlText w:val="%1."/>
      <w:lvlJc w:val="left"/>
      <w:pPr>
        <w:ind w:left="720" w:hanging="360"/>
      </w:pPr>
    </w:lvl>
    <w:lvl w:ilvl="1" w:tplc="35305578" w:tentative="1">
      <w:start w:val="1"/>
      <w:numFmt w:val="lowerLetter"/>
      <w:lvlText w:val="%2."/>
      <w:lvlJc w:val="left"/>
      <w:pPr>
        <w:ind w:left="1440" w:hanging="360"/>
      </w:pPr>
    </w:lvl>
    <w:lvl w:ilvl="2" w:tplc="35305578" w:tentative="1">
      <w:start w:val="1"/>
      <w:numFmt w:val="lowerRoman"/>
      <w:lvlText w:val="%3."/>
      <w:lvlJc w:val="right"/>
      <w:pPr>
        <w:ind w:left="2160" w:hanging="180"/>
      </w:pPr>
    </w:lvl>
    <w:lvl w:ilvl="3" w:tplc="35305578" w:tentative="1">
      <w:start w:val="1"/>
      <w:numFmt w:val="decimal"/>
      <w:lvlText w:val="%4."/>
      <w:lvlJc w:val="left"/>
      <w:pPr>
        <w:ind w:left="2880" w:hanging="360"/>
      </w:pPr>
    </w:lvl>
    <w:lvl w:ilvl="4" w:tplc="35305578" w:tentative="1">
      <w:start w:val="1"/>
      <w:numFmt w:val="lowerLetter"/>
      <w:lvlText w:val="%5."/>
      <w:lvlJc w:val="left"/>
      <w:pPr>
        <w:ind w:left="3600" w:hanging="360"/>
      </w:pPr>
    </w:lvl>
    <w:lvl w:ilvl="5" w:tplc="35305578" w:tentative="1">
      <w:start w:val="1"/>
      <w:numFmt w:val="lowerRoman"/>
      <w:lvlText w:val="%6."/>
      <w:lvlJc w:val="right"/>
      <w:pPr>
        <w:ind w:left="4320" w:hanging="180"/>
      </w:pPr>
    </w:lvl>
    <w:lvl w:ilvl="6" w:tplc="35305578" w:tentative="1">
      <w:start w:val="1"/>
      <w:numFmt w:val="decimal"/>
      <w:lvlText w:val="%7."/>
      <w:lvlJc w:val="left"/>
      <w:pPr>
        <w:ind w:left="5040" w:hanging="360"/>
      </w:pPr>
    </w:lvl>
    <w:lvl w:ilvl="7" w:tplc="35305578" w:tentative="1">
      <w:start w:val="1"/>
      <w:numFmt w:val="lowerLetter"/>
      <w:lvlText w:val="%8."/>
      <w:lvlJc w:val="left"/>
      <w:pPr>
        <w:ind w:left="5760" w:hanging="360"/>
      </w:pPr>
    </w:lvl>
    <w:lvl w:ilvl="8" w:tplc="35305578" w:tentative="1">
      <w:start w:val="1"/>
      <w:numFmt w:val="lowerRoman"/>
      <w:lvlText w:val="%9."/>
      <w:lvlJc w:val="right"/>
      <w:pPr>
        <w:ind w:left="6480" w:hanging="180"/>
      </w:pPr>
    </w:lvl>
  </w:abstractNum>
  <w:abstractNum w:abstractNumId="36191858">
    <w:multiLevelType w:val="hybridMultilevel"/>
    <w:lvl w:ilvl="0" w:tplc="92564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191858">
    <w:abstractNumId w:val="36191858"/>
  </w:num>
  <w:num w:numId="36191859">
    <w:abstractNumId w:val="361918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4475281" Type="http://schemas.microsoft.com/office/2011/relationships/commentsExtended" Target="commentsExtended.xml"/><Relationship Id="rId453113918" Type="http://schemas.microsoft.com/office/2011/relationships/people" Target="people.xml"/><Relationship Id="rId6897665a16011495b" Type="http://schemas.openxmlformats.org/officeDocument/2006/relationships/hyperlink" Target="https://gd.eppo.int/taxon/RALSSO/" TargetMode="External"/><Relationship Id="rId4443665a1601149a4" Type="http://schemas.openxmlformats.org/officeDocument/2006/relationships/hyperlink" Target="https://gd.eppo.int/taxon/RALSSO/categorization" TargetMode="External"/><Relationship Id="rId3621665a160115361" Type="http://schemas.openxmlformats.org/officeDocument/2006/relationships/hyperlink" Target="https://gd.eppo.int/taxon/RALSSO/photos" TargetMode="External"/><Relationship Id="rId8754665a160118344" Type="http://schemas.openxmlformats.org/officeDocument/2006/relationships/hyperlink" Target="https://github.com/lowepowerlab/Ralstonia_Global_Diversity" TargetMode="External"/><Relationship Id="rId6501665a16011a4b9" Type="http://schemas.openxmlformats.org/officeDocument/2006/relationships/hyperlink" Target="https://gd.eppo.int/taxon/FUSAC4" TargetMode="External"/><Relationship Id="rId1246665a16011b27c" Type="http://schemas.openxmlformats.org/officeDocument/2006/relationships/hyperlink" Target="https://doi.org/10.3389/fpls.2017.01290" TargetMode="External"/><Relationship Id="rId7944665a16011b3b2" Type="http://schemas.openxmlformats.org/officeDocument/2006/relationships/hyperlink" Target="https://doi.org/10.1007/978-3-030-28683-5" TargetMode="External"/><Relationship Id="rId3386665a16011b512" Type="http://schemas.openxmlformats.org/officeDocument/2006/relationships/hyperlink" Target="https://doi.org/10.2903/j.efsa.2019.5618" TargetMode="External"/><Relationship Id="rId2796665a16011b589" Type="http://schemas.openxmlformats.org/officeDocument/2006/relationships/hyperlink" Target="https://gd.eppo.int/" TargetMode="External"/><Relationship Id="rId4825665a16011b5db" Type="http://schemas.openxmlformats.org/officeDocument/2006/relationships/hyperlink" Target="https://gd.eppo.int/" TargetMode="External"/><Relationship Id="rId7405665a16011b65d" Type="http://schemas.openxmlformats.org/officeDocument/2006/relationships/hyperlink" Target="https://gd.eppo.int/" TargetMode="External"/><Relationship Id="rId7202665a16011b6b3" Type="http://schemas.openxmlformats.org/officeDocument/2006/relationships/hyperlink" Target="https://gd.eppo.int/" TargetMode="External"/><Relationship Id="rId4048665a16011b706" Type="http://schemas.openxmlformats.org/officeDocument/2006/relationships/hyperlink" Target="https://gd.eppo.int/" TargetMode="External"/><Relationship Id="rId2637665a16011b8f5" Type="http://schemas.openxmlformats.org/officeDocument/2006/relationships/hyperlink" Target="https://doi.org/10.3389/fpls.2014.00715" TargetMode="External"/><Relationship Id="rId5622665a16011bbab" Type="http://schemas.openxmlformats.org/officeDocument/2006/relationships/hyperlink" Target="https://doi.org/10.3389/fmicb.2018.01228" TargetMode="External"/><Relationship Id="rId8297665a16011bc0a" Type="http://schemas.openxmlformats.org/officeDocument/2006/relationships/hyperlink" Target="https://doi.org/10.1101/2020.07.13.189936" TargetMode="External"/><Relationship Id="rId6111665a16011bc7a" Type="http://schemas.openxmlformats.org/officeDocument/2006/relationships/hyperlink" Target="https://doi.org/10.1111/j.1364-3703.2012.00804.x" TargetMode="External"/><Relationship Id="rId3701665a16011beae" Type="http://schemas.openxmlformats.org/officeDocument/2006/relationships/hyperlink" Target="https://doi.org/10.21273/HORTTECH.18.1.90" TargetMode="External"/><Relationship Id="rId1503665a16011bf1d" Type="http://schemas.openxmlformats.org/officeDocument/2006/relationships/hyperlink" Target="https://doi.org/10.3390/pathogens9110886" TargetMode="External"/><Relationship Id="rId1382665a16011c36e" Type="http://schemas.openxmlformats.org/officeDocument/2006/relationships/hyperlink" Target="https://doi.org/10.1099/ijs.0.066712-0" TargetMode="External"/><Relationship Id="rId6847665a16011c532" Type="http://schemas.openxmlformats.org/officeDocument/2006/relationships/hyperlink" Target="https://doi.org/10.1094/PDIS-02-16-0250-PDN" TargetMode="External"/><Relationship Id="rId1560665a16011c5c0" Type="http://schemas.openxmlformats.org/officeDocument/2006/relationships/hyperlink" Target="https://plantpath.ifas.ufl.edu/rsol/RalstoniaPublications_PDF/USDARalstoniaSanitationProtocolsGeraniumOffshore.pdf" TargetMode="External"/><Relationship Id="rId7117665a16011c9b8" Type="http://schemas.openxmlformats.org/officeDocument/2006/relationships/hyperlink" Target="https://doi.org/10.1264/jsme2.ME14144" TargetMode="External"/><Relationship Id="rId9205665a16011cb4c" Type="http://schemas.openxmlformats.org/officeDocument/2006/relationships/hyperlink" Target="https://gd.eppo.int" TargetMode="External"/><Relationship Id="rId2532665a16011ceba" Type="http://schemas.openxmlformats.org/officeDocument/2006/relationships/hyperlink" Target="https://doi.org/10.1111/j.1365-2338.1978.tb02770.x" TargetMode="External"/><Relationship Id="rId3569665a160115150" Type="http://schemas.openxmlformats.org/officeDocument/2006/relationships/image" Target="media/imgrId3569665a160115150.jpg"/><Relationship Id="rId7085665a160119938" Type="http://schemas.openxmlformats.org/officeDocument/2006/relationships/image" Target="media/imgrId7085665a160119938.jpg"/><Relationship Id="rId6513665a16011cf6a" Type="http://schemas.openxmlformats.org/officeDocument/2006/relationships/image" Target="media/imgrId6513665a16011cf6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