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Premnotrypes latithorax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Premnotrypes latithorax</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(Pierce)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Entiminae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Andean potato weevil</w:t>
            </w:r>
            <w:hyperlink r:id="rId3311664b24335fbb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6743664b24335fbf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PREMLA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4187903" name="name1291664b243360418" descr="1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11.jpg"/>
                          <pic:cNvPicPr/>
                        </pic:nvPicPr>
                        <pic:blipFill>
                          <a:blip r:embed="rId6873664b243360415" cstate="print"/>
                          <a:stretch>
                            <a:fillRect/>
                          </a:stretch>
                        </pic:blipFill>
                        <pic:spPr>
                          <a:xfrm>
                            <a:off x="0" y="0"/>
                            <a:ext cx="2160000" cy="1281600"/>
                          </a:xfrm>
                          <a:prstGeom prst="rect">
                            <a:avLst/>
                          </a:prstGeom>
                          <a:ln w="0">
                            <a:noFill/>
                          </a:ln>
                        </pic:spPr>
                      </pic:pic>
                    </a:graphicData>
                  </a:graphic>
                </wp:inline>
              </w:drawing>
            </w:r>
            <w:hyperlink r:id="rId5545664b24336053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originally described by Pierce (1914) as </w:t>
      </w:r>
      <w:r>
        <w:rPr>
          <w:rFonts w:ascii="Calibri" w:hAnsi="Calibri" w:eastAsia="Calibri" w:cs="Calibri"/>
          <w:i/>
          <w:iCs/>
          <w:color w:val="000000"/>
          <w:sz w:val="22"/>
          <w:szCs w:val="22"/>
        </w:rPr>
        <w:t xml:space="preserve">Trypopremnon latithorax</w:t>
      </w:r>
      <w:r>
        <w:rPr>
          <w:rFonts w:ascii="Calibri" w:hAnsi="Calibri" w:eastAsia="Calibri" w:cs="Calibri"/>
          <w:color w:val="000000"/>
          <w:sz w:val="22"/>
          <w:szCs w:val="22"/>
        </w:rPr>
        <w:t xml:space="preserve">, but Kuschel (1949) synonymized the genus </w:t>
      </w:r>
      <w:r>
        <w:rPr>
          <w:rFonts w:ascii="Calibri" w:hAnsi="Calibri" w:eastAsia="Calibri" w:cs="Calibri"/>
          <w:i/>
          <w:iCs/>
          <w:color w:val="000000"/>
          <w:sz w:val="22"/>
          <w:szCs w:val="22"/>
        </w:rPr>
        <w:t xml:space="preserve">Trypopremnon</w:t>
      </w:r>
      <w:r>
        <w:rPr>
          <w:rFonts w:ascii="Calibri" w:hAnsi="Calibri" w:eastAsia="Calibri" w:cs="Calibri"/>
          <w:color w:val="000000"/>
          <w:sz w:val="22"/>
          <w:szCs w:val="22"/>
        </w:rPr>
        <w:t xml:space="preserve"> Pierce with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Pierce, and established the new combination </w:t>
      </w:r>
      <w:r>
        <w:rPr>
          <w:rFonts w:ascii="Calibri" w:hAnsi="Calibri" w:eastAsia="Calibri" w:cs="Calibri"/>
          <w:i/>
          <w:iCs/>
          <w:color w:val="000000"/>
          <w:sz w:val="22"/>
          <w:szCs w:val="22"/>
        </w:rPr>
        <w:t xml:space="preserve">Premnotrypes latithorax</w:t>
      </w:r>
      <w:r>
        <w:rPr>
          <w:rFonts w:ascii="Calibri" w:hAnsi="Calibri" w:eastAsia="Calibri" w:cs="Calibri"/>
          <w:color w:val="000000"/>
          <w:sz w:val="22"/>
          <w:szCs w:val="22"/>
        </w:rPr>
        <w:t xml:space="preserve">. Kuschel (1956) revised the tribe Premnotrypini and provided a Key, later updated by Alcazar &amp; Cisneros (1999), which allow determination of the 12 currently valid species of the genus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plants are the primary host, with larval development in the tubers and adult feeding on the leaves. Adults have occasionally been seen associated with a number of other plant species, but evidence strongly indicates that the species is oligophagous and can only reproduce and develop successfully on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(Alcázar &amp; Cisneros, 1999; Durán Auccatinco, 2001).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latithorax</w:t>
      </w:r>
      <w:r>
        <w:rPr>
          <w:rFonts w:ascii="Calibri" w:hAnsi="Calibri" w:eastAsia="Calibri" w:cs="Calibri"/>
          <w:color w:val="000000"/>
          <w:sz w:val="22"/>
          <w:szCs w:val="22"/>
        </w:rPr>
        <w:t xml:space="preserve">, like other species of the genus attacking potatoes, occurs only in South America, at high altitudes of the Northern Andes (between 2 100 and 4 700 m a.s.l.). The EPPO designation of ‘Andean’ for the group is thus completely equivalent in practice to the EU designation ‘non-European’.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 latithorax</w:t>
      </w:r>
      <w:r>
        <w:rPr>
          <w:rFonts w:ascii="Calibri" w:hAnsi="Calibri" w:eastAsia="Calibri" w:cs="Calibri"/>
          <w:color w:val="000000"/>
          <w:sz w:val="22"/>
          <w:szCs w:val="22"/>
        </w:rPr>
        <w:t xml:space="preserve"> is widely distributed in the central highlands of Peru, in Bolivia and in Northern Chile (Aréstigui, 1976; Alcazar &amp; Cisneros, 1999; Yábar Landa, 2014).</w:t>
      </w:r>
    </w:p>
    <w:p>
      <w:r>
        <w:drawing>
          <wp:inline distT="0" distB="0" distL="0" distR="0">
            <wp:extent cx="6120000" cy="3067200"/>
            <wp:docPr id="28527832" name="name2684664b2433613e0" descr="PREML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LA_distribution_map.jpg"/>
                    <pic:cNvPicPr/>
                  </pic:nvPicPr>
                  <pic:blipFill>
                    <a:blip r:embed="rId1738664b2433613d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Chile,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life-cycle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appears to be basically similar to other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species, though there are differences in detail (Carrasco, 1961; Tisoc Dueñas, 1989; Carvajal Pinto, 1993; Alcázar &amp; Cisneros, 1999).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species pass the  dry winter season in the soil as a prepupa, pupa and then over-wintering adult within the pupal cell. When the spring rains start, the adults of the new generation emerge from the soil and feed on the leaves of the potato plants if available, or migrate to other potato fields. Adults remain hidden during the day, sheltered beneath debris or in soil cracks near the base of the potato plants. In the evening they climb to the foliage to feed. Several days after mating, females lay eggs in straw or other plant debris near the potato plant. The newly hatched larvae move into the soil to the developing tubers and bore into them. The larva continues feeding inside the tuber until ready to pupate, after passing through several larval instars (four in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When fully grown, the last instar larva leaves the tuber and prepares an earthen cell for pupation in the surrounding soil. There is one generation per year. Adults may live for six to eight months.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by adults produces semi-circular notches along the edges of leaves. The larvae tunnel within the tubers, causing little externally visible damage. Pupae occur in the soil inside earthen cells.</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These symptoms are similar among all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species. Differences with other Andean potato weevils worth mentioning are that adults of </w:t>
      </w:r>
      <w:r>
        <w:rPr>
          <w:rFonts w:ascii="Calibri" w:hAnsi="Calibri" w:eastAsia="Calibri" w:cs="Calibri"/>
          <w:i/>
          <w:iCs/>
          <w:color w:val="000000"/>
          <w:sz w:val="22"/>
          <w:szCs w:val="22"/>
        </w:rPr>
        <w:t xml:space="preserve">Phyrdenus</w:t>
      </w:r>
      <w:r>
        <w:rPr>
          <w:rFonts w:ascii="Calibri" w:hAnsi="Calibri" w:eastAsia="Calibri" w:cs="Calibri"/>
          <w:color w:val="000000"/>
          <w:sz w:val="22"/>
          <w:szCs w:val="22"/>
        </w:rPr>
        <w:t xml:space="preserve"> sp. produce circular holes in the leaves and the pupae of </w:t>
      </w:r>
      <w:r>
        <w:rPr>
          <w:rFonts w:ascii="Calibri" w:hAnsi="Calibri" w:eastAsia="Calibri" w:cs="Calibri"/>
          <w:i/>
          <w:iCs/>
          <w:color w:val="000000"/>
          <w:sz w:val="22"/>
          <w:szCs w:val="22"/>
        </w:rPr>
        <w:t xml:space="preserve">Rhigopsidius</w:t>
      </w:r>
      <w:r>
        <w:rPr>
          <w:rFonts w:ascii="Calibri" w:hAnsi="Calibri" w:eastAsia="Calibri" w:cs="Calibri"/>
          <w:color w:val="000000"/>
          <w:sz w:val="22"/>
          <w:szCs w:val="22"/>
        </w:rPr>
        <w:t xml:space="preserve"> sp. occur inside the tuber.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latithorax</w:t>
      </w:r>
      <w:r>
        <w:rPr>
          <w:rFonts w:ascii="Calibri" w:hAnsi="Calibri" w:eastAsia="Calibri" w:cs="Calibri"/>
          <w:color w:val="000000"/>
          <w:sz w:val="22"/>
          <w:szCs w:val="22"/>
        </w:rPr>
        <w:t xml:space="preserve"> are stout, apterous, weevils about 5-8 mm long. Their colour varies from greyish-brown to dark brown and they have tubercles on pronotum and elytra, which </w:t>
      </w:r>
      <w:r>
        <w:rPr>
          <w:rFonts w:ascii="Calibri" w:hAnsi="Calibri" w:eastAsia="Calibri" w:cs="Calibri"/>
          <w:color w:val="000000"/>
          <w:sz w:val="22"/>
          <w:szCs w:val="22"/>
        </w:rPr>
        <w:t xml:space="preserve">make them </w:t>
      </w:r>
      <w:r>
        <w:rPr>
          <w:rFonts w:ascii="Calibri" w:hAnsi="Calibri" w:eastAsia="Calibri" w:cs="Calibri"/>
          <w:color w:val="000000"/>
          <w:sz w:val="22"/>
          <w:szCs w:val="22"/>
        </w:rPr>
        <w:t xml:space="preserve">difficult to distinguish from the background soil. The eyes are well developed and the rostrum short and broad (the length only about twice the width). A postocular lobe on the anterior margin of prothorax covers part of the eye. They show sexual dimorphism: females larger than males; last ventrite with apical margin acute in females and blunt in males.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latithorax</w:t>
      </w:r>
      <w:r>
        <w:rPr>
          <w:rFonts w:ascii="Calibri" w:hAnsi="Calibri" w:eastAsia="Calibri" w:cs="Calibri"/>
          <w:color w:val="000000"/>
          <w:sz w:val="22"/>
          <w:szCs w:val="22"/>
        </w:rPr>
        <w:t xml:space="preserve"> can be distinguished from other species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by the following combination of characters: epistome (at apical dorsal part of rostrum) elevated; well-developed superciliary arches (swellings above each eye, like ‘eye-brows’); pronotum with blunt lateral swelling at base (Kuschel, 1956; Alcázar &amp; Cisneros, 1999; Yábar Landa, 2014). </w:t>
      </w:r>
    </w:p>
    <w:p>
      <w:pPr>
        <w:widowControl w:val="on"/>
        <w:pBdr/>
        <w:spacing w:before="220" w:after="220" w:line="240" w:lineRule="auto"/>
        <w:ind w:left="0" w:right="0"/>
        <w:jc w:val="both"/>
      </w:pPr>
      <w:r>
        <w:rPr>
          <w:rFonts w:ascii="Calibri" w:hAnsi="Calibri" w:eastAsia="Calibri" w:cs="Calibri"/>
          <w:color w:val="000000"/>
          <w:sz w:val="22"/>
          <w:szCs w:val="22"/>
        </w:rPr>
        <w:t xml:space="preserve">The legless larva and exarate pupa are typical of the Curculionidae. The larva is comma-shaped, creamy-white except the ochreous head, with antennal sensorium cushion-like as it is characteristic of Entiminae (Marvaldi, 2003). Larval characters diagnostic of the genus are given by Emden (1952: paragraphs 6, 54, 55, and 59 of the Key).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can be detected by visual inspection. Adults can be seen on the green parts of the plants. Being flightless they only move by walking, and in the field, they can be caught with pitfall traps. They remain hidden at the base of plants during daylight hours and can be detected at night by inspection of the plant foliage; they play dead when disturbed, so they can be collected by shaking the plants over a basin (Yabar Landa, 1988, 1994). Eggs are difficult to detect, protected in straw or plant debris at the base of the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can be detected by inspecting the potato tubers. Because larvae bore inside the tubers, their presence by external inspection requires careful observation. In light-skinned tubers, the damage is indicated by the presence of irregular blackish spots, and in dark-skinned tubers, there may be small pustules indicating the place where the larvae have entered (Yábar Landa, 1988).</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and over-wintering adults occur in the soil. Mature larvae leave the tubers to pupate in the soil, so detection of pupae in the field is done by examining the soil surrounding the plants during and after harvest. Mature larvae, pupae and adults can also be detected below tubers piled in storage and heaping sites (Alcázar &amp; Cisneros, 1999).</w:t>
      </w:r>
    </w:p>
    <w:p>
      <w:pPr>
        <w:widowControl w:val="on"/>
        <w:pBdr/>
        <w:spacing w:before="220" w:after="220" w:line="240" w:lineRule="auto"/>
        <w:ind w:left="0" w:right="0"/>
        <w:jc w:val="both"/>
      </w:pPr>
      <w:r>
        <w:rPr>
          <w:rFonts w:ascii="Calibri" w:hAnsi="Calibri" w:eastAsia="Calibri" w:cs="Calibri"/>
          <w:color w:val="000000"/>
          <w:sz w:val="22"/>
          <w:szCs w:val="22"/>
        </w:rPr>
        <w:t xml:space="preserve">A molecular characterization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is available through four gene sequences of the nuclear 18S and 28S ribosomal RNA, the mitochondrial 16S ribosomal RNA and the mitochondrial cytochrome c oxidase subunit I (COI) markers, obtained in the context of a phylogenetic analysis of Entiminae (Marvaldi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The sequences are deposited in GenBank (accession codes MH746316, MH746365, MH746416, MH734204) and would allow molecular identification of any life stage of the species. In particular, the COI (barcode) gene could be applied as a molecular tool for quarantine inspection.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tubers have been an important means of spread from field to field, and represent the main potential pathway for transport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in international trade. Larvae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have been intercepted on South American potatoes imported into the USA (Pierce, 1914). Most of the larvae reach maturity and leave the tuber before harvest, but a small proportion of them do not abandon it, so adults can also emerge without rain, in storage conditions, contributing to new infestations or to the spread (e.g., via seed potatoes) of the species (Alcázar &amp; Cisneros, 1999; Kuehne, 2007; Yabar Landa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includes the most important weevil species on potatoes in the Andes, which, together with </w:t>
      </w:r>
      <w:r>
        <w:rPr>
          <w:rFonts w:ascii="Calibri" w:hAnsi="Calibri" w:eastAsia="Calibri" w:cs="Calibri"/>
          <w:i/>
          <w:iCs/>
          <w:color w:val="000000"/>
          <w:sz w:val="22"/>
          <w:szCs w:val="22"/>
        </w:rPr>
        <w:t xml:space="preserve">Rhigopsidius tucumanus</w:t>
      </w:r>
      <w:r>
        <w:rPr>
          <w:rFonts w:ascii="Calibri" w:hAnsi="Calibri" w:eastAsia="Calibri" w:cs="Calibri"/>
          <w:color w:val="000000"/>
          <w:sz w:val="22"/>
          <w:szCs w:val="22"/>
        </w:rPr>
        <w:t xml:space="preserve"> Heller and </w:t>
      </w:r>
      <w:r>
        <w:rPr>
          <w:rFonts w:ascii="Calibri" w:hAnsi="Calibri" w:eastAsia="Calibri" w:cs="Calibri"/>
          <w:i/>
          <w:iCs/>
          <w:color w:val="000000"/>
          <w:sz w:val="22"/>
          <w:szCs w:val="22"/>
        </w:rPr>
        <w:t xml:space="preserve">Phyrdenus </w:t>
      </w:r>
      <w:r>
        <w:rPr>
          <w:rFonts w:ascii="Calibri" w:hAnsi="Calibri" w:eastAsia="Calibri" w:cs="Calibri"/>
          <w:i/>
          <w:iCs/>
          <w:color w:val="000000"/>
          <w:sz w:val="22"/>
          <w:szCs w:val="22"/>
        </w:rPr>
        <w:t xml:space="preserve">muriceus</w:t>
      </w:r>
      <w:r>
        <w:rPr>
          <w:rFonts w:ascii="Calibri" w:hAnsi="Calibri" w:eastAsia="Calibri" w:cs="Calibri"/>
          <w:color w:val="000000"/>
          <w:sz w:val="22"/>
          <w:szCs w:val="22"/>
        </w:rPr>
        <w:t xml:space="preserve"> Germar, are collectively known as the Andean Potato Weevil (APW) complex (Alcázar &amp; Cisneros, 1999; EFSA PLH Panel, 2020). In many areas,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are the most important pests of potatoes, sometimes causing complete destruction of unsprayed crops. The adults feed on foliage and can cause serious damage on young potato plants; there are reports on adults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destroying fields of young potato plants entirely (Aréstigui, 1976). Major damage is caused by the larvae feeding on the tubers, with the consequent loss of their commercial value, and yield reductions for up to 50 % (Ortiz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Larval damage to tubers is especially important when populations are high, and as many as 20 larvae may be found feeding in one tuber. In Peru, 70-100% of unsprayed potato crops may be infested with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(Franco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has been mainly achieved by means of chemical insecticides. In addition to direct monitoring of the crop and chemical control, many other strategies are considered to implement integrated pest management (IPM) against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and other APW species, including: biological control, with entomopathogenic fungi or nematodes, use of natural enemies such as predator beetles, use of resistant plants; agricultural control strategies, such as crop rotation, early harvest, shelter traps/bait crop, border application of insecticides and creation of ditches around field. The various control methods and studies testing their efficacy are reviewed by Kuehne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and other potato weevils to cause damage in Europe is uncertain, owing to the unusual character of the high montane climate of the tropical Andes, with its extreme diurnal fluctuations in temperature and high solar radiation, with dry, cold winter and rainy, moderately warm spring-summer (Alcázar &amp; Cisneros, 1999). It is likely that pests from such an environment will be preadapted to temperate climates of Europe.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(EPPO/CABI, 1996) is an example of a montane species which has shown great adaptability. The Andean potato weevils are likely to establish, spread and cause economic impact in some of the potato-growing areas in Europe, if introduced (EFSA PLH Panel,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latithorax</w:t>
      </w:r>
      <w:r>
        <w:rPr>
          <w:rFonts w:ascii="Calibri" w:hAnsi="Calibri" w:eastAsia="Calibri" w:cs="Calibri"/>
          <w:color w:val="000000"/>
          <w:sz w:val="22"/>
          <w:szCs w:val="22"/>
        </w:rPr>
        <w:t xml:space="preserve"> belongs to the group of South American pests of potato which justifies post-entry quarantine procedures in the EPPO region, together with equivalent checks before export. Only material for scientific purposes should normally be imported from South America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Alcázar J &amp; Cisneros F (1999) Taxonomy and bionomics of the Andean potato weevil complex: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and related genera. pp. 141–151. In: The International Potato Centre. 1999. Impact on a Changing World, Program Report 1997–1998, Lima, Peru, 458 pp. </w:t>
      </w:r>
    </w:p>
    <w:p>
      <w:pPr>
        <w:widowControl w:val="on"/>
        <w:pBdr/>
        <w:spacing w:before="220" w:after="220" w:line="240" w:lineRule="auto"/>
        <w:ind w:left="0" w:right="0"/>
        <w:jc w:val="left"/>
      </w:pPr>
      <w:r>
        <w:rPr>
          <w:rFonts w:ascii="Calibri" w:hAnsi="Calibri" w:eastAsia="Calibri" w:cs="Calibri"/>
          <w:color w:val="000000"/>
          <w:sz w:val="22"/>
          <w:szCs w:val="22"/>
        </w:rPr>
        <w:t xml:space="preserve">Aréstigui PA (1976) [Potato pests in Andahuaylas-Apurimac]. </w:t>
      </w:r>
      <w:r>
        <w:rPr>
          <w:rFonts w:ascii="Calibri" w:hAnsi="Calibri" w:eastAsia="Calibri" w:cs="Calibri"/>
          <w:i/>
          <w:iCs/>
          <w:color w:val="000000"/>
          <w:sz w:val="22"/>
          <w:szCs w:val="22"/>
        </w:rPr>
        <w:t xml:space="preserve">Revista Peruana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97-98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Carrasco FZ (1961) [Systematics and biology of </w:t>
      </w:r>
      <w:r>
        <w:rPr>
          <w:rFonts w:ascii="Calibri" w:hAnsi="Calibri" w:eastAsia="Calibri" w:cs="Calibri"/>
          <w:i/>
          <w:iCs/>
          <w:color w:val="000000"/>
          <w:sz w:val="22"/>
          <w:szCs w:val="22"/>
        </w:rPr>
        <w:t xml:space="preserve">Premnotrypes latithorax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Revista Peruana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30-43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Carvajal Pinto C (1993) [Biology, geographical distribution, population fluctuation and control of the Andes weevil </w:t>
      </w:r>
      <w:r>
        <w:rPr>
          <w:rFonts w:ascii="Calibri" w:hAnsi="Calibri" w:eastAsia="Calibri" w:cs="Calibri"/>
          <w:i/>
          <w:iCs/>
          <w:color w:val="000000"/>
          <w:sz w:val="22"/>
          <w:szCs w:val="22"/>
        </w:rPr>
        <w:t xml:space="preserve">Premnotrypes latithorax</w:t>
      </w:r>
      <w:r>
        <w:rPr>
          <w:rFonts w:ascii="Calibri" w:hAnsi="Calibri" w:eastAsia="Calibri" w:cs="Calibri"/>
          <w:color w:val="000000"/>
          <w:sz w:val="22"/>
          <w:szCs w:val="22"/>
        </w:rPr>
        <w:t xml:space="preserve"> in the locality of Aguirre]. Cochabamba, Thesis of the Universidad Mayor de San Simon: 123 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Durán Auccatinco J (2001) [Integrated Pest Management and its impact on Andean weevil (pest) and diseases in potato crop]. Thesis of the Universidad de San Antonio Abad del Cusco, Cusco (Peru). 86 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Czwienczek E, Streissl F &amp; MacLeod A (2020) Scientific Opinion on the pest categorisation of the Andean Potato Weevil (APW) complex (Coleoptera: Curculionidae). </w:t>
      </w:r>
      <w:r>
        <w:rPr>
          <w:rFonts w:ascii="Calibri" w:hAnsi="Calibri" w:eastAsia="Calibri" w:cs="Calibri"/>
          <w:i/>
          <w:iCs/>
          <w:color w:val="000000"/>
          <w:sz w:val="22"/>
          <w:szCs w:val="22"/>
        </w:rPr>
        <w:t xml:space="preserve">EFSA Journal </w:t>
      </w:r>
      <w:r>
        <w:rPr>
          <w:rFonts w:ascii="Calibri" w:hAnsi="Calibri" w:eastAsia="Calibri" w:cs="Calibri"/>
          <w:color w:val="000000"/>
          <w:sz w:val="22"/>
          <w:szCs w:val="22"/>
        </w:rPr>
        <w:t xml:space="preserve">2020;18(7):6176, 38 pp. </w:t>
      </w:r>
      <w:hyperlink r:id="rId8440664b243361f3a" w:history="1">
        <w:r>
          <w:rPr>
            <w:rFonts w:ascii="Calibri" w:hAnsi="Calibri" w:eastAsia="Calibri" w:cs="Calibri"/>
            <w:color w:val="0000CC"/>
            <w:sz w:val="22"/>
            <w:szCs w:val="22"/>
            <w:u w:val="single"/>
          </w:rPr>
          <w:t xml:space="preserve">https://doi.org/10.2903/j.efsa.2020.6176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Emden FI van (1952) On the taxonomy of Rhynchophora larvae: Adelognatha and Alophinae (Insecta: Coleoptera). </w:t>
      </w:r>
      <w:r>
        <w:rPr>
          <w:rFonts w:ascii="Calibri" w:hAnsi="Calibri" w:eastAsia="Calibri" w:cs="Calibri"/>
          <w:i/>
          <w:iCs/>
          <w:color w:val="000000"/>
          <w:sz w:val="22"/>
          <w:szCs w:val="22"/>
        </w:rPr>
        <w:t xml:space="preserve">Proceedings of the Zoological Society of London</w:t>
      </w:r>
      <w:r>
        <w:rPr>
          <w:rFonts w:ascii="Calibri" w:hAnsi="Calibri" w:eastAsia="Calibri" w:cs="Calibri"/>
          <w:color w:val="000000"/>
          <w:sz w:val="22"/>
          <w:szCs w:val="22"/>
        </w:rPr>
        <w:t xml:space="preserve">, Volume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pp. 651-795.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(GD). Available online: </w:t>
      </w:r>
      <w:hyperlink r:id="rId1144664b243361fce"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Franco J, Gandarilla A, Gallo R, Zapata B (2000) Bolivia. In: Transgenic potatoes for the benefit or resource-poor farmers in developing countries. </w:t>
      </w:r>
      <w:r>
        <w:rPr>
          <w:rFonts w:ascii="Calibri" w:hAnsi="Calibri" w:eastAsia="Calibri" w:cs="Calibri"/>
          <w:i/>
          <w:iCs/>
          <w:color w:val="000000"/>
          <w:sz w:val="22"/>
          <w:szCs w:val="22"/>
        </w:rPr>
        <w:t xml:space="preserve">Proceedings of the International Workshop</w:t>
      </w:r>
      <w:r>
        <w:rPr>
          <w:rFonts w:ascii="Calibri" w:hAnsi="Calibri" w:eastAsia="Calibri" w:cs="Calibri"/>
          <w:color w:val="000000"/>
          <w:sz w:val="22"/>
          <w:szCs w:val="22"/>
        </w:rPr>
        <w:t xml:space="preserve">. Manchester, United Kingdom, 5-9 June 2000, pp. 14-17.</w:t>
      </w:r>
    </w:p>
    <w:p>
      <w:pPr>
        <w:widowControl w:val="on"/>
        <w:pBdr/>
        <w:spacing w:before="220" w:after="220" w:line="240" w:lineRule="auto"/>
        <w:ind w:left="0" w:right="0"/>
        <w:jc w:val="left"/>
      </w:pPr>
      <w:r>
        <w:rPr>
          <w:rFonts w:ascii="Calibri" w:hAnsi="Calibri" w:eastAsia="Calibri" w:cs="Calibri"/>
          <w:color w:val="000000"/>
          <w:sz w:val="22"/>
          <w:szCs w:val="22"/>
        </w:rPr>
        <w:t xml:space="preserve">Kuehne M (2007) The Andean potato weevil </w:t>
      </w:r>
      <w:r>
        <w:rPr>
          <w:rFonts w:ascii="Calibri" w:hAnsi="Calibri" w:eastAsia="Calibri" w:cs="Calibri"/>
          <w:i/>
          <w:iCs/>
          <w:color w:val="000000"/>
          <w:sz w:val="22"/>
          <w:szCs w:val="22"/>
        </w:rPr>
        <w:t xml:space="preserve">Premnotrypes suturicallus</w:t>
      </w:r>
      <w:r>
        <w:rPr>
          <w:rFonts w:ascii="Calibri" w:hAnsi="Calibri" w:eastAsia="Calibri" w:cs="Calibri"/>
          <w:color w:val="000000"/>
          <w:sz w:val="22"/>
          <w:szCs w:val="22"/>
        </w:rPr>
        <w:t xml:space="preserve">. Ecology and interactions with the entomopathogenic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PhD thesis. Fakultät für Agrarwissenschaften der Georg‐August‐Universität Göttingen. Available online: </w:t>
      </w:r>
      <w:hyperlink r:id="rId4484664b2433620e9" w:history="1">
        <w:r>
          <w:rPr>
            <w:rFonts w:ascii="Calibri" w:hAnsi="Calibri" w:eastAsia="Calibri" w:cs="Calibri"/>
            <w:color w:val="0000CC"/>
            <w:sz w:val="22"/>
            <w:szCs w:val="22"/>
            <w:u w:val="single"/>
          </w:rPr>
          <w:t xml:space="preserve">https://ediss.uni-goettingen.de/bitstream/handle/11858/00-1735-0000-000D-F23B-A/kuehne.pdf?sequence=1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Kuschel G (1949) [The Curculionidae of the extreme North of Chile (Coleoptera, Curcul. AP. 6)]. </w:t>
      </w:r>
      <w:r>
        <w:rPr>
          <w:rFonts w:ascii="Calibri" w:hAnsi="Calibri" w:eastAsia="Calibri" w:cs="Calibri"/>
          <w:i/>
          <w:iCs/>
          <w:color w:val="000000"/>
          <w:sz w:val="22"/>
          <w:szCs w:val="22"/>
        </w:rPr>
        <w:t xml:space="preserve">Acta Zoológica Lilloana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5-54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Kuschel G (1956) [Revision of the Premnotrypini and additions to the Bagoini]. </w:t>
      </w:r>
      <w:r>
        <w:rPr>
          <w:rFonts w:ascii="Calibri" w:hAnsi="Calibri" w:eastAsia="Calibri" w:cs="Calibri"/>
          <w:i/>
          <w:iCs/>
          <w:color w:val="000000"/>
          <w:sz w:val="22"/>
          <w:szCs w:val="22"/>
        </w:rPr>
        <w:t xml:space="preserve">Boletin, Museo Nacional de Historia Natural, Chile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187-235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Marvaldi AE (2003) Key to identify larvae of the subfamilies of South American weevils (Coleoptera, Curculionoidea). </w:t>
      </w:r>
      <w:r>
        <w:rPr>
          <w:rFonts w:ascii="Calibri" w:hAnsi="Calibri" w:eastAsia="Calibri" w:cs="Calibri"/>
          <w:i/>
          <w:iCs/>
          <w:color w:val="000000"/>
          <w:sz w:val="22"/>
          <w:szCs w:val="22"/>
        </w:rPr>
        <w:t xml:space="preserve">Revista Chilena de Historia Natural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(4), 603-612.</w:t>
      </w:r>
    </w:p>
    <w:p>
      <w:pPr>
        <w:widowControl w:val="on"/>
        <w:pBdr/>
        <w:spacing w:before="220" w:after="220" w:line="240" w:lineRule="auto"/>
        <w:ind w:left="0" w:right="0"/>
        <w:jc w:val="left"/>
      </w:pPr>
      <w:r>
        <w:rPr>
          <w:rFonts w:ascii="Calibri" w:hAnsi="Calibri" w:eastAsia="Calibri" w:cs="Calibri"/>
          <w:color w:val="000000"/>
          <w:sz w:val="22"/>
          <w:szCs w:val="22"/>
        </w:rPr>
        <w:t xml:space="preserve">Marvaldi AE, del Rio MG, Rocamundi N, Pereyra VA &amp; Lanteri AA (2018) A combined molecular and morphological approach to explore the higher phylogeny of entimine weevils (Coleoptera: Curculionidae), with special reference to South American taxa. </w:t>
      </w:r>
      <w:r>
        <w:rPr>
          <w:rFonts w:ascii="Calibri" w:hAnsi="Calibri" w:eastAsia="Calibri" w:cs="Calibri"/>
          <w:i/>
          <w:iCs/>
          <w:color w:val="000000"/>
          <w:sz w:val="22"/>
          <w:szCs w:val="22"/>
        </w:rPr>
        <w:t xml:space="preserve">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10, 95</w:t>
      </w:r>
      <w:r>
        <w:rPr>
          <w:rFonts w:ascii="Calibri" w:hAnsi="Calibri" w:eastAsia="Calibri" w:cs="Calibri"/>
          <w:color w:val="000000"/>
          <w:sz w:val="22"/>
          <w:szCs w:val="22"/>
        </w:rPr>
        <w:t xml:space="preserve">, 1-30. </w:t>
      </w:r>
      <w:hyperlink r:id="rId1982664b243362263" w:history="1">
        <w:r>
          <w:rPr>
            <w:rFonts w:ascii="Calibri" w:hAnsi="Calibri" w:eastAsia="Calibri" w:cs="Calibri"/>
            <w:color w:val="0000CC"/>
            <w:sz w:val="22"/>
            <w:szCs w:val="22"/>
            <w:u w:val="single"/>
          </w:rPr>
          <w:t xml:space="preserve">https://doi.org/10.3390/d10030095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Ortiz OJ, Alcázar J, Catalán W, Villano W. Cerna V, Fano H &amp; Walker TS (1996) Economic impact of IPM practices on the Andean potato weevil in Peru. In </w:t>
      </w:r>
      <w:r>
        <w:rPr>
          <w:rFonts w:ascii="Calibri" w:hAnsi="Calibri" w:eastAsia="Calibri" w:cs="Calibri"/>
          <w:i/>
          <w:iCs/>
          <w:color w:val="000000"/>
          <w:sz w:val="22"/>
          <w:szCs w:val="22"/>
        </w:rPr>
        <w:t xml:space="preserve">Case studies of the economic impact of CIP - related technology</w:t>
      </w:r>
      <w:r>
        <w:rPr>
          <w:rFonts w:ascii="Calibri" w:hAnsi="Calibri" w:eastAsia="Calibri" w:cs="Calibri"/>
          <w:color w:val="000000"/>
          <w:sz w:val="22"/>
          <w:szCs w:val="22"/>
        </w:rPr>
        <w:t xml:space="preserve"> (eds Walker TS &amp; Crissman CC). Lima, International Potato Center: pp. 95-110.</w:t>
      </w:r>
    </w:p>
    <w:p>
      <w:pPr>
        <w:widowControl w:val="on"/>
        <w:pBdr/>
        <w:spacing w:before="220" w:after="220" w:line="240" w:lineRule="auto"/>
        <w:ind w:left="0" w:right="0"/>
        <w:jc w:val="left"/>
      </w:pPr>
      <w:r>
        <w:rPr>
          <w:rFonts w:ascii="Calibri" w:hAnsi="Calibri" w:eastAsia="Calibri" w:cs="Calibri"/>
          <w:color w:val="000000"/>
          <w:sz w:val="22"/>
          <w:szCs w:val="22"/>
        </w:rPr>
        <w:t xml:space="preserve">Pierce WD (1914) New potato weevils from Andean South America.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(4), 347-352.</w:t>
      </w:r>
    </w:p>
    <w:p>
      <w:pPr>
        <w:widowControl w:val="on"/>
        <w:pBdr/>
        <w:spacing w:before="220" w:after="220" w:line="240" w:lineRule="auto"/>
        <w:ind w:left="0" w:right="0"/>
        <w:jc w:val="left"/>
      </w:pPr>
      <w:r>
        <w:rPr>
          <w:rFonts w:ascii="Calibri" w:hAnsi="Calibri" w:eastAsia="Calibri" w:cs="Calibri"/>
          <w:color w:val="000000"/>
          <w:sz w:val="22"/>
          <w:szCs w:val="22"/>
        </w:rPr>
        <w:t xml:space="preserve">Tisoc Dueñas IO (1989) Biological cycle of </w:t>
      </w:r>
      <w:r>
        <w:rPr>
          <w:rFonts w:ascii="Calibri" w:hAnsi="Calibri" w:eastAsia="Calibri" w:cs="Calibri"/>
          <w:i/>
          <w:iCs/>
          <w:color w:val="000000"/>
          <w:sz w:val="22"/>
          <w:szCs w:val="22"/>
        </w:rPr>
        <w:t xml:space="preserve">Premnotrypes latithorax</w:t>
      </w:r>
      <w:r>
        <w:rPr>
          <w:rFonts w:ascii="Calibri" w:hAnsi="Calibri" w:eastAsia="Calibri" w:cs="Calibri"/>
          <w:color w:val="000000"/>
          <w:sz w:val="22"/>
          <w:szCs w:val="22"/>
        </w:rPr>
        <w:t xml:space="preserve">, in Cusco (Peru), under laboratory conditions. </w:t>
      </w:r>
      <w:r>
        <w:rPr>
          <w:rFonts w:ascii="Calibri" w:hAnsi="Calibri" w:eastAsia="Calibri" w:cs="Calibri"/>
          <w:i/>
          <w:iCs/>
          <w:color w:val="000000"/>
          <w:sz w:val="22"/>
          <w:szCs w:val="22"/>
        </w:rPr>
        <w:t xml:space="preserve">Revista Peruana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89-92.</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(1988) Cultural practices integration for the control of the Andean potato weevil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120-131.</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(1994) [Ecological management of the Andes weevil]. Lima, RAAA. 119pp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Yabar Landa E (2014) [Systematic revision and phylogeny of the tribe Premnotrypini Kuschel (Coleoptera: Curculionidae: Entiminae)]. Doctoral Thesis, PROBIOL, Universidad Nacional de Cuyo (Argentina). 248 pp.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García H, Saavedra J, de los Rios H (2011) [Curculionids (Coleoptera: Curculionidae) associated with potato tuber under traditional storage conditions in Cuzco, Peru]. </w:t>
      </w:r>
      <w:r>
        <w:rPr>
          <w:rFonts w:ascii="Calibri" w:hAnsi="Calibri" w:eastAsia="Calibri" w:cs="Calibri"/>
          <w:i/>
          <w:iCs/>
          <w:color w:val="000000"/>
          <w:sz w:val="22"/>
          <w:szCs w:val="22"/>
        </w:rPr>
        <w:t xml:space="preserve">Boletín del Museo de Entomología de la Universidad del Valle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42-47 (in Spanish).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Adriana E. Marvaldi (CONICET, División Entomología, Facultad de Ciencias Naturales y Museo, Universidad Nacional de La Plata, Argentina).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Premnotrypes latithorax</w:t>
      </w:r>
      <w:r>
        <w:rPr>
          <w:rFonts w:ascii="Calibri" w:hAnsi="Calibri" w:eastAsia="Calibri" w:cs="Calibri"/>
          <w:color w:val="000000"/>
          <w:sz w:val="22"/>
          <w:szCs w:val="22"/>
        </w:rPr>
        <w:t xml:space="preserve">. EPPO datasheets on pests recommended for regulation. Available online. </w:t>
      </w:r>
      <w:hyperlink r:id="rId2614664b24336254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143: </w:t>
      </w:r>
      <w:r>
        <w:rPr>
          <w:rFonts w:ascii="Calibri" w:hAnsi="Calibri" w:eastAsia="Calibri" w:cs="Calibri"/>
          <w:i/>
          <w:iCs/>
          <w:color w:val="000000"/>
          <w:sz w:val="22"/>
          <w:szCs w:val="22"/>
        </w:rPr>
        <w:t xml:space="preserve">Premnotrypes </w:t>
      </w:r>
      <w:r>
        <w:rPr>
          <w:rFonts w:ascii="Calibri" w:hAnsi="Calibri" w:eastAsia="Calibri" w:cs="Calibri"/>
          <w:color w:val="000000"/>
          <w:sz w:val="22"/>
          <w:szCs w:val="22"/>
        </w:rPr>
        <w:t xml:space="preserve">spp. (Andean species). EPPO Bulletin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55-60. </w:t>
      </w:r>
      <w:hyperlink r:id="rId3225664b2433626a8" w:history="1">
        <w:r>
          <w:rPr>
            <w:rFonts w:ascii="Calibri" w:hAnsi="Calibri" w:eastAsia="Calibri" w:cs="Calibri"/>
            <w:color w:val="0000CC"/>
            <w:sz w:val="22"/>
            <w:szCs w:val="22"/>
            <w:u w:val="single"/>
          </w:rPr>
          <w:t xml:space="preserve">https://doi.org/10.1111/j.1365-2338.1984.tb01982.x</w:t>
        </w:r>
      </w:hyperlink>
    </w:p>
    <w:p>
      <w:r>
        <w:drawing>
          <wp:inline distT="0" distB="0" distL="0" distR="0">
            <wp:extent cx="1800000" cy="604800"/>
            <wp:docPr id="98878317" name="name1434664b24336270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985664b24336270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356432">
    <w:multiLevelType w:val="hybridMultilevel"/>
    <w:lvl w:ilvl="0" w:tplc="50144660">
      <w:start w:val="1"/>
      <w:numFmt w:val="decimal"/>
      <w:lvlText w:val="%1."/>
      <w:lvlJc w:val="left"/>
      <w:pPr>
        <w:ind w:left="720" w:hanging="360"/>
      </w:pPr>
    </w:lvl>
    <w:lvl w:ilvl="1" w:tplc="50144660" w:tentative="1">
      <w:start w:val="1"/>
      <w:numFmt w:val="lowerLetter"/>
      <w:lvlText w:val="%2."/>
      <w:lvlJc w:val="left"/>
      <w:pPr>
        <w:ind w:left="1440" w:hanging="360"/>
      </w:pPr>
    </w:lvl>
    <w:lvl w:ilvl="2" w:tplc="50144660" w:tentative="1">
      <w:start w:val="1"/>
      <w:numFmt w:val="lowerRoman"/>
      <w:lvlText w:val="%3."/>
      <w:lvlJc w:val="right"/>
      <w:pPr>
        <w:ind w:left="2160" w:hanging="180"/>
      </w:pPr>
    </w:lvl>
    <w:lvl w:ilvl="3" w:tplc="50144660" w:tentative="1">
      <w:start w:val="1"/>
      <w:numFmt w:val="decimal"/>
      <w:lvlText w:val="%4."/>
      <w:lvlJc w:val="left"/>
      <w:pPr>
        <w:ind w:left="2880" w:hanging="360"/>
      </w:pPr>
    </w:lvl>
    <w:lvl w:ilvl="4" w:tplc="50144660" w:tentative="1">
      <w:start w:val="1"/>
      <w:numFmt w:val="lowerLetter"/>
      <w:lvlText w:val="%5."/>
      <w:lvlJc w:val="left"/>
      <w:pPr>
        <w:ind w:left="3600" w:hanging="360"/>
      </w:pPr>
    </w:lvl>
    <w:lvl w:ilvl="5" w:tplc="50144660" w:tentative="1">
      <w:start w:val="1"/>
      <w:numFmt w:val="lowerRoman"/>
      <w:lvlText w:val="%6."/>
      <w:lvlJc w:val="right"/>
      <w:pPr>
        <w:ind w:left="4320" w:hanging="180"/>
      </w:pPr>
    </w:lvl>
    <w:lvl w:ilvl="6" w:tplc="50144660" w:tentative="1">
      <w:start w:val="1"/>
      <w:numFmt w:val="decimal"/>
      <w:lvlText w:val="%7."/>
      <w:lvlJc w:val="left"/>
      <w:pPr>
        <w:ind w:left="5040" w:hanging="360"/>
      </w:pPr>
    </w:lvl>
    <w:lvl w:ilvl="7" w:tplc="50144660" w:tentative="1">
      <w:start w:val="1"/>
      <w:numFmt w:val="lowerLetter"/>
      <w:lvlText w:val="%8."/>
      <w:lvlJc w:val="left"/>
      <w:pPr>
        <w:ind w:left="5760" w:hanging="360"/>
      </w:pPr>
    </w:lvl>
    <w:lvl w:ilvl="8" w:tplc="50144660" w:tentative="1">
      <w:start w:val="1"/>
      <w:numFmt w:val="lowerRoman"/>
      <w:lvlText w:val="%9."/>
      <w:lvlJc w:val="right"/>
      <w:pPr>
        <w:ind w:left="6480" w:hanging="180"/>
      </w:pPr>
    </w:lvl>
  </w:abstractNum>
  <w:abstractNum w:abstractNumId="38356431">
    <w:multiLevelType w:val="hybridMultilevel"/>
    <w:lvl w:ilvl="0" w:tplc="466003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356431">
    <w:abstractNumId w:val="38356431"/>
  </w:num>
  <w:num w:numId="38356432">
    <w:abstractNumId w:val="3835643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6271818" Type="http://schemas.microsoft.com/office/2011/relationships/commentsExtended" Target="commentsExtended.xml"/><Relationship Id="rId547741274" Type="http://schemas.microsoft.com/office/2011/relationships/people" Target="people.xml"/><Relationship Id="rId3311664b24335fbb6" Type="http://schemas.openxmlformats.org/officeDocument/2006/relationships/hyperlink" Target="https://gd.eppo.int/taxon/PREMLA/" TargetMode="External"/><Relationship Id="rId6743664b24335fbfb" Type="http://schemas.openxmlformats.org/officeDocument/2006/relationships/hyperlink" Target="https://gd.eppo.int/taxon/PREMLA/categorization" TargetMode="External"/><Relationship Id="rId5545664b243360534" Type="http://schemas.openxmlformats.org/officeDocument/2006/relationships/hyperlink" Target="https://gd.eppo.int/taxon/PREMLA/photos" TargetMode="External"/><Relationship Id="rId8440664b243361f3a" Type="http://schemas.openxmlformats.org/officeDocument/2006/relationships/hyperlink" Target="https://doi.org/10.2903/j.efsa.2020.6176" TargetMode="External"/><Relationship Id="rId1144664b243361fce" Type="http://schemas.openxmlformats.org/officeDocument/2006/relationships/hyperlink" Target="https://gd.eppo.int" TargetMode="External"/><Relationship Id="rId4484664b2433620e9" Type="http://schemas.openxmlformats.org/officeDocument/2006/relationships/hyperlink" Target="https://ediss.uni-goettingen.de/bitstream/handle/11858/00-1735-0000-000D-F23B-A/kuehne.pdf?sequence=1" TargetMode="External"/><Relationship Id="rId1982664b243362263" Type="http://schemas.openxmlformats.org/officeDocument/2006/relationships/hyperlink" Target="https://doi.org/10.3390/d10030095" TargetMode="External"/><Relationship Id="rId2614664b243362541" Type="http://schemas.openxmlformats.org/officeDocument/2006/relationships/hyperlink" Target="https://gd.eppo.int" TargetMode="External"/><Relationship Id="rId3225664b2433626a8" Type="http://schemas.openxmlformats.org/officeDocument/2006/relationships/hyperlink" Target="https://doi.org/10.1111/j.1365-2338.1984.tb01982.x" TargetMode="External"/><Relationship Id="rId6873664b243360415" Type="http://schemas.openxmlformats.org/officeDocument/2006/relationships/image" Target="media/imgrId6873664b243360415.jpg"/><Relationship Id="rId1738664b2433613de" Type="http://schemas.openxmlformats.org/officeDocument/2006/relationships/image" Target="media/imgrId1738664b2433613de.jpg"/><Relationship Id="rId5985664b243362705" Type="http://schemas.openxmlformats.org/officeDocument/2006/relationships/image" Target="media/imgrId5985664b24336270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