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Phymatotrichopsis omnivora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Phymatotrichopsis omnivora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(Shear) Hennebert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Pezizomycetes: Pezizales: Rhizinaceae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Ozonium omnivorum</w:t>
            </w:r>
            <w:r>
              <w:rPr>
                <w:rFonts w:ascii="Calibri" w:hAnsi="Calibri" w:eastAsia="Calibri" w:cs="Calibri"/>
                <w:color w:val="000000"/>
                <w:position w:val="-3"/>
                <w:sz w:val="22"/>
                <w:szCs w:val="22"/>
              </w:rPr>
              <w:t xml:space="preserve"> Shear, </w:t>
            </w:r>
            <w:r>
              <w:rPr>
                <w:rFonts w:ascii="Calibri" w:hAnsi="Calibri" w:eastAsia="Calibri" w:cs="Calibri"/>
                <w:i/>
                <w:iCs/>
                <w:color w:val="000000"/>
                <w:position w:val="-3"/>
                <w:sz w:val="22"/>
                <w:szCs w:val="22"/>
              </w:rPr>
              <w:t xml:space="preserve">Phymatotrichum omnivorum</w:t>
            </w:r>
            <w:r>
              <w:rPr>
                <w:rFonts w:ascii="Calibri" w:hAnsi="Calibri" w:eastAsia="Calibri" w:cs="Calibri"/>
                <w:color w:val="000000"/>
                <w:position w:val="-3"/>
                <w:sz w:val="22"/>
                <w:szCs w:val="22"/>
              </w:rPr>
              <w:t xml:space="preserve"> (Shear) Duggar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Ozonium root rot, Phymatotrichopsis root rot (US), Texas root rot of alfalfa, Texas root rot of bean, Texas root rot of cotton, Texas root rot of grapevine, cotton root rot (US), phymatotrichum root rot, root rot of conifers, root rot of soybean, soft rot of cotton</w:t>
            </w:r>
            <w:hyperlink r:id="rId3889664b2c348164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99664b2c34816b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PHMPOM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5442319" name="name7150664b2c34821a5" descr="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jpg"/>
                          <pic:cNvPicPr/>
                        </pic:nvPicPr>
                        <pic:blipFill>
                          <a:blip r:embed="rId5043664b2c34821a3" cstate="print"/>
                          <a:stretch>
                            <a:fillRect/>
                          </a:stretch>
                        </pic:blipFill>
                        <pic:spPr>
                          <a:xfrm>
                            <a:off x="0" y="0"/>
                            <a:ext cx="2160000" cy="1281600"/>
                          </a:xfrm>
                          <a:prstGeom prst="rect">
                            <a:avLst/>
                          </a:prstGeom>
                          <a:ln w="0">
                            <a:noFill/>
                          </a:ln>
                        </pic:spPr>
                      </pic:pic>
                    </a:graphicData>
                  </a:graphic>
                </wp:inline>
              </w:drawing>
            </w:r>
            <w:hyperlink r:id="rId6525664b2c34822c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organism,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Ozonium omnivorum</w:t>
      </w:r>
      <w:r>
        <w:rPr>
          <w:rFonts w:ascii="Calibri" w:hAnsi="Calibri" w:eastAsia="Calibri" w:cs="Calibri"/>
          <w:color w:val="000000"/>
          <w:sz w:val="22"/>
          <w:szCs w:val="22"/>
        </w:rPr>
        <w:t xml:space="preserve">), is known only as an asexual (mitosporic) fungus and produces noninfectious microconidia on epigeous spore mats of hyaline conidiophores resembling those of </w:t>
      </w:r>
      <w:r>
        <w:rPr>
          <w:rFonts w:ascii="Calibri" w:hAnsi="Calibri" w:eastAsia="Calibri" w:cs="Calibri"/>
          <w:i/>
          <w:iCs/>
          <w:color w:val="000000"/>
          <w:sz w:val="22"/>
          <w:szCs w:val="22"/>
        </w:rPr>
        <w:t xml:space="preserve">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and mycelial cords on infected roots resembling the </w:t>
      </w:r>
      <w:r>
        <w:rPr>
          <w:rFonts w:ascii="Calibri" w:hAnsi="Calibri" w:eastAsia="Calibri" w:cs="Calibri"/>
          <w:i/>
          <w:iCs/>
          <w:color w:val="000000"/>
          <w:sz w:val="22"/>
          <w:szCs w:val="22"/>
        </w:rPr>
        <w:t xml:space="preserve">Ozonium </w:t>
      </w:r>
      <w:r>
        <w:rPr>
          <w:rFonts w:ascii="Calibri" w:hAnsi="Calibri" w:eastAsia="Calibri" w:cs="Calibri"/>
          <w:color w:val="000000"/>
          <w:sz w:val="22"/>
          <w:szCs w:val="22"/>
        </w:rPr>
        <w:t xml:space="preserve">stage of </w:t>
      </w:r>
      <w:r>
        <w:rPr>
          <w:rFonts w:ascii="Calibri" w:hAnsi="Calibri" w:eastAsia="Calibri" w:cs="Calibri"/>
          <w:i/>
          <w:iCs/>
          <w:color w:val="000000"/>
          <w:sz w:val="22"/>
          <w:szCs w:val="22"/>
        </w:rPr>
        <w:t xml:space="preserve">Coprinellus</w:t>
      </w:r>
      <w:r>
        <w:rPr>
          <w:rFonts w:ascii="Calibri" w:hAnsi="Calibri" w:eastAsia="Calibri" w:cs="Calibri"/>
          <w:color w:val="000000"/>
          <w:sz w:val="22"/>
          <w:szCs w:val="22"/>
        </w:rPr>
        <w:t xml:space="preserve"> (Psathyrellaceae). Although the corticoid basidiomycetes </w:t>
      </w:r>
      <w:r>
        <w:rPr>
          <w:rFonts w:ascii="Calibri" w:hAnsi="Calibri" w:eastAsia="Calibri" w:cs="Calibri"/>
          <w:i/>
          <w:iCs/>
          <w:color w:val="000000"/>
          <w:sz w:val="22"/>
          <w:szCs w:val="22"/>
        </w:rPr>
        <w:t xml:space="preserve">Hydnophlebia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Phanerochaete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omnivora</w:t>
      </w:r>
      <w:r>
        <w:rPr>
          <w:rFonts w:ascii="Calibri" w:hAnsi="Calibri" w:eastAsia="Calibri" w:cs="Calibri"/>
          <w:color w:val="000000"/>
          <w:sz w:val="22"/>
          <w:szCs w:val="22"/>
        </w:rPr>
        <w:t xml:space="preserve"> (Meruliaceae) and </w:t>
      </w:r>
      <w:r>
        <w:rPr>
          <w:rFonts w:ascii="Calibri" w:hAnsi="Calibri" w:eastAsia="Calibri" w:cs="Calibri"/>
          <w:i/>
          <w:iCs/>
          <w:color w:val="000000"/>
          <w:sz w:val="22"/>
          <w:szCs w:val="22"/>
        </w:rPr>
        <w:t xml:space="preserve">Sistotrema brinkmannii</w:t>
      </w:r>
      <w:r>
        <w:rPr>
          <w:rFonts w:ascii="Calibri" w:hAnsi="Calibri" w:eastAsia="Calibri" w:cs="Calibri"/>
          <w:color w:val="000000"/>
          <w:sz w:val="22"/>
          <w:szCs w:val="22"/>
        </w:rPr>
        <w:t xml:space="preserve"> (Corticiacea) have been suggested as teleomorphs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phylogenetic analyses of multiple isolates indicate that it is neither a basidiomycete nor closely related to </w:t>
      </w:r>
      <w:r>
        <w:rPr>
          <w:rFonts w:ascii="Calibri" w:hAnsi="Calibri" w:eastAsia="Calibri" w:cs="Calibri"/>
          <w:i/>
          <w:iCs/>
          <w:color w:val="000000"/>
          <w:sz w:val="22"/>
          <w:szCs w:val="22"/>
        </w:rPr>
        <w:t xml:space="preserve">Botrytis</w:t>
      </w:r>
      <w:r>
        <w:rPr>
          <w:rFonts w:ascii="Calibri" w:hAnsi="Calibri" w:eastAsia="Calibri" w:cs="Calibri"/>
          <w:color w:val="000000"/>
          <w:sz w:val="22"/>
          <w:szCs w:val="22"/>
        </w:rPr>
        <w:t xml:space="preserve"> (Sclerotiniaceae, Leotiomycetes).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is a member of the family Rhizinaceae, Pezizales (Ascomycota: Pezizomycetes) allied to </w:t>
      </w:r>
      <w:r>
        <w:rPr>
          <w:rFonts w:ascii="Calibri" w:hAnsi="Calibri" w:eastAsia="Calibri" w:cs="Calibri"/>
          <w:i/>
          <w:iCs/>
          <w:color w:val="000000"/>
          <w:sz w:val="22"/>
          <w:szCs w:val="22"/>
        </w:rPr>
        <w:t xml:space="preserve">Psilopezia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Rhizina </w:t>
      </w:r>
      <w:r>
        <w:rPr>
          <w:rFonts w:ascii="Calibri" w:hAnsi="Calibri" w:eastAsia="Calibri" w:cs="Calibri"/>
          <w:color w:val="000000"/>
          <w:sz w:val="22"/>
          <w:szCs w:val="22"/>
        </w:rPr>
        <w:t xml:space="preserve">(Marek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 is cotton, including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w:t>
      </w:r>
      <w:r>
        <w:rPr>
          <w:rFonts w:ascii="Calibri" w:hAnsi="Calibri" w:eastAsia="Calibri" w:cs="Calibri"/>
          <w:color w:val="000000"/>
          <w:sz w:val="22"/>
          <w:szCs w:val="22"/>
        </w:rPr>
        <w:t xml:space="preserve">. The fungus can also infect more than 2000 species of dicots including 31 economic field crops, 58 vegetable crops, 18 fruits and berries including citrus, 35 forest trees and shrubs, 7 herbaceous ornamentals and 20 weeds (Streets, 1937; Streets &amp; Bloss, 1973). When endemic, the fungus causes significant economic losses on many field crops, such as cotton, alfalfa and peanuts. Phymatotrichopsis Root Rot (PRR) can also cause losses on horticultural crops, such as pecans, apples and ornamental trees and shrubs. Monocots are thought to be immune, but fungal strands and sclerotia have been reported on such hosts in nature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1984b) and in the laboratory (Kankanala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potential host range in the EPPO region is presumably just as wide.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pavia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Agrimonia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x tamariscinus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bidentata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Anethum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cotula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Apios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androsaemifolium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Araucaria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stoechadifolia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platyceras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Argyreia nervosa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Baptisia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populneus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 subsp. rapifera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gongylodes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Buglossoides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gilliesii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Callirhoe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Caragana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reniformis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 fasciculata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thyoides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Chelidonium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Chilopsis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Cicuta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Claytonia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Clethra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Clitoria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texanus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carolinus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boissieri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sulphureus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brevidens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 var.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monanthogynus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texensis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Cynoglossum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ajacis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Dichondra repens var.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Diervilla lonicera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Dipsacus fullonum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Dolichandra unguis-cati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Echinocactus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Eleutherococcus sieboldianus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Ephedra 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atropurpureus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corollata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cyparissias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milii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Eysenhardtia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Foeniculum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Forestiera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Fouquieria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Franseria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Froelichia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Garrya flavescens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Gelsemium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Geum aleppicum var. strictum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bipinnatifida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Gordonia lasianthus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Gymnocladus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autumnale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Helianthemum nummularium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maximiliani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Heliopsis helianthoides var.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Heliopsis helianthoides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Hieracium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Houstonia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Hydrastis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cassine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vomitoria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nil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quamoclit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deppeana var. pachyphloea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 var. silicicola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Kerria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Krameria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Kuhnia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horrida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Lappula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Lesquerella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Leucophyllum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pycnostachya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lewisii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rigidum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sulcatum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Lippia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Lithospermum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inflata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siphilitica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morrowii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tatarica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subcarnosus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carolineanum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Malvaviscus arboreus var.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Malvella leprosa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Mammillaria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truncatula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 var.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Mentzelia laevicaulis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nyctaginea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Nandina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gaura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suffrutescens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Oncoba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cobaea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Philadelphus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Pilosella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Pimpinella anisum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Platycladus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Plectocephalus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 louisianica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tenuiflora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phellos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Ratibida columnifera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catawbiense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copallinum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Rivina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 var.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racemosa subsp. pubens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vesicaria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Sesuvium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Shepherdia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lanuginosum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antirrhina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Silphium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secundiflora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Stillingia linearifolia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Strophostyles helvola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Symplocos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 var. mandschurica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stans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Triodanis perfoliata subsp.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thomasii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 subsp.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farnesiana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blattaria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encelioides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Veronicastrum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 subsp.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Viguiera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Vincetoxicum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Weigela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saccharatum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Phymatotrichopsis omnivora </w:t>
      </w:r>
      <w:r>
        <w:rPr>
          <w:rFonts w:ascii="Calibri" w:hAnsi="Calibri" w:eastAsia="Calibri" w:cs="Calibri"/>
          <w:color w:val="000000"/>
          <w:sz w:val="22"/>
          <w:szCs w:val="22"/>
        </w:rPr>
        <w:t xml:space="preserve">is widespread in the alkaline, calcareous soils of the Southwestern USA and Northern Mexico (Percy, 1983). The fungus is prevalent throughout much of the cotton-growing area of Texas (except for the Caprock escarpment of the Panhandle), and hence the disease is often referred to as ‘cotton root rot’ or ‘Texas root rot’. Other records include recent reports in Venezuela (Colmenares, 2016), as well as older records for the Dominican Republic, India, Libya, Malawi and Pakistan (Lyda, 1972; Mishra, 1953;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Farr &amp; Rossman, 2021). As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is difficult to isolate and identify morphologically, previous reports of distribution outside of the USA and Mexico are considered doubtful and should be confirmed molecularly (Arif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64395399" name="name4174664b2c3488419" descr="PHMPO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POM_distribution_map.jpg"/>
                    <pic:cNvPicPr/>
                  </pic:nvPicPr>
                  <pic:blipFill>
                    <a:blip r:embed="rId8343664b2c348841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Louisiana, Nevada, New Mexico, Oklahoma, Texas, Utah)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not seedborne. The primary inoculum is sclerotia, or strands surviving on roots of host plants. The fungus spreads as fine mycelial strands which traverse the soil and infect other roots. Experiments have shown that strands did not survive for more than 1 year on roots of killed cotton plants remaining in the soil, and strands buried 25 cm deep in the rhizosphere of cotton plants in the field did not survive for more than 3 months. Strands require live cotton roots for overwintering as experiments have shown that strands have poor survival on dead cotton plants. Sclerotia, on the other hand, have been shown to survive for at least 5 years in soil. Strands and sclerotia have been found at depths of 2 m and 2.6 m, respectively (although most occur at 0.5-0.9 m), thus demonstrating that they can tolerate high levels of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The fungus was not eliminated in soil flooded for 120 days. After heavy summer rain, the fungus may come to the soil surface and form large tawny mycelial mats, 10-20 cm in diameter and 0.6 cm thick, on which conidia are borne. These spores probably play no part in dissemination as they rarely germinate. Nothing is known about the possible role of the teleomorph, but recent genome sequencing has shown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heterothallic fungus based on the presence of the mating type genes, MAT1-1-1 or MAT1-2-1, in an isolate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which indicates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may have a yet to be identified sexual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 is an important factor in pathogen survival with relatively high winter temperatures being favourable (Wheeler &amp; Hine, 1972).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analyzed the factors which affect symptom appearance and concluded that root rot is favoured by temperatures over 22°C and relatively high soil moisture. Jeger &amp; Lyda (1986) looked for environmental factors correlating to disease incidence, and identified cumulative precipitation up to the end of the growing season and (inversely) temperatures above 34°C. A threshold criterion based on cumulative precipitation and mean maximum temperature during the preceding 10 days could be used to forecast annual disease incidence. Percy (1983) assessed soil base exchange capacity, pH, sodium content, calcium content and clay fraction, and mean annual air temperature, as factors limiting the occurrence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 map of the potential distribution of the fungus in North America, based on this analysis, was mostly coterminous with the known distribution. In addition, the fungus cannot tolerate soil temperatures below freezing for any appreciable time. Thus, temperature and soil requirements appear to be the factors restricting the natural distribution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the pathogen see Streets (1937) and Streets &amp; Bloss (1973),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on cotton appears in patches in the field and these areas do not necessarily produce a diseased crop the next year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infection of the root system early in the season does not cause above-ground symptoms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1984c). Symptoms only become conspicuous during the summer, as a sudden wilting of the plant, with or without a prior chlorosis of the leaves. The foliage droops, turns brown and may remain hanging on the branches for a few days before dropping off to leave a bare, dead stalk. At this stage, the roots are dead and their surface is covered with a network of yellow-brown fungal strands. If there is abundant water, brown to black wart-like sclerotia are also seen on the surface roots. The cortex of the killed roots is soft and readily peels. The conidial stage develops on the ground, near the margin of the zone of dying plants in the form of cushion-like, creamy yellowish masses. These spore mats are not, however, often found in cotton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In a perennial crop such as alfalfa, the disease will continue to spread throughout each sequential growing season, with up to 30% stand loss occurring over a single year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Surviving alfalfa plants compensated for damage or loss to the taproot through the development of more lateral and crown roots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unicellular, hyaline, globose (4.8-5.5 µm in diameter) or ovate (6-8 x 5-6 µm). Mycelial strands about 200 µm in diameter, bearing acicular hyphae, with distinctive cruciform branches emanating from the peripheral mycelium. Sclerotia irregular in shape, brown to black, 1-5 mm in diameter.</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detailed information is given by Streets (1937) and Streets &amp; Bloss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Genome</w:t>
      </w:r>
    </w:p>
    <w:p>
      <w:pPr>
        <w:widowControl w:val="on"/>
        <w:pBdr/>
        <w:spacing w:before="220" w:after="220" w:line="240" w:lineRule="auto"/>
        <w:ind w:left="0" w:right="0"/>
        <w:jc w:val="both"/>
      </w:pPr>
      <w:r>
        <w:rPr>
          <w:rFonts w:ascii="Calibri" w:hAnsi="Calibri" w:eastAsia="Calibri" w:cs="Calibri"/>
          <w:color w:val="000000"/>
          <w:sz w:val="22"/>
          <w:szCs w:val="22"/>
        </w:rPr>
        <w:t xml:space="preserve">Four isolates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have been sequenced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Interestingly, the draft genome assemblies of the four isolates sequenced revealed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genome is bigger than most other fungal genomes. The genome size among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isolates ranged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107 to 109 Mb. Approximately 38% to 40% of the genome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are repeat sequences.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yellow-brown parallel strands of mycelium visible with a hand-lens on rotted roots of host plants are characteristic. PCR- and real-time PCR-based methods have been developed to detect the pathogen in root tissues for ease of detection (Arif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as a soilborne pathogen,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omnivora</w:t>
      </w:r>
      <w:r>
        <w:rPr>
          <w:rFonts w:ascii="Calibri" w:hAnsi="Calibri" w:eastAsia="Calibri" w:cs="Calibri"/>
          <w:color w:val="000000"/>
          <w:sz w:val="22"/>
          <w:szCs w:val="22"/>
        </w:rPr>
        <w:t xml:space="preserve"> has low dispersal potential. It persists at certain locations where soil conditions are favourable and does not readily spread beyond the vicinity of the host plant.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could be transported by human-assisted means, with soil or on roots of infected host plants. Locally, it may be spread with soil associated to agricultural machinery. In North America, internal quarantine measures have been applied to prevent spread into non-infested areas, but it is likely that the fungus has reached its natural limits in any case. The risk of intercontinental introduction is mainly with trade of hosts other than cotton since cotton plants are not usually moved in trade. Seeds are not a pathway as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omnivora </w:t>
      </w:r>
      <w:r>
        <w:rPr>
          <w:rFonts w:ascii="Calibri" w:hAnsi="Calibri" w:eastAsia="Calibri" w:cs="Calibri"/>
          <w:color w:val="000000"/>
          <w:sz w:val="22"/>
          <w:szCs w:val="22"/>
        </w:rPr>
        <w:t xml:space="preserve">is not seed-borne, and traded seeds should be free from soil. There are no records of the fungus being intercepted in internationally traded consignments, at least in the EU (EFSA PHL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 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most serious on cotton and on this host it kills plants before maturity, reduces yield and quality by killing partly developed bolls and reduces lint quality in plants which survive until harvest. Mulrean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have analysed the elements of yield loss in cotton. Each year, it is estimated that 2% of the cotton yield in Texas (USA) is lost to root rot (Watkins, 1981). Cotton cultivation has been abandoned in some cases on soils that are most favourable to the fungus.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also causes significant economic losses to alfalfa cultivation in Southern Oklahoma and Northern Texas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Unlike cotton, alfalfa is a perennial crop, and the root rot disease persists year after year and the disease areas increase over time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Because of this disease, farmers are reluctant to grow alfalfa in affected areas of Oklahoma and Texas.</w:t>
      </w:r>
    </w:p>
    <w:p>
      <w:pPr>
        <w:widowControl w:val="on"/>
        <w:pBdr/>
        <w:spacing w:before="220" w:after="220" w:line="240" w:lineRule="auto"/>
        <w:ind w:left="0" w:right="0"/>
        <w:jc w:val="both"/>
      </w:pPr>
      <w:r>
        <w:rPr>
          <w:rFonts w:ascii="Calibri" w:hAnsi="Calibri" w:eastAsia="Calibri" w:cs="Calibri"/>
          <w:color w:val="000000"/>
          <w:sz w:val="22"/>
          <w:szCs w:val="22"/>
        </w:rPr>
        <w:t xml:space="preserve">On sunflowers,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delays seed germination, and this combined with late planting may result in significant losses (Orellana, 1973). The references to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in the APS Compendia of Plant Diseases (Riggs 2001;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give a partial view of the situation on other crops. Winter-grown annual crops (such as sugarbeet) escape disease. Apples, peaches, pecans, grapes, and in Mexico, mangoes and avocados, suffer significant losses.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major constraint to apple cultivation in Texas.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have been severely attacked. The disease is only minor on citrus, roses and Rhododendron. It is not damaging on sweet potatoes or groundnuts. In general, there is relatively little information on hosts other than cotton and alfalfa in the research literature, which suggests that, though many are attacked by the fungus, relatively few suffer significant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occurs particularly on heavy calcareous soils.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nitrogenous manuring and deep cultivation reduce losses. The disease on cotton is mainly controlled by rotation with non-host plants (e.g. with sorghum) and cultural practices such as early planting, to allow the crop to establish and start boll formation before root rot becomes significant.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Chemicals can be used to control the fungus in the soil. The standard soil treatments have been reported to be effective as have drenches with fungicides such as the benzimidazoles. Such treatments would be too costly for field crops but might be suitable for land on which a high-value horticultural crop was to be grown. Only the soil directly treated is affected, and experience shows that after a certain time this soil is recontaminated by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coming from deeper soil layers. Thus, it is doubtful whether such treatments would be effective enough to be used for eradication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Recently, flutriafol (triazole fungicide) has been used to successfully control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in cotton fields in the USA (Chitrampalam &amp; Olsen, 2014;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fungicide is applied in the furrows while planting cotton seeds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Yang, 2020). It has also been approved in 2020 for use in alfalfa in the USA. This is the only chemical active substance on the market labelled for management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varietal resistance has not been found in the major hosts. There is considerable research interest in antagonistic fungi which colonize and destroy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sclerotia (e.g. Kenerley &amp; Stack, 1987, Martínez-Escudero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but this is not yet applied in practice.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polyphagous pathogen which causes important damage on crops such as cotton, alfalfa, apple, peach and grapevine. It would be very difficult to control if introduced in the EPPO region.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concluded that it met the criteria to be a quarantine pest for the EU. In view of the temperature and soil factors which appear to limit the distribution of the pest in North America (see Biology), potential distribution in other continents would mainly be in the warmer wetter areas (South America, Africa, India). In the EPPO region, the cotton-growing countries of the Mediterranean basin would be more likely to be affected than the more continental areas e.g. of Central Asia. With respect to other host plants, the risk is much greater for North Africa and Southern Europe than for Northern or Eastern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prohibit the importation of soil from areas where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occurs. This implies that no soil should accompany plants for planting imported from those areas. However, inorganic or sterilized growing media could, if necessary, be accepted, or other safeguards to ensure that there is no possibility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could be present in the growing medium. EPPO Standard PM 8/1 on potato notes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can be present in soil attached to potato tubers and recommends that tubers should be free from plant debris and from soil. This is also valid for bulbs and root vegetables.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Arif M, Dobhal S, Garrido P, Orquera G, Espindola A, Young C, Ochoa-Corona F, Marek S, Garzon C (2014) Highly sensitive end-point PCR and SYBR Green qPCR detection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causal fungus of cotton root 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 1205-1212.</w:t>
      </w:r>
    </w:p>
    <w:p>
      <w:pPr>
        <w:widowControl w:val="on"/>
        <w:pBdr/>
        <w:spacing w:before="220" w:after="220" w:line="240" w:lineRule="auto"/>
        <w:ind w:left="0" w:right="0"/>
        <w:jc w:val="left"/>
      </w:pPr>
      <w:r>
        <w:rPr>
          <w:rFonts w:ascii="Calibri" w:hAnsi="Calibri" w:eastAsia="Calibri" w:cs="Calibri"/>
          <w:color w:val="000000"/>
          <w:sz w:val="22"/>
          <w:szCs w:val="22"/>
        </w:rPr>
        <w:t xml:space="preserve">Chitrampalam P, Olsen MW (2014) Genetic diversity and fungicide sensitivity of </w:t>
      </w:r>
      <w:r>
        <w:rPr>
          <w:rFonts w:ascii="Calibri" w:hAnsi="Calibri" w:eastAsia="Calibri" w:cs="Calibri"/>
          <w:i/>
          <w:iCs/>
          <w:color w:val="000000"/>
          <w:sz w:val="22"/>
          <w:szCs w:val="22"/>
        </w:rPr>
        <w:t xml:space="preserve">Phymatotrichopsis omnivora </w:t>
      </w:r>
      <w:r>
        <w:rPr>
          <w:rFonts w:ascii="Calibri" w:hAnsi="Calibri" w:eastAsia="Calibri" w:cs="Calibri"/>
          <w:color w:val="000000"/>
          <w:sz w:val="22"/>
          <w:szCs w:val="22"/>
        </w:rPr>
        <w:t xml:space="preserve">isolates from cotton in Arizona. </w:t>
      </w:r>
      <w:r>
        <w:rPr>
          <w:rFonts w:ascii="Calibri" w:hAnsi="Calibri" w:eastAsia="Calibri" w:cs="Calibri"/>
          <w:i/>
          <w:iCs/>
          <w:color w:val="000000"/>
          <w:sz w:val="22"/>
          <w:szCs w:val="22"/>
        </w:rPr>
        <w:t xml:space="preserve">University of Arizona Cooperative Extension Report</w:t>
      </w:r>
      <w:r>
        <w:rPr>
          <w:rFonts w:ascii="Calibri" w:hAnsi="Calibri" w:eastAsia="Calibri" w:cs="Calibri"/>
          <w:color w:val="000000"/>
          <w:sz w:val="22"/>
          <w:szCs w:val="22"/>
        </w:rPr>
        <w:t xml:space="preserve">, az1655.</w:t>
      </w:r>
    </w:p>
    <w:p>
      <w:pPr>
        <w:widowControl w:val="on"/>
        <w:pBdr/>
        <w:spacing w:before="220" w:after="220" w:line="240" w:lineRule="auto"/>
        <w:ind w:left="0" w:right="0"/>
        <w:jc w:val="left"/>
      </w:pPr>
      <w:r>
        <w:rPr>
          <w:rFonts w:ascii="Calibri" w:hAnsi="Calibri" w:eastAsia="Calibri" w:cs="Calibri"/>
          <w:color w:val="000000"/>
          <w:sz w:val="22"/>
          <w:szCs w:val="22"/>
        </w:rPr>
        <w:t xml:space="preserve">Colmenares CAM (2016) Peach root rot-</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Available online: </w:t>
      </w:r>
      <w:hyperlink r:id="rId6302664b2c348939d" w:history="1">
        <w:r>
          <w:rPr>
            <w:rFonts w:ascii="Calibri" w:hAnsi="Calibri" w:eastAsia="Calibri" w:cs="Calibri"/>
            <w:color w:val="0000CC"/>
            <w:sz w:val="22"/>
            <w:szCs w:val="22"/>
            <w:u w:val="single"/>
          </w:rPr>
          <w:t xml:space="preserve">https://www.engormix.com/agricultura/articulos/peach-root-rot-phymatotrichopsis-t39833.htm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MacLeod A, Sven Magnusson C, Milonas P, Navas-Cortes JA, Parnell S, Potting R, Reignault PL, Thulke H-H, Van der Werf W, Yuen J, Zappal_a L, Jeger M, Vloutoglou I, Bottex B, Vicent Civera A (2019) Scientific Opinion on the pest categorisation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(3):5619, 33 pp. </w:t>
      </w:r>
      <w:hyperlink r:id="rId2345664b2c348943c" w:history="1">
        <w:r>
          <w:rPr>
            <w:rFonts w:ascii="Calibri" w:hAnsi="Calibri" w:eastAsia="Calibri" w:cs="Calibri"/>
            <w:color w:val="0000CC"/>
            <w:sz w:val="22"/>
            <w:szCs w:val="22"/>
            <w:u w:val="single"/>
          </w:rPr>
          <w:t xml:space="preserve">https://doi.org/10.2903/j.efsa.2019.5619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Commodity-specific phytosanitary measures for potato. Available at </w:t>
      </w:r>
      <w:hyperlink r:id="rId3187664b2c3489470" w:history="1">
        <w:r>
          <w:rPr>
            <w:rFonts w:ascii="Calibri" w:hAnsi="Calibri" w:eastAsia="Calibri" w:cs="Calibri"/>
            <w:color w:val="0000CC"/>
            <w:sz w:val="22"/>
            <w:szCs w:val="22"/>
            <w:u w:val="single"/>
          </w:rPr>
          <w:t xml:space="preserve">https://gd.eppo.int/standards/PM8/</w:t>
        </w:r>
        <w:r>
          <w:rPr>
            <w:rFonts w:ascii="Calibri" w:hAnsi="Calibri" w:eastAsia="Calibri" w:cs="Calibri"/>
            <w:i/>
            <w:iCs/>
            <w:color w:val="0000CC"/>
            <w:sz w:val="22"/>
            <w:szCs w:val="22"/>
            <w:u w:val="single"/>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Rossman AY (2021) Fungal Databases, U.S. National Fungus Collections, ARS, USDA. Retrieved December 2, 2021, from </w:t>
      </w:r>
      <w:hyperlink r:id="rId9145664b2c34894bb" w:history="1">
        <w:r>
          <w:rPr>
            <w:rFonts w:ascii="Calibri" w:hAnsi="Calibri" w:eastAsia="Calibri" w:cs="Calibri"/>
            <w:color w:val="0000CC"/>
            <w:sz w:val="22"/>
            <w:szCs w:val="22"/>
            <w:u w:val="single"/>
          </w:rPr>
          <w:t xml:space="preserve">https://nt.ars-grin.gov/fungaldatabases/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Minzenmayer RR, Drake DR, Morgan GD, Mott DA, Fromme DD, Multer W L, Jungman M, Abrameit A (2012) Fungicide management of cotton root rot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Beltwide Cotton Prod. Res. Conf.</w:t>
      </w:r>
      <w:r>
        <w:rPr>
          <w:rFonts w:ascii="Calibri" w:hAnsi="Calibri" w:eastAsia="Calibri" w:cs="Calibri"/>
          <w:color w:val="000000"/>
          <w:sz w:val="22"/>
          <w:szCs w:val="22"/>
        </w:rPr>
        <w:t xml:space="preserve">, 235–237.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MJ, Lyda SD (1986) Epidemics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in cotton: environmental correlates of final incidence and forecasting criteria.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523-534.</w:t>
      </w:r>
    </w:p>
    <w:p>
      <w:pPr>
        <w:widowControl w:val="on"/>
        <w:pBdr/>
        <w:spacing w:before="220" w:after="220" w:line="240" w:lineRule="auto"/>
        <w:ind w:left="0" w:right="0"/>
        <w:jc w:val="left"/>
      </w:pPr>
      <w:r>
        <w:rPr>
          <w:rFonts w:ascii="Calibri" w:hAnsi="Calibri" w:eastAsia="Calibri" w:cs="Calibri"/>
          <w:color w:val="000000"/>
          <w:sz w:val="22"/>
          <w:szCs w:val="22"/>
        </w:rPr>
        <w:t xml:space="preserve">Kankanala P, Jones P, Nandety RS, Jacobson DA, Mysore KS (2020) Plasticity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infection strategies is dependent on host and nonhost plant responses</w:t>
      </w:r>
      <w:r>
        <w:rPr>
          <w:rFonts w:ascii="Calibri" w:hAnsi="Calibri" w:eastAsia="Calibri" w:cs="Calibri"/>
          <w:i/>
          <w:iCs/>
          <w:color w:val="000000"/>
          <w:sz w:val="22"/>
          <w:szCs w:val="22"/>
        </w:rPr>
        <w:t xml:space="preserve">. Plant Cell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1084–1101.</w:t>
      </w:r>
    </w:p>
    <w:p>
      <w:pPr>
        <w:widowControl w:val="on"/>
        <w:pBdr/>
        <w:spacing w:before="220" w:after="220" w:line="240" w:lineRule="auto"/>
        <w:ind w:left="0" w:right="0"/>
        <w:jc w:val="left"/>
      </w:pPr>
      <w:r>
        <w:rPr>
          <w:rFonts w:ascii="Calibri" w:hAnsi="Calibri" w:eastAsia="Calibri" w:cs="Calibri"/>
          <w:color w:val="000000"/>
          <w:sz w:val="22"/>
          <w:szCs w:val="22"/>
        </w:rPr>
        <w:t xml:space="preserve">Kenerley CM, Stack JP (1987) Influence of assessment methods on selection of fungal antagonists of the sclerotium-forming fungus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33, 632-635.</w:t>
      </w:r>
    </w:p>
    <w:p>
      <w:pPr>
        <w:widowControl w:val="on"/>
        <w:pBdr/>
        <w:spacing w:before="220" w:after="220" w:line="240" w:lineRule="auto"/>
        <w:ind w:left="0" w:right="0"/>
        <w:jc w:val="left"/>
      </w:pPr>
      <w:r>
        <w:rPr>
          <w:rFonts w:ascii="Calibri" w:hAnsi="Calibri" w:eastAsia="Calibri" w:cs="Calibri"/>
          <w:color w:val="000000"/>
          <w:sz w:val="22"/>
          <w:szCs w:val="22"/>
        </w:rPr>
        <w:t xml:space="preserve">Lyda SD (1972) Root rot of cotton in the United States and West Pakistan. </w:t>
      </w:r>
      <w:r>
        <w:rPr>
          <w:rFonts w:ascii="Calibri" w:hAnsi="Calibri" w:eastAsia="Calibri" w:cs="Calibri"/>
          <w:i/>
          <w:iCs/>
          <w:color w:val="000000"/>
          <w:sz w:val="22"/>
          <w:szCs w:val="22"/>
        </w:rPr>
        <w:t xml:space="preserve">Proc. Beltwide Cotton Prod. Res. Conf.</w:t>
      </w:r>
      <w:r>
        <w:rPr>
          <w:rFonts w:ascii="Calibri" w:hAnsi="Calibri" w:eastAsia="Calibri" w:cs="Calibri"/>
          <w:color w:val="000000"/>
          <w:sz w:val="22"/>
          <w:szCs w:val="22"/>
        </w:rPr>
        <w:t xml:space="preserve"> 32, 22-23.</w:t>
      </w:r>
    </w:p>
    <w:p>
      <w:pPr>
        <w:widowControl w:val="on"/>
        <w:pBdr/>
        <w:spacing w:before="220" w:after="220" w:line="240" w:lineRule="auto"/>
        <w:ind w:left="0" w:right="0"/>
        <w:jc w:val="left"/>
      </w:pPr>
      <w:r>
        <w:rPr>
          <w:rFonts w:ascii="Calibri" w:hAnsi="Calibri" w:eastAsia="Calibri" w:cs="Calibri"/>
          <w:color w:val="000000"/>
          <w:sz w:val="22"/>
          <w:szCs w:val="22"/>
        </w:rPr>
        <w:t xml:space="preserve">Marek SM, Hansen K, Romanish M, Thorn RG (2009) Molecular systematics of the cotton root rot pathogen,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63-74.</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Martínez-Escudero LE, Melgoza-Castillo A, Pérez-Leal R, Ortega-Rodríguez A, Villalobos-Pérez E (2016) Estado del arte Phymatotrichopsis omnivora (SHEAR) duggar, revisión y actualidad. Revista Biológico Agropecuaria Tuxpan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103-114.</w:t>
      </w:r>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Moffet C, Shah K, Young CA (2018) Supervised classification of RGB aerial imagery acquired by manned and unmanned aircrafts to evaluate a root rot disease. </w:t>
      </w:r>
      <w:r>
        <w:rPr>
          <w:rFonts w:ascii="Calibri" w:hAnsi="Calibri" w:eastAsia="Calibri" w:cs="Calibri"/>
          <w:i/>
          <w:iCs/>
          <w:color w:val="000000"/>
          <w:sz w:val="22"/>
          <w:szCs w:val="22"/>
        </w:rPr>
        <w:t xml:space="preserve">Remote Sensing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917. DOI:org/10.3390/rs10060917 </w:t>
      </w:r>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Seethepalli A, York LM, Young CA (2019) Digital imaging to evaluate root system architectural changes associated with soil biotic factors. </w:t>
      </w:r>
      <w:r>
        <w:rPr>
          <w:rFonts w:ascii="Calibri" w:hAnsi="Calibri" w:eastAsia="Calibri" w:cs="Calibri"/>
          <w:i/>
          <w:iCs/>
          <w:color w:val="000000"/>
          <w:sz w:val="22"/>
          <w:szCs w:val="22"/>
        </w:rPr>
        <w:t xml:space="preserve">Phytobiomes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102-11 </w:t>
      </w:r>
      <w:hyperlink r:id="rId1962664b2c3489849" w:history="1">
        <w:r>
          <w:rPr>
            <w:rFonts w:ascii="Calibri" w:hAnsi="Calibri" w:eastAsia="Calibri" w:cs="Calibri"/>
            <w:color w:val="0000CC"/>
            <w:sz w:val="22"/>
            <w:szCs w:val="22"/>
            <w:u w:val="single"/>
          </w:rPr>
          <w:t xml:space="preserve">https://doi.org/10.1094/PBIOMES-12-18-0062-R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Shiller J, Kankanala P, Krom ND, Marek S, Mysore KS, Young C (2021) The first genomic resources for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a soilborne pezizomycete pathogen with a broad host range.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(early view) </w:t>
      </w:r>
      <w:hyperlink r:id="rId1622664b2c34898bd" w:history="1">
        <w:r>
          <w:rPr>
            <w:rFonts w:ascii="Calibri" w:hAnsi="Calibri" w:eastAsia="Calibri" w:cs="Calibri"/>
            <w:color w:val="0000CC"/>
            <w:sz w:val="22"/>
            <w:szCs w:val="22"/>
            <w:u w:val="single"/>
          </w:rPr>
          <w:t xml:space="preserve">https://doi.org/10.1094/PHYTO-01-21-0014-A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Mulrean EN, Hine RB, Mueller JP (1984) Effect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on yield and seed and lint quality in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(5), 381-383.</w:t>
      </w:r>
    </w:p>
    <w:p>
      <w:pPr>
        <w:widowControl w:val="on"/>
        <w:pBdr/>
        <w:spacing w:before="220" w:after="220" w:line="240" w:lineRule="auto"/>
        <w:ind w:left="0" w:right="0"/>
        <w:jc w:val="left"/>
      </w:pPr>
      <w:r>
        <w:rPr>
          <w:rFonts w:ascii="Calibri" w:hAnsi="Calibri" w:eastAsia="Calibri" w:cs="Calibri"/>
          <w:color w:val="000000"/>
          <w:sz w:val="22"/>
          <w:szCs w:val="22"/>
        </w:rPr>
        <w:t xml:space="preserve">Norton R, Olsen MW, Mostafa A (2014) Efficacy of flutriafol fungicide for control of cotton root rot in Arizona in 2012 and 2013 field trials. </w:t>
      </w:r>
      <w:r>
        <w:rPr>
          <w:rFonts w:ascii="Calibri" w:hAnsi="Calibri" w:eastAsia="Calibri" w:cs="Calibri"/>
          <w:i/>
          <w:iCs/>
          <w:color w:val="000000"/>
          <w:sz w:val="22"/>
          <w:szCs w:val="22"/>
        </w:rPr>
        <w:t xml:space="preserve">Beltwide Cotton Prod. Res. Conf.</w:t>
      </w:r>
      <w:r>
        <w:rPr>
          <w:rFonts w:ascii="Calibri" w:hAnsi="Calibri" w:eastAsia="Calibri" w:cs="Calibri"/>
          <w:color w:val="000000"/>
          <w:sz w:val="22"/>
          <w:szCs w:val="22"/>
        </w:rPr>
        <w:t xml:space="preserve"> poster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Orellana RG (1973) Sources of resistance to a soilborne fungal disease complex of sunflowers.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57, 318-320.</w:t>
      </w:r>
    </w:p>
    <w:p>
      <w:pPr>
        <w:widowControl w:val="on"/>
        <w:pBdr/>
        <w:spacing w:before="220" w:after="220" w:line="240" w:lineRule="auto"/>
        <w:ind w:left="0" w:right="0"/>
        <w:jc w:val="left"/>
      </w:pPr>
      <w:r>
        <w:rPr>
          <w:rFonts w:ascii="Calibri" w:hAnsi="Calibri" w:eastAsia="Calibri" w:cs="Calibri"/>
          <w:color w:val="000000"/>
          <w:sz w:val="22"/>
          <w:szCs w:val="22"/>
        </w:rPr>
        <w:t xml:space="preserve">Percy RG (1983) Potential range of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as determined by edaphic factors.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(9), 981-983.</w:t>
      </w:r>
    </w:p>
    <w:p>
      <w:pPr>
        <w:widowControl w:val="on"/>
        <w:pBdr/>
        <w:spacing w:before="220" w:after="220" w:line="240" w:lineRule="auto"/>
        <w:ind w:left="0" w:right="0"/>
        <w:jc w:val="left"/>
      </w:pPr>
      <w:r>
        <w:rPr>
          <w:rFonts w:ascii="Calibri" w:hAnsi="Calibri" w:eastAsia="Calibri" w:cs="Calibri"/>
          <w:color w:val="000000"/>
          <w:sz w:val="22"/>
          <w:szCs w:val="22"/>
        </w:rPr>
        <w:t xml:space="preserve">Riggs JL (2001)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In: Kirkpatrick, T.L.; Rothrock, C.S. (Editors)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pp. 31-33,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Gerik TJ, Lyda SD (1984 a) Factors affecting symptom appearance and development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of cotton.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(12), 1466-1469.</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Gerik TJ, Lyda SD (1984 b) Interactions between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68(6), 500-501.</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Lyda SD, Gerik TJ (1984 c) The relationship between time of cortical senescence and foliar symptom development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of cotton.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74, 1464-1466.</w:t>
      </w:r>
    </w:p>
    <w:p>
      <w:pPr>
        <w:widowControl w:val="on"/>
        <w:pBdr/>
        <w:spacing w:before="220" w:after="220" w:line="240" w:lineRule="auto"/>
        <w:ind w:left="0" w:right="0"/>
        <w:jc w:val="left"/>
      </w:pPr>
      <w:r>
        <w:rPr>
          <w:rFonts w:ascii="Calibri" w:hAnsi="Calibri" w:eastAsia="Calibri" w:cs="Calibri"/>
          <w:color w:val="000000"/>
          <w:sz w:val="22"/>
          <w:szCs w:val="22"/>
        </w:rPr>
        <w:t xml:space="preserve">Streets RB (1937)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(cotton or Texas) root rot in Arizona. </w:t>
      </w:r>
      <w:r>
        <w:rPr>
          <w:rFonts w:ascii="Calibri" w:hAnsi="Calibri" w:eastAsia="Calibri" w:cs="Calibri"/>
          <w:i/>
          <w:iCs/>
          <w:color w:val="000000"/>
          <w:sz w:val="22"/>
          <w:szCs w:val="22"/>
        </w:rPr>
        <w:t xml:space="preserve">Technical Bulletin, Arizona University College of Agriculture</w:t>
      </w:r>
      <w:r>
        <w:rPr>
          <w:rFonts w:ascii="Calibri" w:hAnsi="Calibri" w:eastAsia="Calibri" w:cs="Calibri"/>
          <w:color w:val="000000"/>
          <w:sz w:val="22"/>
          <w:szCs w:val="22"/>
        </w:rPr>
        <w:t xml:space="preserve"> No. 71. Available from </w:t>
      </w:r>
      <w:hyperlink r:id="rId2290664b2c3489d02" w:history="1">
        <w:r>
          <w:rPr>
            <w:rFonts w:ascii="Calibri" w:hAnsi="Calibri" w:eastAsia="Calibri" w:cs="Calibri"/>
            <w:color w:val="0000CC"/>
            <w:sz w:val="22"/>
            <w:szCs w:val="22"/>
            <w:u w:val="single"/>
          </w:rPr>
          <w:t xml:space="preserve">https://repository.arizona.edu/handle/10150/190524</w:t>
        </w:r>
      </w:hyperlink>
      <w:r>
        <w:rPr>
          <w:rFonts w:ascii="Calibri" w:hAnsi="Calibri" w:eastAsia="Calibri" w:cs="Calibri"/>
          <w:color w:val="000000"/>
          <w:sz w:val="22"/>
          <w:szCs w:val="22"/>
        </w:rPr>
        <w:t xml:space="preserve"> (last accessed in 2021-12-10)</w:t>
      </w:r>
    </w:p>
    <w:p>
      <w:pPr>
        <w:widowControl w:val="on"/>
        <w:pBdr/>
        <w:spacing w:before="220" w:after="220" w:line="240" w:lineRule="auto"/>
        <w:ind w:left="0" w:right="0"/>
        <w:jc w:val="left"/>
      </w:pPr>
      <w:r>
        <w:rPr>
          <w:rFonts w:ascii="Calibri" w:hAnsi="Calibri" w:eastAsia="Calibri" w:cs="Calibri"/>
          <w:color w:val="000000"/>
          <w:sz w:val="22"/>
          <w:szCs w:val="22"/>
        </w:rPr>
        <w:t xml:space="preserve">Streets RB, Bloss HE (1973) Phymatotrichum root rot. </w:t>
      </w:r>
      <w:r>
        <w:rPr>
          <w:rFonts w:ascii="Calibri" w:hAnsi="Calibri" w:eastAsia="Calibri" w:cs="Calibri"/>
          <w:i/>
          <w:iCs/>
          <w:color w:val="000000"/>
          <w:sz w:val="22"/>
          <w:szCs w:val="22"/>
        </w:rPr>
        <w:t xml:space="preserve">Monographs of the American Phytopathological Society</w:t>
      </w:r>
      <w:r>
        <w:rPr>
          <w:rFonts w:ascii="Calibri" w:hAnsi="Calibri" w:eastAsia="Calibri" w:cs="Calibri"/>
          <w:color w:val="000000"/>
          <w:sz w:val="22"/>
          <w:szCs w:val="22"/>
        </w:rPr>
        <w:t xml:space="preserve"> No. 8, 38 pp.</w:t>
      </w:r>
    </w:p>
    <w:p>
      <w:pPr>
        <w:widowControl w:val="on"/>
        <w:pBdr/>
        <w:spacing w:before="220" w:after="220" w:line="240" w:lineRule="auto"/>
        <w:ind w:left="0" w:right="0"/>
        <w:jc w:val="left"/>
      </w:pPr>
      <w:r>
        <w:rPr>
          <w:rFonts w:ascii="Calibri" w:hAnsi="Calibri" w:eastAsia="Calibri" w:cs="Calibri"/>
          <w:color w:val="000000"/>
          <w:sz w:val="22"/>
          <w:szCs w:val="22"/>
        </w:rPr>
        <w:t xml:space="preserve">Uppalapati SR, Young CA, Marek SM, Mysore KS (2010)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(cotton) root rot caused by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Retrospects and prospects.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325-334.</w:t>
      </w:r>
    </w:p>
    <w:p>
      <w:pPr>
        <w:widowControl w:val="on"/>
        <w:pBdr/>
        <w:spacing w:before="220" w:after="220" w:line="240" w:lineRule="auto"/>
        <w:ind w:left="0" w:right="0"/>
        <w:jc w:val="left"/>
      </w:pPr>
      <w:r>
        <w:rPr>
          <w:rFonts w:ascii="Calibri" w:hAnsi="Calibri" w:eastAsia="Calibri" w:cs="Calibri"/>
          <w:color w:val="000000"/>
          <w:sz w:val="22"/>
          <w:szCs w:val="22"/>
        </w:rPr>
        <w:t xml:space="preserve">Watkins, G.M. (Editor) (1981)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JE, Hine RB (1972) Influence of soil temperature and moisture on survival and growth of strands of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828-832.</w:t>
      </w:r>
    </w:p>
    <w:p>
      <w:pPr>
        <w:widowControl w:val="on"/>
        <w:pBdr/>
        <w:spacing w:before="220" w:after="220" w:line="240" w:lineRule="auto"/>
        <w:ind w:left="0" w:right="0"/>
        <w:jc w:val="left"/>
      </w:pPr>
      <w:r>
        <w:rPr>
          <w:rFonts w:ascii="Calibri" w:hAnsi="Calibri" w:eastAsia="Calibri" w:cs="Calibri"/>
          <w:color w:val="000000"/>
          <w:sz w:val="22"/>
          <w:szCs w:val="22"/>
        </w:rPr>
        <w:t xml:space="preserve">Whitson RS, Hine RB (1986) Activity of propiconazole and other sterol-inhibiting fungicides against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(2), 130-133.</w:t>
      </w:r>
    </w:p>
    <w:p>
      <w:pPr>
        <w:widowControl w:val="on"/>
        <w:pBdr/>
        <w:spacing w:before="220" w:after="220" w:line="240" w:lineRule="auto"/>
        <w:ind w:left="0" w:right="0"/>
        <w:jc w:val="left"/>
      </w:pPr>
      <w:r>
        <w:rPr>
          <w:rFonts w:ascii="Calibri" w:hAnsi="Calibri" w:eastAsia="Calibri" w:cs="Calibri"/>
          <w:color w:val="000000"/>
          <w:sz w:val="22"/>
          <w:szCs w:val="22"/>
        </w:rPr>
        <w:t xml:space="preserve">Yang C (2020) Remote sensing and precision agriculture technologies for crop disease detection and management with a practical application example. </w:t>
      </w:r>
      <w:r>
        <w:rPr>
          <w:rFonts w:ascii="Calibri" w:hAnsi="Calibri" w:eastAsia="Calibri" w:cs="Calibri"/>
          <w:i/>
          <w:iCs/>
          <w:color w:val="000000"/>
          <w:sz w:val="22"/>
          <w:szCs w:val="22"/>
        </w:rPr>
        <w:t xml:space="preserve">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 528-532.</w:t>
      </w:r>
    </w:p>
    <w:p>
      <w:pPr>
        <w:widowControl w:val="on"/>
        <w:pBdr/>
        <w:spacing w:before="220" w:after="220" w:line="240" w:lineRule="auto"/>
        <w:ind w:left="0" w:right="0"/>
        <w:jc w:val="left"/>
      </w:pPr>
      <w:r>
        <w:rPr>
          <w:rFonts w:ascii="Calibri" w:hAnsi="Calibri" w:eastAsia="Calibri" w:cs="Calibri"/>
          <w:color w:val="000000"/>
          <w:sz w:val="22"/>
          <w:szCs w:val="22"/>
        </w:rPr>
        <w:t xml:space="preserve">Young CA, Uppalapati SR, Mysore KS, Marek SM (2014) </w:t>
      </w:r>
      <w:r>
        <w:rPr>
          <w:rFonts w:ascii="Calibri" w:hAnsi="Calibri" w:eastAsia="Calibri" w:cs="Calibri"/>
          <w:i/>
          <w:iCs/>
          <w:color w:val="000000"/>
          <w:sz w:val="22"/>
          <w:szCs w:val="22"/>
        </w:rPr>
        <w:t xml:space="preserve">Phymatotrichopsis</w:t>
      </w:r>
      <w:r>
        <w:rPr>
          <w:rFonts w:ascii="Calibri" w:hAnsi="Calibri" w:eastAsia="Calibri" w:cs="Calibri"/>
          <w:color w:val="000000"/>
          <w:sz w:val="22"/>
          <w:szCs w:val="22"/>
        </w:rPr>
        <w:t xml:space="preserve"> root rot. In </w:t>
      </w:r>
      <w:r>
        <w:rPr>
          <w:rFonts w:ascii="Calibri" w:hAnsi="Calibri" w:eastAsia="Calibri" w:cs="Calibri"/>
          <w:i/>
          <w:iCs/>
          <w:color w:val="000000"/>
          <w:sz w:val="22"/>
          <w:szCs w:val="22"/>
        </w:rPr>
        <w:t xml:space="preserve">Compendium of Alfalfa Diseases and Pests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Third Edition</w:t>
      </w:r>
      <w:r>
        <w:rPr>
          <w:rFonts w:ascii="Calibri" w:hAnsi="Calibri" w:eastAsia="Calibri" w:cs="Calibri"/>
          <w:color w:val="000000"/>
          <w:sz w:val="22"/>
          <w:szCs w:val="22"/>
        </w:rPr>
        <w:t xml:space="preserve">, Deborah Samac, Landon Rhodes, and William Lamp (Editors), APS Press, St. Paul, MN, P. 44-46.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Kirankumar S. Mysore (Oklahoma State University), Stephen Marek (Oklahoma State University) and Carolyn Young (Oklahoma State University).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EPPO datasheets on pests recommended for regulation. Available online. </w:t>
      </w:r>
      <w:hyperlink r:id="rId8149664b2c348a0e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(1979) Data sheets on quarantine organisms No. 21,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91-95. </w:t>
      </w:r>
      <w:hyperlink r:id="rId1488664b2c348a1be" w:history="1">
        <w:r>
          <w:rPr>
            <w:rFonts w:ascii="Calibri" w:hAnsi="Calibri" w:eastAsia="Calibri" w:cs="Calibri"/>
            <w:color w:val="0000CC"/>
            <w:sz w:val="22"/>
            <w:szCs w:val="22"/>
            <w:u w:val="single"/>
          </w:rPr>
          <w:t xml:space="preserve">https://onlinelibrary.wiley.com/doi/epdf/10.1111/j.1365-2338.1979.tb02455.x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9667086" name="name5408664b2c348a2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88664b2c348a2f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916776">
    <w:multiLevelType w:val="hybridMultilevel"/>
    <w:lvl w:ilvl="0" w:tplc="22683629">
      <w:start w:val="1"/>
      <w:numFmt w:val="decimal"/>
      <w:lvlText w:val="%1."/>
      <w:lvlJc w:val="left"/>
      <w:pPr>
        <w:ind w:left="720" w:hanging="360"/>
      </w:pPr>
    </w:lvl>
    <w:lvl w:ilvl="1" w:tplc="22683629" w:tentative="1">
      <w:start w:val="1"/>
      <w:numFmt w:val="lowerLetter"/>
      <w:lvlText w:val="%2."/>
      <w:lvlJc w:val="left"/>
      <w:pPr>
        <w:ind w:left="1440" w:hanging="360"/>
      </w:pPr>
    </w:lvl>
    <w:lvl w:ilvl="2" w:tplc="22683629" w:tentative="1">
      <w:start w:val="1"/>
      <w:numFmt w:val="lowerRoman"/>
      <w:lvlText w:val="%3."/>
      <w:lvlJc w:val="right"/>
      <w:pPr>
        <w:ind w:left="2160" w:hanging="180"/>
      </w:pPr>
    </w:lvl>
    <w:lvl w:ilvl="3" w:tplc="22683629" w:tentative="1">
      <w:start w:val="1"/>
      <w:numFmt w:val="decimal"/>
      <w:lvlText w:val="%4."/>
      <w:lvlJc w:val="left"/>
      <w:pPr>
        <w:ind w:left="2880" w:hanging="360"/>
      </w:pPr>
    </w:lvl>
    <w:lvl w:ilvl="4" w:tplc="22683629" w:tentative="1">
      <w:start w:val="1"/>
      <w:numFmt w:val="lowerLetter"/>
      <w:lvlText w:val="%5."/>
      <w:lvlJc w:val="left"/>
      <w:pPr>
        <w:ind w:left="3600" w:hanging="360"/>
      </w:pPr>
    </w:lvl>
    <w:lvl w:ilvl="5" w:tplc="22683629" w:tentative="1">
      <w:start w:val="1"/>
      <w:numFmt w:val="lowerRoman"/>
      <w:lvlText w:val="%6."/>
      <w:lvlJc w:val="right"/>
      <w:pPr>
        <w:ind w:left="4320" w:hanging="180"/>
      </w:pPr>
    </w:lvl>
    <w:lvl w:ilvl="6" w:tplc="22683629" w:tentative="1">
      <w:start w:val="1"/>
      <w:numFmt w:val="decimal"/>
      <w:lvlText w:val="%7."/>
      <w:lvlJc w:val="left"/>
      <w:pPr>
        <w:ind w:left="5040" w:hanging="360"/>
      </w:pPr>
    </w:lvl>
    <w:lvl w:ilvl="7" w:tplc="22683629" w:tentative="1">
      <w:start w:val="1"/>
      <w:numFmt w:val="lowerLetter"/>
      <w:lvlText w:val="%8."/>
      <w:lvlJc w:val="left"/>
      <w:pPr>
        <w:ind w:left="5760" w:hanging="360"/>
      </w:pPr>
    </w:lvl>
    <w:lvl w:ilvl="8" w:tplc="22683629" w:tentative="1">
      <w:start w:val="1"/>
      <w:numFmt w:val="lowerRoman"/>
      <w:lvlText w:val="%9."/>
      <w:lvlJc w:val="right"/>
      <w:pPr>
        <w:ind w:left="6480" w:hanging="180"/>
      </w:pPr>
    </w:lvl>
  </w:abstractNum>
  <w:abstractNum w:abstractNumId="89916775">
    <w:multiLevelType w:val="hybridMultilevel"/>
    <w:lvl w:ilvl="0" w:tplc="28313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916775">
    <w:abstractNumId w:val="89916775"/>
  </w:num>
  <w:num w:numId="89916776">
    <w:abstractNumId w:val="899167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2738382" Type="http://schemas.microsoft.com/office/2011/relationships/commentsExtended" Target="commentsExtended.xml"/><Relationship Id="rId614648148" Type="http://schemas.microsoft.com/office/2011/relationships/people" Target="people.xml"/><Relationship Id="rId3889664b2c3481641" Type="http://schemas.openxmlformats.org/officeDocument/2006/relationships/hyperlink" Target="https://gd.eppo.int/taxon/PHMPOM/" TargetMode="External"/><Relationship Id="rId9699664b2c34816b1" Type="http://schemas.openxmlformats.org/officeDocument/2006/relationships/hyperlink" Target="https://gd.eppo.int/taxon/PHMPOM/categorization" TargetMode="External"/><Relationship Id="rId6525664b2c34822c3" Type="http://schemas.openxmlformats.org/officeDocument/2006/relationships/hyperlink" Target="https://gd.eppo.int/taxon/PHMPOM/photos" TargetMode="External"/><Relationship Id="rId6302664b2c348939d" Type="http://schemas.openxmlformats.org/officeDocument/2006/relationships/hyperlink" Target="https://www.engormix.com/agricultura/articulos/peach-root-rot-phymatotrichopsis-t39833.htm" TargetMode="External"/><Relationship Id="rId2345664b2c348943c" Type="http://schemas.openxmlformats.org/officeDocument/2006/relationships/hyperlink" Target="https://doi.org/10.2903/j.efsa.2019.5619" TargetMode="External"/><Relationship Id="rId3187664b2c3489470" Type="http://schemas.openxmlformats.org/officeDocument/2006/relationships/hyperlink" Target="https://gd.eppo.int/standards/PM8/" TargetMode="External"/><Relationship Id="rId9145664b2c34894bb" Type="http://schemas.openxmlformats.org/officeDocument/2006/relationships/hyperlink" Target="https://nt.ars-grin.gov/fungaldatabases/" TargetMode="External"/><Relationship Id="rId1962664b2c3489849" Type="http://schemas.openxmlformats.org/officeDocument/2006/relationships/hyperlink" Target="https://doi.org/10.1094/PBIOMES-12-18-0062-R" TargetMode="External"/><Relationship Id="rId1622664b2c34898bd" Type="http://schemas.openxmlformats.org/officeDocument/2006/relationships/hyperlink" Target="https://doi.org/10.1094/PHYTO-01-21-0014-A" TargetMode="External"/><Relationship Id="rId2290664b2c3489d02" Type="http://schemas.openxmlformats.org/officeDocument/2006/relationships/hyperlink" Target="https://repository.arizona.edu/handle/10150/190524" TargetMode="External"/><Relationship Id="rId8149664b2c348a0e9" Type="http://schemas.openxmlformats.org/officeDocument/2006/relationships/hyperlink" Target="https://gd.eppo.int" TargetMode="External"/><Relationship Id="rId1488664b2c348a1be" Type="http://schemas.openxmlformats.org/officeDocument/2006/relationships/hyperlink" Target="https://onlinelibrary.wiley.com/doi/epdf/10.1111/j.1365-2338.1979.tb02455.x" TargetMode="External"/><Relationship Id="rId5043664b2c34821a3" Type="http://schemas.openxmlformats.org/officeDocument/2006/relationships/image" Target="media/imgrId5043664b2c34821a3.jpg"/><Relationship Id="rId8343664b2c3488414" Type="http://schemas.openxmlformats.org/officeDocument/2006/relationships/image" Target="media/imgrId8343664b2c3488414.jpg"/><Relationship Id="rId6288664b2c348a2fb" Type="http://schemas.openxmlformats.org/officeDocument/2006/relationships/image" Target="media/imgrId6288664b2c348a2f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