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obtusus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obtusus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Casey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obtuse sawyer</w:t>
            </w:r>
            <w:hyperlink r:id="rId9227664b3fb5d62a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1688664b3fb5d62e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MONCOB</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Two subspecies of </w:t>
      </w:r>
      <w:r>
        <w:rPr>
          <w:rFonts w:ascii="Calibri" w:hAnsi="Calibri" w:eastAsia="Calibri" w:cs="Calibri"/>
          <w:i/>
          <w:iCs/>
          <w:color w:val="000000"/>
          <w:sz w:val="22"/>
          <w:szCs w:val="22"/>
        </w:rPr>
        <w:t xml:space="preserve">Monochamus obtusus </w:t>
      </w:r>
      <w:r>
        <w:rPr>
          <w:rFonts w:ascii="Calibri" w:hAnsi="Calibri" w:eastAsia="Calibri" w:cs="Calibri"/>
          <w:color w:val="000000"/>
          <w:sz w:val="22"/>
          <w:szCs w:val="22"/>
        </w:rPr>
        <w:t xml:space="preserve">are described by Linsley and Chemsak (1984): </w:t>
      </w:r>
      <w:r>
        <w:rPr>
          <w:rFonts w:ascii="Calibri" w:hAnsi="Calibri" w:eastAsia="Calibri" w:cs="Calibri"/>
          <w:i/>
          <w:iCs/>
          <w:color w:val="000000"/>
          <w:sz w:val="22"/>
          <w:szCs w:val="22"/>
        </w:rPr>
        <w:t xml:space="preserve">M. obtusus obtusus </w:t>
      </w:r>
      <w:r>
        <w:rPr>
          <w:rFonts w:ascii="Calibri" w:hAnsi="Calibri" w:eastAsia="Calibri" w:cs="Calibri"/>
          <w:color w:val="000000"/>
          <w:sz w:val="22"/>
          <w:szCs w:val="22"/>
        </w:rPr>
        <w:t xml:space="preserve">Casey (with a range from Idaho and Washington to Central California, USA) and </w:t>
      </w:r>
      <w:r>
        <w:rPr>
          <w:rFonts w:ascii="Calibri" w:hAnsi="Calibri" w:eastAsia="Calibri" w:cs="Calibri"/>
          <w:i/>
          <w:iCs/>
          <w:color w:val="000000"/>
          <w:sz w:val="22"/>
          <w:szCs w:val="22"/>
        </w:rPr>
        <w:t xml:space="preserve">M. obtusus fulvomaculatus </w:t>
      </w:r>
      <w:r>
        <w:rPr>
          <w:rFonts w:ascii="Calibri" w:hAnsi="Calibri" w:eastAsia="Calibri" w:cs="Calibri"/>
          <w:color w:val="000000"/>
          <w:sz w:val="22"/>
          <w:szCs w:val="22"/>
        </w:rPr>
        <w:t xml:space="preserve">Linsley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(found in the Hamilton Range of Central California at higher elevations). Monné and Nearns (2020) also list both of these as distinct sub-species. In the Titan database of cerambycids, only </w:t>
      </w:r>
      <w:r>
        <w:rPr>
          <w:rFonts w:ascii="Calibri" w:hAnsi="Calibri" w:eastAsia="Calibri" w:cs="Calibri"/>
          <w:i/>
          <w:iCs/>
          <w:color w:val="000000"/>
          <w:sz w:val="22"/>
          <w:szCs w:val="22"/>
        </w:rPr>
        <w:t xml:space="preserve">M. obtusus fulvomaculatus </w:t>
      </w:r>
      <w:r>
        <w:rPr>
          <w:rFonts w:ascii="Calibri" w:hAnsi="Calibri" w:eastAsia="Calibri" w:cs="Calibri"/>
          <w:color w:val="000000"/>
          <w:sz w:val="22"/>
          <w:szCs w:val="22"/>
        </w:rPr>
        <w:t xml:space="preserve">is listed as a valid sub species (IRD,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has been recorded on nine species of conifers from three genera. None of the </w:t>
      </w:r>
      <w:r>
        <w:rPr>
          <w:rFonts w:ascii="Calibri" w:hAnsi="Calibri" w:eastAsia="Calibri" w:cs="Calibri"/>
          <w:i/>
          <w:iCs/>
          <w:color w:val="000000"/>
          <w:sz w:val="22"/>
          <w:szCs w:val="22"/>
        </w:rPr>
        <w:t xml:space="preserve">Abies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known to be host species are important in Europe but there are important host trees in these genera in Europe such as </w:t>
      </w:r>
      <w:r>
        <w:rPr>
          <w:rFonts w:ascii="Calibri" w:hAnsi="Calibri" w:eastAsia="Calibri" w:cs="Calibri"/>
          <w:i/>
          <w:iCs/>
          <w:color w:val="000000"/>
          <w:sz w:val="22"/>
          <w:szCs w:val="22"/>
        </w:rPr>
        <w:t xml:space="preserve">Abies alba </w:t>
      </w:r>
      <w:r>
        <w:rPr>
          <w:rFonts w:ascii="Calibri" w:hAnsi="Calibri" w:eastAsia="Calibri" w:cs="Calibri"/>
          <w:color w:val="000000"/>
          <w:sz w:val="22"/>
          <w:szCs w:val="22"/>
        </w:rPr>
        <w:t xml:space="preserve">(silver fir) and </w:t>
      </w:r>
      <w:r>
        <w:rPr>
          <w:rFonts w:ascii="Calibri" w:hAnsi="Calibri" w:eastAsia="Calibri" w:cs="Calibri"/>
          <w:i/>
          <w:iCs/>
          <w:color w:val="000000"/>
          <w:sz w:val="22"/>
          <w:szCs w:val="22"/>
        </w:rPr>
        <w:t xml:space="preserve">Pinus nigra </w:t>
      </w:r>
      <w:r>
        <w:rPr>
          <w:rFonts w:ascii="Calibri" w:hAnsi="Calibri" w:eastAsia="Calibri" w:cs="Calibri"/>
          <w:color w:val="000000"/>
          <w:sz w:val="22"/>
          <w:szCs w:val="22"/>
        </w:rPr>
        <w:t xml:space="preserve">(black pine) which is found across Europe and Turkey.</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 var. murrayana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coulteri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lambertiana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sabiniana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is found in Pacific Coast States, British Columbia and Idaho (Keen, 1952),</w:t>
      </w:r>
    </w:p>
    <w:p>
      <w:r>
        <w:drawing>
          <wp:inline distT="0" distB="0" distL="0" distR="0">
            <wp:extent cx="6120000" cy="3067200"/>
            <wp:docPr id="49902024" name="name6397664b3fb5d7430" descr="MONCOB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OB_distribution_map.jpg"/>
                    <pic:cNvPicPr/>
                  </pic:nvPicPr>
                  <pic:blipFill>
                    <a:blip r:embed="rId6625664b3fb5d742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Idaho, Montana, Oregon,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M. obtusus fulvomaculatus </w:t>
      </w:r>
      <w:r>
        <w:rPr>
          <w:rFonts w:ascii="Calibri" w:hAnsi="Calibri" w:eastAsia="Calibri" w:cs="Calibri"/>
          <w:color w:val="000000"/>
          <w:sz w:val="22"/>
          <w:szCs w:val="22"/>
        </w:rPr>
        <w:t xml:space="preserve">has a flight period between June and August (Linsley &amp; Chemsak, 1984).</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paragraph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the source is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 larvae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commonly known as ‘sawyers’ because of the loud noise they make as they tunnel within the wood of host trees. Female beetles make oviposition slits in the bark using their mandibles and lay eggs in these slits. The egg incubation period is temperature dependent but can range from six to twelve days. The early instars develop within the subcortical zone of host trees whereas late instars construct galleries in the sapwood. The entrance hole into the sap wood is oval shaped. Pupation takes place at the upper end of the gallery and the larvae plug the end of the gallery with wood shavings before pupation. </w:t>
      </w:r>
    </w:p>
    <w:p>
      <w:pPr>
        <w:widowControl w:val="on"/>
        <w:pBdr/>
        <w:spacing w:before="220" w:after="220" w:line="240" w:lineRule="auto"/>
        <w:ind w:left="0" w:right="0"/>
        <w:jc w:val="both"/>
      </w:pPr>
      <w:r>
        <w:rPr>
          <w:rFonts w:ascii="Calibri" w:hAnsi="Calibri" w:eastAsia="Calibri" w:cs="Calibri"/>
          <w:color w:val="000000"/>
          <w:sz w:val="22"/>
          <w:szCs w:val="22"/>
        </w:rPr>
        <w:t xml:space="preserve">After emergence,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adults need to feed on the living bark of young twigs for sexual maturation. This phase is obligatory before oviposition. There is a wide between- and within-species variation in adult longevity, from ca. 1 month to ca. 5 months (EFSA, 2018). Generally, the life cycle is 2 years although in some years it is only one. Because of the overlapping generations, the adults are found each year and may be more abundant in some years depending on the availability of host material and habitat conditions.</w:t>
      </w:r>
    </w:p>
    <w:p>
      <w:pPr>
        <w:widowControl w:val="on"/>
        <w:pBdr/>
        <w:spacing w:before="220" w:after="220" w:line="240" w:lineRule="auto"/>
        <w:ind w:left="0" w:right="0"/>
        <w:jc w:val="both"/>
      </w:pPr>
      <w:r>
        <w:rPr>
          <w:rFonts w:ascii="Calibri" w:hAnsi="Calibri" w:eastAsia="Calibri" w:cs="Calibri"/>
          <w:color w:val="000000"/>
          <w:sz w:val="22"/>
          <w:szCs w:val="22"/>
        </w:rPr>
        <w:t xml:space="preserve">Miller (1986) studied the impact of excluding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freshly cut bolts (sections of a logs) of </w:t>
      </w:r>
      <w:r>
        <w:rPr>
          <w:rFonts w:ascii="Calibri" w:hAnsi="Calibri" w:eastAsia="Calibri" w:cs="Calibri"/>
          <w:i/>
          <w:iCs/>
          <w:color w:val="000000"/>
          <w:sz w:val="22"/>
          <w:szCs w:val="22"/>
        </w:rPr>
        <w:t xml:space="preserve">Pinus taeda </w:t>
      </w:r>
      <w:r>
        <w:rPr>
          <w:rFonts w:ascii="Calibri" w:hAnsi="Calibri" w:eastAsia="Calibri" w:cs="Calibri"/>
          <w:color w:val="000000"/>
          <w:sz w:val="22"/>
          <w:szCs w:val="22"/>
        </w:rPr>
        <w:t xml:space="preserve">on other insects. The presence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significantly reduced the number of emerging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Platysoma cylindricum </w:t>
      </w:r>
      <w:r>
        <w:rPr>
          <w:rFonts w:ascii="Calibri" w:hAnsi="Calibri" w:eastAsia="Calibri" w:cs="Calibri"/>
          <w:color w:val="000000"/>
          <w:sz w:val="22"/>
          <w:szCs w:val="22"/>
        </w:rPr>
        <w:t xml:space="preserve">(Coleoptera: Histeridae) and </w:t>
      </w:r>
      <w:r>
        <w:rPr>
          <w:rFonts w:ascii="Calibri" w:hAnsi="Calibri" w:eastAsia="Calibri" w:cs="Calibri"/>
          <w:i/>
          <w:iCs/>
          <w:color w:val="000000"/>
          <w:sz w:val="22"/>
          <w:szCs w:val="22"/>
        </w:rPr>
        <w:t xml:space="preserve">Medetera bistriata </w:t>
      </w:r>
      <w:r>
        <w:rPr>
          <w:rFonts w:ascii="Calibri" w:hAnsi="Calibri" w:eastAsia="Calibri" w:cs="Calibri"/>
          <w:color w:val="000000"/>
          <w:sz w:val="22"/>
          <w:szCs w:val="22"/>
        </w:rPr>
        <w:t xml:space="preserve">(Diptera: Dolichopodidae).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This demonstrates that reducing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populations could lead to increased populations of other damaging species.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is considered to be a vector of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(EFSA, 2018), but the evidence of it being a vector is limited (Akbulut &amp; Stamps, 2012).</w:t>
      </w:r>
      <w:r>
        <w:rPr>
          <w:rFonts w:ascii="Calibri" w:hAnsi="Calibri" w:eastAsia="Calibri" w:cs="Calibri"/>
          <w:i/>
          <w:iCs/>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558259658"/>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 for egg laying in the bark, although only a minority of these may have eggs in them,</w:t>
      </w:r>
    </w:p>
    <w:p>
      <w:pPr>
        <w:numPr>
          <w:ilvl w:val="0"/>
          <w:numId w:val="558259658"/>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558259658"/>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558259658"/>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558259658"/>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description of juvenile stages below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eggs are white, elongate, cylindrical and slightly flattened, with rounded ends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They are about 3 mm long and 1 mm in diameter.</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young larvae are soft-bodied, elongate, and dirty white in colour, with a light yellow thorax and an amber brown head. The final instar larvae have 10 abdominal segments, and the length of mature larvae is between 25 and 50 mm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also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pupae resemble the adults with reduced wings, legs, antennae and mouthparts clearly visible. They are about 1.5-3 cm long.</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is a small brown beetle with grey markings. The antennae are over twice the length of the body, and the prothorax has a toothlike projection on each side. </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provide a description of </w:t>
      </w: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‘Male: Form moderate sized, cylindrical, vaguely tapering posteriorly; integument deep to pale reddish-brown, abdomen black, submetallic; pubescence mottled, grayish and pale and dark brownish. Head with front shallowly convex, shallowly, usually densely punctate, irregularly to very densely pubescent; genae short, slightly convergent toward apex; antennae extending about five segments beyond elytra, segments minutely asperate, moderately densely clothed with very short, depressed, dark hairs, scape moderately clothed with gray, recumbent pubescence, segments three to ten with apical sensory areas. Pronotum as broad as or broader than long, lateral tubercles moderate in size, apices narrowly rounded; apical and basal impressions transversely rugose; disk with an irregular, glabrous, median callus; middle rugose around callus, sides confluently punctate; pubescence irregular, mottle, fulvous at sides; prosternum rugulose, very densely to irregularly pubescent; meso- and metasternum irregularly to densely clothed with recumbent gray pubescence, suberect, yellowish hairs numerous. Elytra about twice as long as broad, sides slightly explanate behind humeri; base with numerous, rounded asperites; punctures behind asperites irregular, dense, becoming obsolete to apex; pubescence consisting of light to dark brown patches with gray pubescence sparse to dense around brown patches, brown patches more extensive over apical one-half; apices rounded. Scutellum white pubescent at sides, apex broadly V-shaped. Legs very densely to moderately densely pubescent, pubescence interrupted by small dots. Abdomen confluently punctate at sides; pubescence irregular to very dense, often covering surface; last sternite truncate at apex, apical hair tufts very sparse. Length, 14-24 mm.</w:t>
      </w:r>
    </w:p>
    <w:p>
      <w:pPr>
        <w:widowControl w:val="on"/>
        <w:pBdr/>
        <w:spacing w:before="220" w:after="220" w:line="240" w:lineRule="auto"/>
        <w:ind w:left="0" w:right="0"/>
        <w:jc w:val="left"/>
      </w:pPr>
      <w:r>
        <w:rPr>
          <w:rFonts w:ascii="Calibri" w:hAnsi="Calibri" w:eastAsia="Calibri" w:cs="Calibri"/>
          <w:color w:val="000000"/>
          <w:sz w:val="22"/>
          <w:szCs w:val="22"/>
        </w:rPr>
        <w:t xml:space="preserve">Female: Form similar. Antennae extending three segments beyond elytra; segments broadly white annulate basally; abdomen with last sternite truncate at apex, hair tufts dense. Length, 17-24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for </w:t>
      </w: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Larvae can also be extracted from the bark or sapwood, and adults can be found walking or resting on cut or dead wood during the summer (EFSA, 2018). The most efficient detection method is trapping (see below).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in traps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showing that there are exceptions to the general association between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weakened or dead trees.</w:t>
      </w:r>
    </w:p>
    <w:p>
      <w:pPr>
        <w:widowControl w:val="on"/>
        <w:pBdr/>
        <w:spacing w:before="220" w:after="220" w:line="240" w:lineRule="auto"/>
        <w:ind w:left="0" w:right="0"/>
        <w:jc w:val="both"/>
      </w:pPr>
      <w:r>
        <w:rPr>
          <w:rFonts w:ascii="Calibri" w:hAnsi="Calibri" w:eastAsia="Calibri" w:cs="Calibri"/>
          <w:color w:val="000000"/>
          <w:sz w:val="22"/>
          <w:szCs w:val="22"/>
        </w:rPr>
        <w:t xml:space="preserve">Safranyik and Raske (1970) devised a sequential sampling plan to determine the damage caused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to timber. The plan was based on a study in Alberta in which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logs were sampled for </w:t>
      </w:r>
      <w:r>
        <w:rPr>
          <w:rFonts w:ascii="Calibri" w:hAnsi="Calibri" w:eastAsia="Calibri" w:cs="Calibri"/>
          <w:i/>
          <w:iCs/>
          <w:color w:val="000000"/>
          <w:sz w:val="22"/>
          <w:szCs w:val="22"/>
        </w:rPr>
        <w:t xml:space="preserve">M. scutellatus, M. maculosus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The method involved counting larval entrance holes into the logs any time after September following the summer of attack. At densities of greater than 2.5 holes / ft</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(approx. 30cm x 30cm), there was a 30% loss in value of the timber.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Traps</w:t>
      </w:r>
    </w:p>
    <w:p>
      <w:pPr>
        <w:widowControl w:val="on"/>
        <w:pBdr/>
        <w:spacing w:before="220" w:after="220" w:line="240" w:lineRule="auto"/>
        <w:ind w:left="0" w:right="0"/>
        <w:jc w:val="both"/>
      </w:pPr>
      <w:r>
        <w:rPr>
          <w:rFonts w:ascii="Calibri" w:hAnsi="Calibri" w:eastAsia="Calibri" w:cs="Calibri"/>
          <w:color w:val="000000"/>
          <w:sz w:val="22"/>
          <w:szCs w:val="22"/>
        </w:rPr>
        <w:t xml:space="preserve">In a field and laboratory study, Fierke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provided evidence that monochamol is a male produced pheromone component of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Field data also suggested that it is likely to be a pheromone for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obtusus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support for the hypothesis that it is a pheromone for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(synonym = </w:t>
      </w:r>
      <w:r>
        <w:rPr>
          <w:rFonts w:ascii="Calibri" w:hAnsi="Calibri" w:eastAsia="Calibri" w:cs="Calibri"/>
          <w:i/>
          <w:iCs/>
          <w:color w:val="000000"/>
          <w:sz w:val="22"/>
          <w:szCs w:val="22"/>
        </w:rPr>
        <w:t xml:space="preserve">M. mutator</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This mixture of four compounds, was more effective than unbaited traps or traps with a mixture of ipsenol and ipsdienol or traps with a mixture of ethanol and α-pinene. Ethanol is produced by stressed conifer trees and α-pinene is a constituent of the oleoresin of most pine species.  Ipsenol and ipsdienol occur naturally in pine forests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provided evidence that monochamol is attractive to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which supported evidence from previous studies (e.g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they also provided the first evidence that monochamol is attractive to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The studies also demonstrated a synergism between monochamol and host volatiles.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 There is evidence showing that monochamol is attractive to 12 </w:t>
      </w:r>
      <w:r>
        <w:rPr>
          <w:rFonts w:ascii="Calibri" w:hAnsi="Calibri" w:eastAsia="Calibri" w:cs="Calibri"/>
          <w:i/>
          <w:iCs/>
          <w:color w:val="000000"/>
          <w:sz w:val="22"/>
          <w:szCs w:val="22"/>
        </w:rPr>
        <w:t xml:space="preserve">Monochamu</w:t>
      </w:r>
      <w:r>
        <w:rPr>
          <w:rFonts w:ascii="Calibri" w:hAnsi="Calibri" w:eastAsia="Calibri" w:cs="Calibri"/>
          <w:color w:val="000000"/>
          <w:sz w:val="22"/>
          <w:szCs w:val="22"/>
        </w:rPr>
        <w:t xml:space="preserve">s species and so it has excellent potential for surveys of beetles of the genus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 ipsenol in lures. Monochamol did not increase catches of other Cerambycidae, bark beetles, other weevils or bark beetle predators.</w:t>
      </w:r>
    </w:p>
    <w:p>
      <w:pPr>
        <w:widowControl w:val="on"/>
        <w:pBdr/>
        <w:spacing w:before="220" w:after="220" w:line="240" w:lineRule="auto"/>
        <w:ind w:left="0" w:right="0"/>
        <w:jc w:val="both"/>
      </w:pPr>
      <w:r>
        <w:rPr>
          <w:rFonts w:ascii="Calibri" w:hAnsi="Calibri" w:eastAsia="Calibri" w:cs="Calibri"/>
          <w:color w:val="000000"/>
          <w:sz w:val="22"/>
          <w:szCs w:val="22"/>
        </w:rPr>
        <w:t xml:space="preserve">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the pathways for </w:t>
      </w: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and so the following information is generic to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able to naturally disperse by flight. A number of dispersal studies have been carried out with </w:t>
      </w:r>
      <w:r>
        <w:rPr>
          <w:rFonts w:ascii="Calibri" w:hAnsi="Calibri" w:eastAsia="Calibri" w:cs="Calibri"/>
          <w:i/>
          <w:iCs/>
          <w:color w:val="000000"/>
          <w:sz w:val="22"/>
          <w:szCs w:val="22"/>
        </w:rPr>
        <w:t xml:space="preserve">Monochamus spp.  Monochamus alternatus </w:t>
      </w:r>
      <w:r>
        <w:rPr>
          <w:rFonts w:ascii="Calibri" w:hAnsi="Calibri" w:eastAsia="Calibri" w:cs="Calibri"/>
          <w:color w:val="000000"/>
          <w:sz w:val="22"/>
          <w:szCs w:val="22"/>
        </w:rPr>
        <w:t xml:space="preserve">adult were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man assisted spread of pine wood nematode can occur over much larger distances with a mean annual dispersal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Between 1998 and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on wood packaging material in the EU (EFSA, 2018). Between 1984 and 2008,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(Leconte) (1),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(Oliver) (5),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(Fabricius) (5),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(Say) (2),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(Linnaeus) (9) and </w:t>
      </w:r>
      <w:r>
        <w:rPr>
          <w:rFonts w:ascii="Calibri" w:hAnsi="Calibri" w:eastAsia="Calibri" w:cs="Calibri"/>
          <w:i/>
          <w:iCs/>
          <w:color w:val="000000"/>
          <w:sz w:val="22"/>
          <w:szCs w:val="22"/>
        </w:rPr>
        <w:t xml:space="preserve">M. teserula </w:t>
      </w:r>
      <w:r>
        <w:rPr>
          <w:rFonts w:ascii="Calibri" w:hAnsi="Calibri" w:eastAsia="Calibri" w:cs="Calibri"/>
          <w:color w:val="000000"/>
          <w:sz w:val="22"/>
          <w:szCs w:val="22"/>
        </w:rPr>
        <w:t xml:space="preserve">White (1) (Eyre &amp; Haack,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females lay their eggs in various parts of their trees, including smaller branches down to 2 cm in diameter.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because they tend to attack weakened or dead trees and weakened trees are unlikely to be traded (EFSA 2018). However, the trapping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suggests there would be some risk in importing host trees from North America into the EPPO region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has been reported to be a destructive pest (Keen, 1952), but there is little specific information on its status.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are not generally considered to be plant pests in their own right because they do not tend to attack healthy trees however, they can and damage and can facilitate the introduction and spread of pine wood nematode in Europe (EFSA, 2018).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rarely, if ever, attack vigorously growing trees (Gibson, 2010). However, the impact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the USA is high, largely due to the export restrictions of forestry products associated with pine wood nematode,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are also responsible for extensive damage to fire damaged, dying, recently killed, and felled conifers of various species—but especially pines, spruce, true firs, and Douglas-fir. The larvae damage infested trees and logs through a series of extensive mines that introduce decay-causing fungi (Baker, 1972, Gibson, 2010). Wood chips harvested from wood infested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can be too small for use at pulp mills (Wilson, 1962).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about the control of </w:t>
      </w: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but the control methods that are used against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likely to be effective. Wilson (1962) studied attacks by wood boring insects on stacks of felled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the most frequently observed cerambycid beetle, accounting for c. 90-95% of all beetles observed.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also occasionally observed. Piles of wood placed in full shade suffered less damage than wood exposed to the sun.  Also, standard piles with less wood exposed to beetle damage suffered less damage than piles stacked in ‘pens’ with wood stacked in open perpendicular layers. The average volume of wood lost from standard piles of wood over two years in the sun ranged from 0.47% of interior logs to 2.64% for exterior logs and for piles in the shade from 0.37% for interior logs to 0.59 % for exterior logs.  Damage to felled wood can be reduced by: i) transporting wood as soon as possible after felling; ii) placing wood in the shade of other trees; 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into Europe could introduce pine wood nematode to new locations and hosts and enhance the rate of spread of the pest. Pinewood nematode has causes severe damage to forests in East Asia and in Europe and the impacts are likely to increase and </w:t>
      </w:r>
      <w:r>
        <w:rPr>
          <w:rFonts w:ascii="Calibri" w:hAnsi="Calibri" w:eastAsia="Calibri" w:cs="Calibri"/>
          <w:i/>
          <w:iCs/>
          <w:color w:val="000000"/>
          <w:sz w:val="22"/>
          <w:szCs w:val="22"/>
        </w:rPr>
        <w:t xml:space="preserve">M. obtusus </w:t>
      </w:r>
      <w:r>
        <w:rPr>
          <w:rFonts w:ascii="Calibri" w:hAnsi="Calibri" w:eastAsia="Calibri" w:cs="Calibri"/>
          <w:color w:val="000000"/>
          <w:sz w:val="22"/>
          <w:szCs w:val="22"/>
        </w:rPr>
        <w:t xml:space="preserve">is considered to be a vector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has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Debarking of harvested wood can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For example, there are recommendations by host species to reduce the risk of introducing pine 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vectors on wood, such as pest free areas, treatment of wood and conditions for the transport of the wood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Stamps WT (2012) Insect vectors of the pinewood nematode: a review of the biology and ecology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89-99.</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&amp; Linit MJ (2017) Cerambycids as plant disease vectors with special reference to pine wilt. In </w:t>
      </w:r>
      <w:r>
        <w:rPr>
          <w:rFonts w:ascii="Calibri" w:hAnsi="Calibri" w:eastAsia="Calibri" w:cs="Calibri"/>
          <w:i/>
          <w:iCs/>
          <w:color w:val="000000"/>
          <w:sz w:val="22"/>
          <w:szCs w:val="22"/>
        </w:rPr>
        <w:t xml:space="preserve">Cerambycidae of the world</w:t>
      </w:r>
      <w:r>
        <w:rPr>
          <w:rFonts w:ascii="Calibri" w:hAnsi="Calibri" w:eastAsia="Calibri" w:cs="Calibri"/>
          <w:color w:val="000000"/>
          <w:sz w:val="22"/>
          <w:szCs w:val="22"/>
        </w:rPr>
        <w:t xml:space="preserve">, pp. 209-252. CRC Press, Boca Raton, Florida.</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(1972) </w:t>
      </w:r>
      <w:r>
        <w:rPr>
          <w:rFonts w:ascii="Calibri" w:hAnsi="Calibri" w:eastAsia="Calibri" w:cs="Calibri"/>
          <w:i/>
          <w:iCs/>
          <w:color w:val="000000"/>
          <w:sz w:val="22"/>
          <w:szCs w:val="22"/>
        </w:rPr>
        <w:t xml:space="preserve">Eastern forest insects</w:t>
      </w:r>
      <w:r>
        <w:rPr>
          <w:rFonts w:ascii="Calibri" w:hAnsi="Calibri" w:eastAsia="Calibri" w:cs="Calibri"/>
          <w:color w:val="000000"/>
          <w:sz w:val="22"/>
          <w:szCs w:val="22"/>
        </w:rPr>
        <w:t xml:space="preserve">. U.S. Dept. of Agriculture, Forest Service, Washington.</w:t>
      </w:r>
    </w:p>
    <w:p>
      <w:pPr>
        <w:widowControl w:val="on"/>
        <w:pBdr/>
        <w:spacing w:before="220" w:after="220" w:line="240" w:lineRule="auto"/>
        <w:ind w:left="0" w:right="0"/>
        <w:jc w:val="left"/>
      </w:pPr>
      <w:r>
        <w:rPr>
          <w:rFonts w:ascii="Calibri" w:hAnsi="Calibri" w:eastAsia="Calibri" w:cs="Calibri"/>
          <w:color w:val="000000"/>
          <w:sz w:val="22"/>
          <w:szCs w:val="22"/>
        </w:rPr>
        <w:t xml:space="preserve">Blackwelder RE &amp; Blackwelder RM (1948) </w:t>
      </w:r>
      <w:r>
        <w:rPr>
          <w:rFonts w:ascii="Calibri" w:hAnsi="Calibri" w:eastAsia="Calibri" w:cs="Calibri"/>
          <w:i/>
          <w:iCs/>
          <w:color w:val="000000"/>
          <w:sz w:val="22"/>
          <w:szCs w:val="22"/>
        </w:rPr>
        <w:t xml:space="preserve">The Leng catalogue of Coleoptera of America, north of Mexico: Fifth supplement, 1939 to 1947 (inclusive)</w:t>
      </w:r>
      <w:r>
        <w:rPr>
          <w:rFonts w:ascii="Calibri" w:hAnsi="Calibri" w:eastAsia="Calibri" w:cs="Calibri"/>
          <w:color w:val="000000"/>
          <w:sz w:val="22"/>
          <w:szCs w:val="22"/>
        </w:rPr>
        <w:t xml:space="preserve">. John D. Sherman, Mount Vernon,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 Bishop C &amp; Burgher-MacLellan K (2019) Incidence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Parasitaphelenchidae) in Nova Scotia, Canada Christmas tree (Pinaceae) plantations.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350-364.</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Monochamus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Bousquet Y (1991) Checklist of beetles of Canada and Alaska. Agriculture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Crop Protection Compendium.</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2374-2385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et al. (the pine wood nematode). In </w:t>
      </w:r>
      <w:r>
        <w:rPr>
          <w:rFonts w:ascii="Calibri" w:hAnsi="Calibri" w:eastAsia="Calibri" w:cs="Calibri"/>
          <w:i/>
          <w:iCs/>
          <w:color w:val="000000"/>
          <w:sz w:val="22"/>
          <w:szCs w:val="22"/>
        </w:rPr>
        <w:t xml:space="preserve">2012/535</w:t>
      </w:r>
      <w:r>
        <w:rPr>
          <w:rFonts w:ascii="Calibri" w:hAnsi="Calibri" w:eastAsia="Calibri" w:cs="Calibri"/>
          <w:color w:val="000000"/>
          <w:sz w:val="22"/>
          <w:szCs w:val="22"/>
        </w:rPr>
        <w:t xml:space="preserve">, Brussels.</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Fierke MK, Skabeikis DD, Millar JG, Teale SA, McElfresh JS &amp; Hanks LM (2012) Identification of a male-produced aggregation pheromone for </w:t>
      </w:r>
      <w:r>
        <w:rPr>
          <w:rFonts w:ascii="Calibri" w:hAnsi="Calibri" w:eastAsia="Calibri" w:cs="Calibri"/>
          <w:i/>
          <w:iCs/>
          <w:color w:val="000000"/>
          <w:sz w:val="22"/>
          <w:szCs w:val="22"/>
        </w:rPr>
        <w:t xml:space="preserve">Monochamus scutellatus scutellatus</w:t>
      </w:r>
      <w:r>
        <w:rPr>
          <w:rFonts w:ascii="Calibri" w:hAnsi="Calibri" w:eastAsia="Calibri" w:cs="Calibri"/>
          <w:color w:val="000000"/>
          <w:sz w:val="22"/>
          <w:szCs w:val="22"/>
        </w:rPr>
        <w:t xml:space="preserve"> and an attractant for the congener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2029-34.</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 Forest Health Protection and State Forewsy Organisations, Available online: </w:t>
      </w:r>
      <w:hyperlink r:id="rId6046664b3fb5d917b" w:history="1">
        <w:r>
          <w:rPr>
            <w:rFonts w:ascii="Calibri" w:hAnsi="Calibri" w:eastAsia="Calibri" w:cs="Calibri"/>
            <w:color w:val="0000CC"/>
            <w:sz w:val="22"/>
            <w:szCs w:val="22"/>
            <w:u w:val="single"/>
          </w:rPr>
          <w:t xml:space="preserve">https://www.fs.usda.gov/Internet/FSE_DOCUMENTS/stelprdb5187547.pdf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Hart C, Cope J &amp; Ivie M (2013) A checklist of the Cerambycidae (Coleoptera) of Montana, USA, with distribution maps. </w:t>
      </w:r>
      <w:r>
        <w:rPr>
          <w:rFonts w:ascii="Calibri" w:hAnsi="Calibri" w:eastAsia="Calibri" w:cs="Calibri"/>
          <w:i/>
          <w:iCs/>
          <w:color w:val="000000"/>
          <w:sz w:val="22"/>
          <w:szCs w:val="22"/>
        </w:rPr>
        <w:t xml:space="preserve">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133-148.</w:t>
      </w:r>
    </w:p>
    <w:p>
      <w:pPr>
        <w:widowControl w:val="on"/>
        <w:pBdr/>
        <w:spacing w:before="220" w:after="220" w:line="240" w:lineRule="auto"/>
        <w:ind w:left="0" w:right="0"/>
        <w:jc w:val="left"/>
      </w:pPr>
      <w:r>
        <w:rPr>
          <w:rFonts w:ascii="Calibri" w:hAnsi="Calibri" w:eastAsia="Calibri" w:cs="Calibri"/>
          <w:color w:val="000000"/>
          <w:sz w:val="22"/>
          <w:szCs w:val="22"/>
        </w:rPr>
        <w:t xml:space="preserve">IRD (2021) Base de données Titan sur les Cerambycidés ou Longicornes.</w:t>
      </w:r>
    </w:p>
    <w:p>
      <w:pPr>
        <w:widowControl w:val="on"/>
        <w:pBdr/>
        <w:spacing w:before="220" w:after="220" w:line="240" w:lineRule="auto"/>
        <w:ind w:left="0" w:right="0"/>
        <w:jc w:val="left"/>
      </w:pPr>
      <w:r>
        <w:rPr>
          <w:rFonts w:ascii="Calibri" w:hAnsi="Calibri" w:eastAsia="Calibri" w:cs="Calibri"/>
          <w:color w:val="000000"/>
          <w:sz w:val="22"/>
          <w:szCs w:val="22"/>
        </w:rPr>
        <w:t xml:space="preserve">Keen FP (1952) Insect enemies of western forests. pp. 273. Washington, D.C, U.S. Dept. of Agriculture.</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 &amp; Chemsak J (1984) </w:t>
      </w:r>
      <w:r>
        <w:rPr>
          <w:rFonts w:ascii="Calibri" w:hAnsi="Calibri" w:eastAsia="Calibri" w:cs="Calibri"/>
          <w:i/>
          <w:iCs/>
          <w:color w:val="000000"/>
          <w:sz w:val="22"/>
          <w:szCs w:val="22"/>
        </w:rPr>
        <w:t xml:space="preserve">The Cerambycidae of North America Part VII, No. 1: taxonomy and classification of the subfamily Lamiinae, tribes Parmeninie through Acanthoderini</w:t>
      </w:r>
      <w:r>
        <w:rPr>
          <w:rFonts w:ascii="Calibri" w:hAnsi="Calibri" w:eastAsia="Calibri" w:cs="Calibri"/>
          <w:color w:val="000000"/>
          <w:sz w:val="22"/>
          <w:szCs w:val="22"/>
        </w:rPr>
        <w:t xml:space="preserve">. University of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1795).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Congress of Foretry, Spain.</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Monochamus 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MC (1986) Within-tree effects of bark beetle insect associates on the emergence of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Monné M &amp; Nearns E (2020) </w:t>
      </w:r>
      <w:r>
        <w:rPr>
          <w:rFonts w:ascii="Calibri" w:hAnsi="Calibri" w:eastAsia="Calibri" w:cs="Calibri"/>
          <w:i/>
          <w:iCs/>
          <w:color w:val="000000"/>
          <w:sz w:val="22"/>
          <w:szCs w:val="22"/>
        </w:rPr>
        <w:t xml:space="preserve">Catalogue of the Cerambycidae (Col.) of Canada and United States of America. Part IV. Subfamily Lamiinae.</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Rice M, Merickel F &amp; MacRae T (2017) The Longhorned Beetles (Coleoptera: Cerambycidae) of Idaho.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667-678.</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Safranyik L &amp; Raske AG (1970) Sequential sampling plan for larvae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in lodgepole pine logs.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1903-1906.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 pp.</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U.S. Dept. of Agriculture, Forest Service, Northern Area State &amp; Private Forestry.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obtusus</w:t>
      </w:r>
      <w:r>
        <w:rPr>
          <w:rFonts w:ascii="Calibri" w:hAnsi="Calibri" w:eastAsia="Calibri" w:cs="Calibri"/>
          <w:color w:val="000000"/>
          <w:sz w:val="22"/>
          <w:szCs w:val="22"/>
        </w:rPr>
        <w:t xml:space="preserve">. EPPO datasheets on pests recommended for regulation. Available online. </w:t>
      </w:r>
      <w:hyperlink r:id="rId5752664b3fb5d981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13324654" name="name9855664b3fb5d990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468664b3fb5d990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8259658">
    <w:multiLevelType w:val="hybridMultilevel"/>
    <w:lvl w:ilvl="0" w:tplc="93142241">
      <w:start w:val="1"/>
      <w:numFmt w:val="decimal"/>
      <w:lvlText w:val="%1."/>
      <w:lvlJc w:val="left"/>
      <w:pPr>
        <w:ind w:left="720" w:hanging="360"/>
      </w:pPr>
    </w:lvl>
    <w:lvl w:ilvl="1" w:tplc="93142241" w:tentative="1">
      <w:start w:val="1"/>
      <w:numFmt w:val="lowerLetter"/>
      <w:lvlText w:val="%2."/>
      <w:lvlJc w:val="left"/>
      <w:pPr>
        <w:ind w:left="1440" w:hanging="360"/>
      </w:pPr>
    </w:lvl>
    <w:lvl w:ilvl="2" w:tplc="93142241" w:tentative="1">
      <w:start w:val="1"/>
      <w:numFmt w:val="lowerRoman"/>
      <w:lvlText w:val="%3."/>
      <w:lvlJc w:val="right"/>
      <w:pPr>
        <w:ind w:left="2160" w:hanging="180"/>
      </w:pPr>
    </w:lvl>
    <w:lvl w:ilvl="3" w:tplc="93142241" w:tentative="1">
      <w:start w:val="1"/>
      <w:numFmt w:val="decimal"/>
      <w:lvlText w:val="%4."/>
      <w:lvlJc w:val="left"/>
      <w:pPr>
        <w:ind w:left="2880" w:hanging="360"/>
      </w:pPr>
    </w:lvl>
    <w:lvl w:ilvl="4" w:tplc="93142241" w:tentative="1">
      <w:start w:val="1"/>
      <w:numFmt w:val="lowerLetter"/>
      <w:lvlText w:val="%5."/>
      <w:lvlJc w:val="left"/>
      <w:pPr>
        <w:ind w:left="3600" w:hanging="360"/>
      </w:pPr>
    </w:lvl>
    <w:lvl w:ilvl="5" w:tplc="93142241" w:tentative="1">
      <w:start w:val="1"/>
      <w:numFmt w:val="lowerRoman"/>
      <w:lvlText w:val="%6."/>
      <w:lvlJc w:val="right"/>
      <w:pPr>
        <w:ind w:left="4320" w:hanging="180"/>
      </w:pPr>
    </w:lvl>
    <w:lvl w:ilvl="6" w:tplc="93142241" w:tentative="1">
      <w:start w:val="1"/>
      <w:numFmt w:val="decimal"/>
      <w:lvlText w:val="%7."/>
      <w:lvlJc w:val="left"/>
      <w:pPr>
        <w:ind w:left="5040" w:hanging="360"/>
      </w:pPr>
    </w:lvl>
    <w:lvl w:ilvl="7" w:tplc="93142241" w:tentative="1">
      <w:start w:val="1"/>
      <w:numFmt w:val="lowerLetter"/>
      <w:lvlText w:val="%8."/>
      <w:lvlJc w:val="left"/>
      <w:pPr>
        <w:ind w:left="5760" w:hanging="360"/>
      </w:pPr>
    </w:lvl>
    <w:lvl w:ilvl="8" w:tplc="93142241" w:tentative="1">
      <w:start w:val="1"/>
      <w:numFmt w:val="lowerRoman"/>
      <w:lvlText w:val="%9."/>
      <w:lvlJc w:val="right"/>
      <w:pPr>
        <w:ind w:left="6480" w:hanging="180"/>
      </w:pPr>
    </w:lvl>
  </w:abstractNum>
  <w:abstractNum w:abstractNumId="66433982">
    <w:multiLevelType w:val="hybridMultilevel"/>
    <w:lvl w:ilvl="0" w:tplc="95409837">
      <w:start w:val="1"/>
      <w:numFmt w:val="decimal"/>
      <w:lvlText w:val="%1."/>
      <w:lvlJc w:val="left"/>
      <w:pPr>
        <w:ind w:left="720" w:hanging="360"/>
      </w:pPr>
    </w:lvl>
    <w:lvl w:ilvl="1" w:tplc="95409837" w:tentative="1">
      <w:start w:val="1"/>
      <w:numFmt w:val="lowerLetter"/>
      <w:lvlText w:val="%2."/>
      <w:lvlJc w:val="left"/>
      <w:pPr>
        <w:ind w:left="1440" w:hanging="360"/>
      </w:pPr>
    </w:lvl>
    <w:lvl w:ilvl="2" w:tplc="95409837" w:tentative="1">
      <w:start w:val="1"/>
      <w:numFmt w:val="lowerRoman"/>
      <w:lvlText w:val="%3."/>
      <w:lvlJc w:val="right"/>
      <w:pPr>
        <w:ind w:left="2160" w:hanging="180"/>
      </w:pPr>
    </w:lvl>
    <w:lvl w:ilvl="3" w:tplc="95409837" w:tentative="1">
      <w:start w:val="1"/>
      <w:numFmt w:val="decimal"/>
      <w:lvlText w:val="%4."/>
      <w:lvlJc w:val="left"/>
      <w:pPr>
        <w:ind w:left="2880" w:hanging="360"/>
      </w:pPr>
    </w:lvl>
    <w:lvl w:ilvl="4" w:tplc="95409837" w:tentative="1">
      <w:start w:val="1"/>
      <w:numFmt w:val="lowerLetter"/>
      <w:lvlText w:val="%5."/>
      <w:lvlJc w:val="left"/>
      <w:pPr>
        <w:ind w:left="3600" w:hanging="360"/>
      </w:pPr>
    </w:lvl>
    <w:lvl w:ilvl="5" w:tplc="95409837" w:tentative="1">
      <w:start w:val="1"/>
      <w:numFmt w:val="lowerRoman"/>
      <w:lvlText w:val="%6."/>
      <w:lvlJc w:val="right"/>
      <w:pPr>
        <w:ind w:left="4320" w:hanging="180"/>
      </w:pPr>
    </w:lvl>
    <w:lvl w:ilvl="6" w:tplc="95409837" w:tentative="1">
      <w:start w:val="1"/>
      <w:numFmt w:val="decimal"/>
      <w:lvlText w:val="%7."/>
      <w:lvlJc w:val="left"/>
      <w:pPr>
        <w:ind w:left="5040" w:hanging="360"/>
      </w:pPr>
    </w:lvl>
    <w:lvl w:ilvl="7" w:tplc="95409837" w:tentative="1">
      <w:start w:val="1"/>
      <w:numFmt w:val="lowerLetter"/>
      <w:lvlText w:val="%8."/>
      <w:lvlJc w:val="left"/>
      <w:pPr>
        <w:ind w:left="5760" w:hanging="360"/>
      </w:pPr>
    </w:lvl>
    <w:lvl w:ilvl="8" w:tplc="95409837" w:tentative="1">
      <w:start w:val="1"/>
      <w:numFmt w:val="lowerRoman"/>
      <w:lvlText w:val="%9."/>
      <w:lvlJc w:val="right"/>
      <w:pPr>
        <w:ind w:left="6480" w:hanging="180"/>
      </w:pPr>
    </w:lvl>
  </w:abstractNum>
  <w:abstractNum w:abstractNumId="66433981">
    <w:multiLevelType w:val="hybridMultilevel"/>
    <w:lvl w:ilvl="0" w:tplc="378328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433981">
    <w:abstractNumId w:val="66433981"/>
  </w:num>
  <w:num w:numId="66433982">
    <w:abstractNumId w:val="66433982"/>
  </w:num>
  <w:num w:numId="558259658">
    <w:abstractNumId w:val="55825965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67274573" Type="http://schemas.microsoft.com/office/2011/relationships/commentsExtended" Target="commentsExtended.xml"/><Relationship Id="rId562484559" Type="http://schemas.microsoft.com/office/2011/relationships/people" Target="people.xml"/><Relationship Id="rId9227664b3fb5d62a1" Type="http://schemas.openxmlformats.org/officeDocument/2006/relationships/hyperlink" Target="https://gd.eppo.int/taxon/MONCOB/" TargetMode="External"/><Relationship Id="rId1688664b3fb5d62e5" Type="http://schemas.openxmlformats.org/officeDocument/2006/relationships/hyperlink" Target="https://gd.eppo.int/taxon/MONCOB/categorization" TargetMode="External"/><Relationship Id="rId6046664b3fb5d917b" Type="http://schemas.openxmlformats.org/officeDocument/2006/relationships/hyperlink" Target="https://www.fs.usda.gov/Internet/FSE_DOCUMENTS/stelprdb5187547.pdf" TargetMode="External"/><Relationship Id="rId5752664b3fb5d981e" Type="http://schemas.openxmlformats.org/officeDocument/2006/relationships/hyperlink" Target="https://gd.eppo.int" TargetMode="External"/><Relationship Id="rId6625664b3fb5d742e" Type="http://schemas.openxmlformats.org/officeDocument/2006/relationships/image" Target="media/imgrId6625664b3fb5d742e.jpg"/><Relationship Id="rId3468664b3fb5d9907" Type="http://schemas.openxmlformats.org/officeDocument/2006/relationships/image" Target="media/imgrId3468664b3fb5d990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