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carolinensis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carolinensis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sawyer</w:t>
            </w:r>
            <w:hyperlink r:id="rId7382665a5b19d956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324665a5b19d95a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MONCCA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only attacks and colonizes the members of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including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red pine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eastern white pine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(Linsley &amp; Chemsak, 1997),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(MacRae, 1993, Pershing &amp; Linit, 1986b) shortleaf pine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(Walsh &amp; Linit, 1984; MacRae, 1993),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(Alya &amp; Hain, 1985). During experiments, adults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were trapped by flight traps placed at the mid-bole of stressed Virginia pines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(Hines &amp; Heikkenen, 1977) showing that they were attracted by these trees, but no adult beetles emerged from the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is native to North America and occurs from South-Eastern Canada (Ontario, Quebec, and New Brunswick) through the eastern half of the USA, from Texas to Minnesota. There is only one record from Mexico (Durango) by Dillon &amp; Dillon (1941).</w:t>
      </w:r>
    </w:p>
    <w:p>
      <w:r>
        <w:drawing>
          <wp:inline distT="0" distB="0" distL="0" distR="0">
            <wp:extent cx="6120000" cy="3067200"/>
            <wp:docPr id="99118086" name="name3297665a5b19da8b0" descr="MONC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CA_distribution_map.jpg"/>
                    <pic:cNvPicPr/>
                  </pic:nvPicPr>
                  <pic:blipFill>
                    <a:blip r:embed="rId6418665a5b19da8a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Québec), Mexico, United States of America (Alabama, Arkansas, Connecticut, Florida, Georgia, Illinois, Indiana, Iowa, Kansas, Kentucky, Louisiana, Maine, Maryland, Massachusetts, Michigan, Minnesota, Mississippi, Missouri, Nebraska, New Jersey, New York, North Carolina, Ohio, Oklahoma, Pennsylvania, Rhode Island,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species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takes several months to two years (Webb, 1909, Rose, 1957;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life cycle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appears to be temperature dependent. In the USA, two-year generations are common in the northern range and two generations per year in the southern range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1986a). Adult beetles emerge through circular holes cut in the bark and fly to healthy pine trees, feed on the bark and phloem of twigs and branches prior to mating and oviposition (maturation feeding) for 10-14 days (Akbulut &amp; Stamps, 2012). It is at this point that pine wood nematodes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if present on the beetle, exit the beetle’s trachea and enter through feeding wounds in the bark. During the night, beetles fly to dead or stressed pines to mate and oviposit in response to volatile chemicals released by trees. After mating, the female deposits an egg below the bark (Walsh &amp; Linit, 1985). If the pine wood nematodes are present in the bodies of female beetles, they may enter oviposition wounds at this time and feed on fungus present in the stressed or dying pine. The number of eggs deposited in an oviposition wound differs both within and among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oviposition wounds can be slit like on thin bark or pit like on thick bark, and contain one egg in most cases (Walsh &amp; Linit, 1985), eggless, or multiple eggs can be laid in a single wound. The egg incubation period ranges from 6 to 9 days under natural conditions but can vary from 10 to 12 days according to temperature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 egg hatches and the early instars develop entirely in the subcortical zone of the host trees (Pershing &amp; Linit, 1986b). Larvae can feed on inner bark, cambium, and outer sapwood (Linit, 1988). Late instar larvae construct galleries in the sapwood. Each larva constructs its own gallery.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three to eight larval instars prior to pupation (Pershing &amp; Linit, 1986a). The insect pupates in a chamber in the woody tissue near the cambium layer (Linit, 1988). The adult ecloses within the pupal chamber and remains there for several days until cuticular tanning is complete before exiting the tree. At this point, if present, the dispersal form of the pinewood nematode exits the surrounding wood tissue, crawls onto the body of the insect, and enters the spiracles and trachea for transportation to new host trees. The beetle overwinters most commonly as a larva, but eggs and pupae overwinter as well (Pershing &amp; Linit, 1986a). Adult emergence, which occurs by chewing a round exit hole in the wood and bark, starts in the spring and continues until the late summer. The total development time from oviposition to emergence averages 8-12 weeks (Pershing &amp; Linit, 1986b). In the laboratory, when reared with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logs, the within-wood developmental period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83 to 108 days under constant conditions (Akbulut &amp; Linit 1999a, 1999b). Linsley (1961) reported that duration of the larval stages of cerambycids can be shorter when they feed on a freshly killed host and longer when they feed on wood that has been dead for some time.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have examined the life history traits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Previous laboratory studies (Linit, 1985;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ranged from 6 % to 15 %. Alya &amp; Hain (1985) found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to be 15 % in logs maintained in outdoor cages in North Carolina. The high mortality of beetles within the logs suggested that either intraspecific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larvae and/or interspecific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other beetle species occurred within the logs.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examined the relationships between initial oviposition density and log volume, bark area, and adult survival. They found that the number of adults emerged per log was not related to the number of eggs laid. Late larval and adult numbers were significantly correlated with log size, and only 12% of the initial cohort completed development and emerged as adults.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attributed the high within-log mortality of beetles to intraspecific competition and cannibalism.</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great variation in the longevity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adults that emerge from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logs cut in autumn and spring live for 38 and 59 days, respectively, under laboratory conditions (Akbulut &amp; Linit, 1999b). Togashi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that the mean longevity of males and females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51 and 56 days respectively in the field cages. Similar variations were reported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Akbulut, 2009) and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(Togashi &amp; Magira 1981; Togashi, 1997). Variations in adult longevity can be attributed to the nutritional quality of the phloem and cambium of pine logs consumed at the larval stage, and also to the quality of the twig subcortical tissues consumed at the adult stage (Akbulut &amp; Linit, 1999b).</w:t>
      </w:r>
    </w:p>
    <w:p>
      <w:pPr>
        <w:widowControl w:val="on"/>
        <w:pBdr/>
        <w:spacing w:before="220" w:after="220" w:line="240" w:lineRule="auto"/>
        <w:ind w:left="0" w:right="0"/>
        <w:jc w:val="both"/>
      </w:pPr>
      <w:r>
        <w:rPr>
          <w:rFonts w:ascii="Calibri" w:hAnsi="Calibri" w:eastAsia="Calibri" w:cs="Calibri"/>
          <w:color w:val="000000"/>
          <w:sz w:val="22"/>
          <w:szCs w:val="22"/>
        </w:rPr>
        <w:t xml:space="preserve">The total number of eggs laid by a female (fecundity) varies among species and within species. For example, it ranges from 0 to 384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(Walsh &amp; Linit, 1985; Akbulut, 1998), and from 0 to 343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Kobayashi, 1988; Togashi, 1997).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laid an average of 67 eggs in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in Portugal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138 in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France (Koutroumpa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57 eggs in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Türkiye (Akbulut,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or stressed pine trees. Pheromones for sex attraction may not exist because adult beetles of both sexes are brought together by attraction to volatiles released by the physiological breakdown of pine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males search for females (Edwards &amp; Linit, 1991). No sex pheromone is known to exist, and antennal contact between sexes is sufficient for mate recognition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However, several studies have suggested the existence of sex or aggregation pheromones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types of pheromones have been reported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1) a male sex pheromone that attracts the female and 2) a contact pheromone on the body surface of the female that elicits mate recognition and initiation of courtship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Ibeas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reported that mature female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under laboratory conditions were attracted to volatile compounds produced by mature male beetles; however, the males did not respond to female-produced volatiles. A chemical substance of 2-undecyloxy-1-ethanol (monochamol) has been proven to be a male produced aggregation pheromone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Rasatti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M. scutellatus scutellatus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Macias-Samano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suggest that monochamol is a likely pheromone component for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obtusus</w:t>
      </w:r>
      <w:r>
        <w:rPr>
          <w:rFonts w:ascii="Calibri" w:hAnsi="Calibri" w:eastAsia="Calibri" w:cs="Calibri"/>
          <w:color w:val="000000"/>
          <w:sz w:val="22"/>
          <w:szCs w:val="22"/>
        </w:rPr>
        <w:t xml:space="preserve"> and attractant for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proved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has a good potential for surveys of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generally poor fliers, even though in flight mill experiments, 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beetle has flown a maximum distance of 10 km with a duration of 115 minutes (Akbulut &amp; Linit, 1999c). In the same study, the mean flight distance was reported to be 2.2 km for 1-day-old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 beetles. In mark and recapture studies of the closely related beetle,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Ogawa &amp; Hagiwara, (1980) found that most of the beetles were recaptured within 100 m of the release site, whereas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reported that beetles mostly moved 800 m from their origin and some flew up to 3.3 km. However, there are no flight performance studies under field conditions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carried out mark-release-recapture trials with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marked adults flew a maximum distance of 22.1 km and about 2% of released beetles travelled more than 3.0 km. Another mark-recapture study carried on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found that the lifetime adult dispersal distance was 107-122 m on average with a maximum of 464 m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studies were carried out to analyze the spread of pine wilt disease in different countries. The yearly spread of pine wilt disease (due to vector movements) was an average of 7.5 km/year in China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average of 6.609km/year in Japan (Osada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 average of 5.3 km with a maximum of 8.3 km in Portugal (de la Fuente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spread capacities of different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seem to allow a few kilometres in a single flight and cumulatively reach over several tens of kilometres during the life span of a beetle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symptoms and signs may be related to the presence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(Wilson, 1975, Akbulut &amp; Stamps, 2012):</w:t>
      </w:r>
    </w:p>
    <w:p>
      <w:pPr>
        <w:numPr>
          <w:ilvl w:val="0"/>
          <w:numId w:val="57479081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slit like or pit like oviposition scars chewed into the bark of pine trees.</w:t>
      </w:r>
    </w:p>
    <w:p>
      <w:pPr>
        <w:numPr>
          <w:ilvl w:val="0"/>
          <w:numId w:val="57479081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feeding tracks and oval shaped larval entrance holes in the sapwood caused by larval feeding when the bark is removed.</w:t>
      </w:r>
    </w:p>
    <w:p>
      <w:pPr>
        <w:numPr>
          <w:ilvl w:val="0"/>
          <w:numId w:val="57479081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Excelsior-like frass around cut logs from holes in the bark or at the base of trees colonized by the beetle.</w:t>
      </w:r>
    </w:p>
    <w:p>
      <w:pPr>
        <w:numPr>
          <w:ilvl w:val="0"/>
          <w:numId w:val="57479081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A round exit hole in the wood and bark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elongate, cylindrical, and slightly flattened with rounded ends. The average size is 2.5 - 3.0 mm long by 0.9 mm wide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soft-bodied, elongate, dirty white in colour, with a light-yellow thorax and amber-brown head. Larvae have ten abdominal segments, are legless, and have a pair of short, stout mandibles. The head is longer than it is wide. Mature larvae may be 25 - 50 mm in length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white and resemble adults in body form. They are 20 -25 mm in length, with antennae tightly curled in spirals flat against the sides of the body. The legs, antennae and wings project from but are closely held to the body. As the pupa matures, it darkens and the limbs become more distinct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fairly large, dark reddish-brown insects, 13 - 25 mm in length and 5 -7 mm in width. Male antennae are two times the length of the body, and female antennae are approximately equal to or slightly longer than the length of the body. The antennae are high on the head, close together, and separated by a deep hollow. Males may be slightly smaller and more slender in body shape than females. Both sexes possess a stout pair of mandibles and long, thin legs. The elytra are dark reddish brown with three indistinct bands of white pubescence, giving the elytra a mottled, spotted dirty-white and brown appearance. Each side of the pronotum has a large lateral submedian conical protuberance. The elytra are wider than the pronotum at the base (CABI,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are attracted to weakened, dying, dead, or freshly cut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of these trees may allow the detection of oviposition scars in the bark, oval shaped larval entrance holes in the sapwood under the bark or round adult emergence holes in the sapwood. Other cerambycids make similar oviposition scars and emergence holes, so their presence is not a certain confirmation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Excelsior-like frass may be present around cut logs, from holes in the bark, or at the base of trees infested with the beetle. The cryptic nature of the beetle and its camouflage coloration make it difficult to observe on trees in a natural setting. However, adults can be seen walking or resting on cut and dead wood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considered to be poor fliers, although there is evidence in the literature (details given in the biology section) that they can perform both short-distance and long-distance dispersals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According to flight mill, field experiments and models developed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naturally disperse by flight a few kilometres to tens of kilometres during their life span. The human assisted spread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may cover hundreds or thousands of kilometres.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develop entirely within the wood, and they are difficult to detect. Therefore, they can be easily transported as untreated conifer wood products in trade.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by coniferous wood (round or sawn) and wood packaging materials, dunnage from conifers, particle and waste wood of host trees, coniferous wood products and as hitchhikers in containers (EFSA, 2018, 2020). Plants for planting are not likely to be the pathway for the spread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they attack dead or stressed pine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importance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stressed or recently cut coniferous trees. Therefore, many of them are considered secondary pests, and typically they do not cause the death of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may do little damage to healthy trees in the absence of the pine wood nematode (Akbulut &amp; Stamps, 2012). Pine wilt disease is rarely the cause of mortality in native conifers in North America because of the coevolution of the native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tree species (Akbulut &amp; Stamps, 2012). The pine wood nematode is widely distributed in the USA, and the disease is most serious in pine trees that are exotic to North America, such as Scots, Austrian, Japanese red and Japanese black pines. Beetles transmit nematodes from dead trees to healthy trees through feeding wounds of newly emerged beetles (during maturation feeding) and weakened, dying, or recently cut trees through oviposition wounds (during egg oviposition). Infection of trees with nematodes under favourable conditions leads to the mass mortality of susceptible pine stands. The disease has a devastating impact on native pine forests in Japan, China, Korea, Taiwan, and Portugal. In the USA, the disease affects exotic pines planted on private properties and natural areas planted with susceptible, non-native, and poorly adapted pine species. Scots pine used in windbreaks, landscape plantings, and Christmas tree farms and nurseries can be affected by pine wilt disease. For lumber producers, timber quality and value can be lessened by beetle’s presence due to larval galleries and the blue stain fungi that are often associated with the beetle's presence in wood (CABI, 2019). Pine wilt disease has a substantial impact on the international wood trade from countries where the nematode and its vector are present to the European Union and other countries. Economic loss as a result of trade restrictions on softwood products is difficult to measure due to environmental, regulatory and supply issues (CABI, 2019), but has been discussed in several publications (Dwinell, 1997; Anon., 1991; Bergdahl, 1988,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are native and widely distributed. Therefore, control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usually limited to the removal and burning of infested trees and the timely spraying of insecticides on susceptible exotic pines such as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(i.e., on Christmas tree plantations). Prevention is the best method for controlling beetles. Adult beetles are attracted to recently dead, dying, or freshly cut trees, so dead and dying trees must be cut down and bark removed from felled trees as quickly as possible to eliminate breeding habitat for the beetles and to prevent nematode transmission to healthy trees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stumps of logged trees should also be removed or buried as they are also attractive to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damage can also be prevented by not exposing wood during the egg-laying period of beetles (Dwinell, 1997; Gibson, 2010). Persons in North America who have infected exotic pines on their properties have to remove the infected trees, burn them (CABI, 2019), and are encouraged to plant resistant native conifer species instead of susceptible tree species as ornamentals. Existing valuable trees can be protected from pine wilt disease with preventive injections of nematicide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and traps play an important role in monitoring and controlling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 recent study proved that monochamol (male aggregation pheromone) has good potential for surveying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blend of monochamol, ipsenol methyl-butenol and α-pinene used with black Teflon-coated cross-vane traps proved to be an efficient attractant to several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(Boone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biological control agents against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not been studied (CABI, 2019). The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been found to be effective against the closely related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(Shimazu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Shimazu,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together with the pine wood nematode to new locations increases the rate of spread of the pine wood nematode. The risk of introduction of both pests into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known to be the main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in North America (Akbulut &amp; Stamps, 2012). The egg, larval, and pupal stages of the beetle can be transported via unprocessed softwood logs. Introduction of pine wood nematode-infected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be limited by import requirements specified for host plants of the pine wood nematode and coniferous woods by National or Regional Plant Protection Organizations.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regularly intercepted in the European Union (EFSA, 2018). For example, according to the EUROPHYT database between 1999 and 2019, there have been 21 interception records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on wood packaging material or dunnage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to the EPPO region can be limited by specific import requirements for host plants of the pine wood nematode and its vectors. Due to the cryptic life stages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visual inspection of timber does not always reveal the presence of eggs, larvae, or pupae under the bark or in the wood of imported products. Therefore, international standards have been developed to prevent the importation of infested wood products (FAO, 2017, EPPO 2018a, b). The phytosanitary measures recommended by the EPPO commodity standard for Coniferae, PM 8/2 (3) (EPPO, 2018b) are considered to be effective to prevent the introduction and spread of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and the pine wood nematode. There are recommendations for wood from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present: it should originate from a pest free area and be transported outside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flight period, or the wood should be covered during the transportation (EPPO, 2018b). Following quarantine treatments for conifer wood are recommended: wood should be bark-free, and either heat treated according to EPPO Standard PM 10/6 or treated with ionizing radiation according to EPPO Standard PM 10/8 or appropriate fumigation and details specified on the Phytosanitary Certificate (EPPO, 2018b). The treatment of wood packaging material, including dunnage, should meet the requirements of ISPM no. 15 (FAO, 2019)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via international trade into uninfested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(1998) Effect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Fourth stage dispersal juveniles and log seasonality on life processes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Ph.D. Dissertation, Department of Entomology, University of Missouri-Columbia, USA.</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(2009) Comparison of the reproductive potential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(Coleoptera: Cerambycidae) on two pine species under laboratory conditions.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125-135.</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(1999a) Reproductive potential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407-411.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(1999b) Seasonal effect on reproductive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reared in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631-637.</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(1999c) Flight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and beetle characteristics.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1014-1020.</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Stamps WT &amp; Linit MJ (2004) Population dynamics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17-21.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Wang Q (ed.).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Biology and Pest Management</w:t>
      </w:r>
      <w:r>
        <w:rPr>
          <w:rFonts w:ascii="Calibri" w:hAnsi="Calibri" w:eastAsia="Calibri" w:cs="Calibri"/>
          <w:color w:val="000000"/>
          <w:sz w:val="22"/>
          <w:szCs w:val="22"/>
        </w:rPr>
        <w:t xml:space="preserve">. Taylor &amp; Francis, Abingdon, UK, pp.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Anon (1991) Pinewood nematode control targeted as green lumber exports to EC given reprieve. Victoria, BC, Canada: Information Forestry, Forestry Canada, Pacific Forestry Centre, (Fall/winter),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(1988) Impact of pinewood nematode in North America: present and future.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260-265.</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 Sweeney J, Silk P, Hughes C, Webster RP, Stephen F, Maclauchlan L, Bentz B, Drumont A, Zhao B, Berkvens N, Casteels H &amp; Gregoire J-C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 </w:t>
      </w:r>
      <w:hyperlink r:id="rId5088665a5b19dcb38" w:history="1">
        <w:r>
          <w:rPr>
            <w:rFonts w:ascii="Calibri" w:hAnsi="Calibri" w:eastAsia="Calibri" w:cs="Calibri"/>
            <w:color w:val="0000CC"/>
            <w:sz w:val="22"/>
            <w:szCs w:val="22"/>
            <w:u w:val="single"/>
          </w:rPr>
          <w:t xml:space="preserve">https://doi.org/10.1007/s10340-018-0954-4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CABI Compendium </w:t>
      </w:r>
      <w:hyperlink r:id="rId1531665a5b19dcb93" w:history="1">
        <w:r>
          <w:rPr>
            <w:rFonts w:ascii="Calibri" w:hAnsi="Calibri" w:eastAsia="Calibri" w:cs="Calibri"/>
            <w:color w:val="0000CC"/>
            <w:sz w:val="22"/>
            <w:szCs w:val="22"/>
            <w:u w:val="single"/>
          </w:rPr>
          <w:t xml:space="preserve">https://doi.org/10.1079/cabicompendium.34720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LS &amp; Dillon ES (1941) The tribe </w:t>
      </w:r>
      <w:r>
        <w:rPr>
          <w:rFonts w:ascii="Calibri" w:hAnsi="Calibri" w:eastAsia="Calibri" w:cs="Calibri"/>
          <w:i/>
          <w:iCs/>
          <w:color w:val="000000"/>
          <w:sz w:val="22"/>
          <w:szCs w:val="22"/>
        </w:rPr>
        <w:t xml:space="preserve">Monochamini</w:t>
      </w:r>
      <w:r>
        <w:rPr>
          <w:rFonts w:ascii="Calibri" w:hAnsi="Calibri" w:eastAsia="Calibri" w:cs="Calibri"/>
          <w:color w:val="000000"/>
          <w:sz w:val="22"/>
          <w:szCs w:val="22"/>
        </w:rPr>
        <w:t xml:space="preserve"> in the western hemisphere (Coleoptera: Cerambycidae). Reading Public Museum and Art Gallery Scientific Publications Number 1.</w:t>
      </w:r>
    </w:p>
    <w:p>
      <w:pPr>
        <w:widowControl w:val="on"/>
        <w:pBdr/>
        <w:spacing w:before="220" w:after="220" w:line="240" w:lineRule="auto"/>
        <w:ind w:left="0" w:right="0"/>
        <w:jc w:val="left"/>
      </w:pPr>
      <w:r>
        <w:rPr>
          <w:rFonts w:ascii="Calibri" w:hAnsi="Calibri" w:eastAsia="Calibri" w:cs="Calibri"/>
          <w:color w:val="000000"/>
          <w:sz w:val="22"/>
          <w:szCs w:val="22"/>
        </w:rPr>
        <w:t xml:space="preserve">Donald PA; Stamps WT, Linit MJ &amp; Todd TC (2016) Pine Wilt Disease. The Plant Health Instructor;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(1997) The pinewood nematode: regulation and mitigation.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153-166.</w:t>
      </w:r>
    </w:p>
    <w:p>
      <w:pPr>
        <w:widowControl w:val="on"/>
        <w:pBdr/>
        <w:spacing w:before="220" w:after="220" w:line="240" w:lineRule="auto"/>
        <w:ind w:left="0" w:right="0"/>
        <w:jc w:val="left"/>
      </w:pPr>
      <w:r>
        <w:rPr>
          <w:rFonts w:ascii="Calibri" w:hAnsi="Calibri" w:eastAsia="Calibri" w:cs="Calibri"/>
          <w:color w:val="000000"/>
          <w:sz w:val="22"/>
          <w:szCs w:val="22"/>
        </w:rPr>
        <w:t xml:space="preserve">Edwards O R &amp; Linit MJ (1991) Oviposition behavior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infested with the pinewood nematode.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319-323.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publications</w:t>
      </w:r>
      <w:r>
        <w:rPr>
          <w:rFonts w:ascii="Calibri" w:hAnsi="Calibri" w:eastAsia="Calibri" w:cs="Calibri"/>
          <w:color w:val="000000"/>
          <w:sz w:val="22"/>
          <w:szCs w:val="22"/>
        </w:rPr>
        <w:t xml:space="preserve"> 2020-EN-1781. </w:t>
      </w:r>
      <w:hyperlink r:id="rId1976665a5b19dce5d"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National regulatory control systems.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Commodity-speciﬁc phytosanitary measures.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w:t>
      </w:r>
      <w:hyperlink r:id="rId7946665a5b19dcf8c"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&amp;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4145665a5b19dcfe0" w:history="1">
        <w:r>
          <w:rPr>
            <w:rFonts w:ascii="Calibri" w:hAnsi="Calibri" w:eastAsia="Calibri" w:cs="Calibri"/>
            <w:color w:val="0000CC"/>
            <w:sz w:val="22"/>
            <w:szCs w:val="22"/>
            <w:u w:val="single"/>
          </w:rPr>
          <w:t xml:space="preserve">https://gd.eppo.int/taxon/BURSXY/documents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IPPC Secretariat,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552665a5b19dd034"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&amp;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22, </w:t>
      </w:r>
      <w:r>
        <w:rPr>
          <w:rFonts w:ascii="Calibri" w:hAnsi="Calibri" w:eastAsia="Calibri" w:cs="Calibri"/>
          <w:color w:val="000000"/>
          <w:sz w:val="22"/>
          <w:szCs w:val="22"/>
        </w:rPr>
        <w:t xml:space="preserve">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7304665a5b19dd183"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Hines JW &amp; Heikkenen HJ (1977) Beetles attracted to severed Virginia pine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Ibeas F, Diez JJ &amp; Pajares JA (2008). Olfactory sex attraction and mating behaviour in the pine sawyer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Kim G, Takabayashi J &amp; Tabata K (1992) Function of pheromones in mating behavior of the Japanese pine sawyer beetle,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489–497.</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(1988) The Japanese pine sawyer. In Dynamics of Forest Insect Populations: Patterns, Causes, Implications, ed. A. A. Beryman, 431-454. Plenum Pres. New York and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Koutroumpa FA, Vincent B, Roux-Morabito G, Martin C &amp; Lieutier F (2008) Fecundity and larval development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in experimental breeding.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707 (pp.11).</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(1985) Continuous laboratory culture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with notes on larval development.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212-213.</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disease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534 pp.</w:t>
      </w:r>
    </w:p>
    <w:p>
      <w:pPr>
        <w:widowControl w:val="on"/>
        <w:pBdr/>
        <w:spacing w:before="220" w:after="220" w:line="240" w:lineRule="auto"/>
        <w:ind w:left="0" w:right="0"/>
        <w:jc w:val="left"/>
      </w:pPr>
      <w:r>
        <w:rPr>
          <w:rFonts w:ascii="Calibri" w:hAnsi="Calibri" w:eastAsia="Calibri" w:cs="Calibri"/>
          <w:color w:val="000000"/>
          <w:sz w:val="22"/>
          <w:szCs w:val="22"/>
        </w:rPr>
        <w:t xml:space="preserve">Macias-Samano JE, Wakarchuk D, Millar JG &amp; Hanks LM (2012) 2-Undecyloxy-1-ethanol in combination with other semiochemicals attracts three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Cerambycidae) in British Columbia.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764-768.</w:t>
      </w:r>
    </w:p>
    <w:p>
      <w:pPr>
        <w:widowControl w:val="on"/>
        <w:pBdr/>
        <w:spacing w:before="220" w:after="220" w:line="240" w:lineRule="auto"/>
        <w:ind w:left="0" w:right="0"/>
        <w:jc w:val="left"/>
      </w:pPr>
      <w:r>
        <w:rPr>
          <w:rFonts w:ascii="Calibri" w:hAnsi="Calibri" w:eastAsia="Calibri" w:cs="Calibri"/>
          <w:color w:val="000000"/>
          <w:sz w:val="22"/>
          <w:szCs w:val="22"/>
        </w:rPr>
        <w:t xml:space="preserve">MacRae TC (1993) Annotated checklist of the longhorned beetles (Coleoptera: Cerambycidae and Disteniidae) occurring in Missouri.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223-252.</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6th Congress of Forestry,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1684-1692.</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De Sousa E &amp; Quartau JA (2006) Reproductive traits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289-294.</w:t>
      </w:r>
    </w:p>
    <w:p>
      <w:pPr>
        <w:widowControl w:val="on"/>
        <w:pBdr/>
        <w:spacing w:before="220" w:after="220" w:line="240" w:lineRule="auto"/>
        <w:ind w:left="0" w:right="0"/>
        <w:jc w:val="left"/>
      </w:pPr>
      <w:r>
        <w:rPr>
          <w:rFonts w:ascii="Calibri" w:hAnsi="Calibri" w:eastAsia="Calibri" w:cs="Calibri"/>
          <w:color w:val="000000"/>
          <w:sz w:val="22"/>
          <w:szCs w:val="22"/>
        </w:rPr>
        <w:t xml:space="preserve">Ogawa S &amp; Hagiwara Y (1980) Expansion of the pine infestation caused by pine wood nematodes. </w:t>
      </w:r>
      <w:r>
        <w:rPr>
          <w:rFonts w:ascii="Calibri" w:hAnsi="Calibri" w:eastAsia="Calibri" w:cs="Calibri"/>
          <w:i/>
          <w:iCs/>
          <w:color w:val="000000"/>
          <w:sz w:val="22"/>
          <w:szCs w:val="22"/>
        </w:rPr>
        <w:t xml:space="preserve">Shinrin Boeki (Forest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115–117.</w:t>
      </w:r>
    </w:p>
    <w:p>
      <w:pPr>
        <w:widowControl w:val="on"/>
        <w:pBdr/>
        <w:spacing w:before="220" w:after="220" w:line="240" w:lineRule="auto"/>
        <w:ind w:left="0" w:right="0"/>
        <w:jc w:val="left"/>
      </w:pPr>
      <w:r>
        <w:rPr>
          <w:rFonts w:ascii="Calibri" w:hAnsi="Calibri" w:eastAsia="Calibri" w:cs="Calibri"/>
          <w:color w:val="000000"/>
          <w:sz w:val="22"/>
          <w:szCs w:val="22"/>
        </w:rPr>
        <w:t xml:space="preserve">Osada Y, Yamakita T, Shoda-Kagaya E, Liebhold AM &amp; Yamanaka T (2018) Disentangling the drivers of invasion spread in a vector-borne tree disease</w:t>
      </w:r>
      <w:r>
        <w:rPr>
          <w:rFonts w:ascii="Calibri" w:hAnsi="Calibri" w:eastAsia="Calibri" w:cs="Calibri"/>
          <w:i/>
          <w:iCs/>
          <w:color w:val="000000"/>
          <w:sz w:val="22"/>
          <w:szCs w:val="22"/>
        </w:rPr>
        <w:t xml:space="preserve">. Journal of Animal Ecology</w:t>
      </w:r>
      <w:r>
        <w:rPr>
          <w:rFonts w:ascii="Calibri" w:hAnsi="Calibri" w:eastAsia="Calibri" w:cs="Calibri"/>
          <w:color w:val="000000"/>
          <w:sz w:val="22"/>
          <w:szCs w:val="22"/>
        </w:rPr>
        <w:t xml:space="preserve">, 1–13. </w:t>
      </w:r>
      <w:hyperlink r:id="rId8813665a5b19dd820" w:history="1">
        <w:r>
          <w:rPr>
            <w:rFonts w:ascii="Calibri" w:hAnsi="Calibri" w:eastAsia="Calibri" w:cs="Calibri"/>
            <w:color w:val="0000CC"/>
            <w:sz w:val="22"/>
            <w:szCs w:val="22"/>
            <w:u w:val="single"/>
          </w:rPr>
          <w:t xml:space="preserve">https://doi.org/10.1111/1365-2656. 12884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Ibeas F, Gallego D, Hall DR &amp; Farman DI (2010) Identification and field activity of a male-produced aggregation pheromone in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570-583.</w:t>
      </w:r>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Hall DR, Douglas P, Centeno F, Ibarra N, Schroeder M, Teale SA, Wang Z, Yan S, Millar JG &amp; Hanks LM (2013) 2-(Undecyloxy)-ethanol is a major component of the male‐produced aggregation pheromone of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118-127.</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(1986a) Development and seasonal occurrence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(1986b) Biology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on Scotch pine in Missouri.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Rasatti,D, Toffolo EP Battisti A &amp; Faccoli M (2012) Monitoring of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by pheromone traps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329–336.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Tsuchiya D, Sato H &amp; Kushida T (1995) Microbial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by application of nonwoven fabric strips with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(Deuteromycotina: Hyphomycetes) on infested tree trunks.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(2009) Use of Microbes for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Vector of the Invasive Pinewood Nematode. In: Hajek, A.E., Glare, T.R., O’Callaghan, M. (eds) Use of Microbes for Control and Eradication of Invasive Arthropods. Progress in Biological Control, vol 6. Springer, Dordrecht. </w:t>
      </w:r>
      <w:hyperlink r:id="rId4164665a5b19ddcd1" w:history="1">
        <w:r>
          <w:rPr>
            <w:rFonts w:ascii="Calibri" w:hAnsi="Calibri" w:eastAsia="Calibri" w:cs="Calibri"/>
            <w:color w:val="0000CC"/>
            <w:sz w:val="22"/>
            <w:szCs w:val="22"/>
            <w:u w:val="single"/>
          </w:rPr>
          <w:t xml:space="preserve">https://doi.org/10.1007/978-1-4020-8560-4_9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Teale SA, Wickham JD, Zhang F, Su J, Chen Y, Xiao W, Hanks LM &amp; Millar JG (2011) A male-produced aggregation pheromone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 major vector of pine wood nematode.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1592–1598.</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(1997) Lifetime fecundity and body size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at a constant temperature. </w:t>
      </w:r>
      <w:r>
        <w:rPr>
          <w:rFonts w:ascii="Calibri" w:hAnsi="Calibri" w:eastAsia="Calibri" w:cs="Calibri"/>
          <w:i/>
          <w:iCs/>
          <w:color w:val="000000"/>
          <w:sz w:val="22"/>
          <w:szCs w:val="22"/>
        </w:rPr>
        <w:t xml:space="preserve">Japanese Journal of Entomology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458–470.</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Magira H (1981) Age-specific survival rate and fecundity of the adult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at different emergence times.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351–361.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Appleby JE, Sadeghi HO &amp; Malek RB (2009) Age specific survival rate and fecundity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field conditions.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Torres-Villa LM, Zugasti C, De-Juan JM, Oliva MJ, Montero C, Mendola FJ, Conejo Y, Sánchez Á, Fernández, F, Ponce F &amp; Espárrago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 International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(1984) Feeding preferences of the adult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for four pine species.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1164-1166.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(1985) Oviposition biology of the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Webb JL (1909) Some insects injurious to forests. The southern pine sawyer.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41-56.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Forest Pest Leaflet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USDA,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Süleyman Akbulut.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EPPO datasheets on pests recommended for regulation. Available online. </w:t>
      </w:r>
      <w:hyperlink r:id="rId3765665a5b19de1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070808" name="name9266665a5b19de2a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99665a5b19de2a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4790816">
    <w:multiLevelType w:val="hybridMultilevel"/>
    <w:lvl w:ilvl="0" w:tplc="79386113">
      <w:start w:val="1"/>
      <w:numFmt w:val="decimal"/>
      <w:lvlText w:val="%1."/>
      <w:lvlJc w:val="left"/>
      <w:pPr>
        <w:ind w:left="720" w:hanging="360"/>
      </w:pPr>
    </w:lvl>
    <w:lvl w:ilvl="1" w:tplc="79386113" w:tentative="1">
      <w:start w:val="1"/>
      <w:numFmt w:val="lowerLetter"/>
      <w:lvlText w:val="%2."/>
      <w:lvlJc w:val="left"/>
      <w:pPr>
        <w:ind w:left="1440" w:hanging="360"/>
      </w:pPr>
    </w:lvl>
    <w:lvl w:ilvl="2" w:tplc="79386113" w:tentative="1">
      <w:start w:val="1"/>
      <w:numFmt w:val="lowerRoman"/>
      <w:lvlText w:val="%3."/>
      <w:lvlJc w:val="right"/>
      <w:pPr>
        <w:ind w:left="2160" w:hanging="180"/>
      </w:pPr>
    </w:lvl>
    <w:lvl w:ilvl="3" w:tplc="79386113" w:tentative="1">
      <w:start w:val="1"/>
      <w:numFmt w:val="decimal"/>
      <w:lvlText w:val="%4."/>
      <w:lvlJc w:val="left"/>
      <w:pPr>
        <w:ind w:left="2880" w:hanging="360"/>
      </w:pPr>
    </w:lvl>
    <w:lvl w:ilvl="4" w:tplc="79386113" w:tentative="1">
      <w:start w:val="1"/>
      <w:numFmt w:val="lowerLetter"/>
      <w:lvlText w:val="%5."/>
      <w:lvlJc w:val="left"/>
      <w:pPr>
        <w:ind w:left="3600" w:hanging="360"/>
      </w:pPr>
    </w:lvl>
    <w:lvl w:ilvl="5" w:tplc="79386113" w:tentative="1">
      <w:start w:val="1"/>
      <w:numFmt w:val="lowerRoman"/>
      <w:lvlText w:val="%6."/>
      <w:lvlJc w:val="right"/>
      <w:pPr>
        <w:ind w:left="4320" w:hanging="180"/>
      </w:pPr>
    </w:lvl>
    <w:lvl w:ilvl="6" w:tplc="79386113" w:tentative="1">
      <w:start w:val="1"/>
      <w:numFmt w:val="decimal"/>
      <w:lvlText w:val="%7."/>
      <w:lvlJc w:val="left"/>
      <w:pPr>
        <w:ind w:left="5040" w:hanging="360"/>
      </w:pPr>
    </w:lvl>
    <w:lvl w:ilvl="7" w:tplc="79386113" w:tentative="1">
      <w:start w:val="1"/>
      <w:numFmt w:val="lowerLetter"/>
      <w:lvlText w:val="%8."/>
      <w:lvlJc w:val="left"/>
      <w:pPr>
        <w:ind w:left="5760" w:hanging="360"/>
      </w:pPr>
    </w:lvl>
    <w:lvl w:ilvl="8" w:tplc="79386113" w:tentative="1">
      <w:start w:val="1"/>
      <w:numFmt w:val="lowerRoman"/>
      <w:lvlText w:val="%9."/>
      <w:lvlJc w:val="right"/>
      <w:pPr>
        <w:ind w:left="6480" w:hanging="180"/>
      </w:pPr>
    </w:lvl>
  </w:abstractNum>
  <w:abstractNum w:abstractNumId="39263778">
    <w:multiLevelType w:val="hybridMultilevel"/>
    <w:lvl w:ilvl="0" w:tplc="76887898">
      <w:start w:val="1"/>
      <w:numFmt w:val="decimal"/>
      <w:lvlText w:val="%1."/>
      <w:lvlJc w:val="left"/>
      <w:pPr>
        <w:ind w:left="720" w:hanging="360"/>
      </w:pPr>
    </w:lvl>
    <w:lvl w:ilvl="1" w:tplc="76887898" w:tentative="1">
      <w:start w:val="1"/>
      <w:numFmt w:val="lowerLetter"/>
      <w:lvlText w:val="%2."/>
      <w:lvlJc w:val="left"/>
      <w:pPr>
        <w:ind w:left="1440" w:hanging="360"/>
      </w:pPr>
    </w:lvl>
    <w:lvl w:ilvl="2" w:tplc="76887898" w:tentative="1">
      <w:start w:val="1"/>
      <w:numFmt w:val="lowerRoman"/>
      <w:lvlText w:val="%3."/>
      <w:lvlJc w:val="right"/>
      <w:pPr>
        <w:ind w:left="2160" w:hanging="180"/>
      </w:pPr>
    </w:lvl>
    <w:lvl w:ilvl="3" w:tplc="76887898" w:tentative="1">
      <w:start w:val="1"/>
      <w:numFmt w:val="decimal"/>
      <w:lvlText w:val="%4."/>
      <w:lvlJc w:val="left"/>
      <w:pPr>
        <w:ind w:left="2880" w:hanging="360"/>
      </w:pPr>
    </w:lvl>
    <w:lvl w:ilvl="4" w:tplc="76887898" w:tentative="1">
      <w:start w:val="1"/>
      <w:numFmt w:val="lowerLetter"/>
      <w:lvlText w:val="%5."/>
      <w:lvlJc w:val="left"/>
      <w:pPr>
        <w:ind w:left="3600" w:hanging="360"/>
      </w:pPr>
    </w:lvl>
    <w:lvl w:ilvl="5" w:tplc="76887898" w:tentative="1">
      <w:start w:val="1"/>
      <w:numFmt w:val="lowerRoman"/>
      <w:lvlText w:val="%6."/>
      <w:lvlJc w:val="right"/>
      <w:pPr>
        <w:ind w:left="4320" w:hanging="180"/>
      </w:pPr>
    </w:lvl>
    <w:lvl w:ilvl="6" w:tplc="76887898" w:tentative="1">
      <w:start w:val="1"/>
      <w:numFmt w:val="decimal"/>
      <w:lvlText w:val="%7."/>
      <w:lvlJc w:val="left"/>
      <w:pPr>
        <w:ind w:left="5040" w:hanging="360"/>
      </w:pPr>
    </w:lvl>
    <w:lvl w:ilvl="7" w:tplc="76887898" w:tentative="1">
      <w:start w:val="1"/>
      <w:numFmt w:val="lowerLetter"/>
      <w:lvlText w:val="%8."/>
      <w:lvlJc w:val="left"/>
      <w:pPr>
        <w:ind w:left="5760" w:hanging="360"/>
      </w:pPr>
    </w:lvl>
    <w:lvl w:ilvl="8" w:tplc="76887898" w:tentative="1">
      <w:start w:val="1"/>
      <w:numFmt w:val="lowerRoman"/>
      <w:lvlText w:val="%9."/>
      <w:lvlJc w:val="right"/>
      <w:pPr>
        <w:ind w:left="6480" w:hanging="180"/>
      </w:pPr>
    </w:lvl>
  </w:abstractNum>
  <w:abstractNum w:abstractNumId="39263777">
    <w:multiLevelType w:val="hybridMultilevel"/>
    <w:lvl w:ilvl="0" w:tplc="46650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63777">
    <w:abstractNumId w:val="39263777"/>
  </w:num>
  <w:num w:numId="39263778">
    <w:abstractNumId w:val="39263778"/>
  </w:num>
  <w:num w:numId="574790816">
    <w:abstractNumId w:val="5747908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6212090" Type="http://schemas.microsoft.com/office/2011/relationships/commentsExtended" Target="commentsExtended.xml"/><Relationship Id="rId276359655" Type="http://schemas.microsoft.com/office/2011/relationships/people" Target="people.xml"/><Relationship Id="rId7382665a5b19d9560" Type="http://schemas.openxmlformats.org/officeDocument/2006/relationships/hyperlink" Target="https://gd.eppo.int/taxon/MONCCA/" TargetMode="External"/><Relationship Id="rId4324665a5b19d95a6" Type="http://schemas.openxmlformats.org/officeDocument/2006/relationships/hyperlink" Target="https://gd.eppo.int/taxon/MONCCA/categorization" TargetMode="External"/><Relationship Id="rId5088665a5b19dcb38" Type="http://schemas.openxmlformats.org/officeDocument/2006/relationships/hyperlink" Target="https://doi.org/10.1007/s10340-018-0954-4" TargetMode="External"/><Relationship Id="rId1531665a5b19dcb93" Type="http://schemas.openxmlformats.org/officeDocument/2006/relationships/hyperlink" Target="https://doi.org/10.1079/cabicompendium.34720" TargetMode="External"/><Relationship Id="rId1976665a5b19dce5d" Type="http://schemas.openxmlformats.org/officeDocument/2006/relationships/hyperlink" Target="https://doi.org/10.2903/sp.efsa.2020.EN-1781" TargetMode="External"/><Relationship Id="rId7946665a5b19dcf8c" Type="http://schemas.openxmlformats.org/officeDocument/2006/relationships/hyperlink" Target="https://gd.eppo.int/taxon/BURSXY/datasheet" TargetMode="External"/><Relationship Id="rId4145665a5b19dcfe0" Type="http://schemas.openxmlformats.org/officeDocument/2006/relationships/hyperlink" Target="https://gd.eppo.int/taxon/BURSXY/documents" TargetMode="External"/><Relationship Id="rId4552665a5b19dd034" Type="http://schemas.openxmlformats.org/officeDocument/2006/relationships/hyperlink" Target="https://www.ippc.int/en/publications/640/" TargetMode="External"/><Relationship Id="rId7304665a5b19dd183" Type="http://schemas.openxmlformats.org/officeDocument/2006/relationships/hyperlink" Target="https://www.fs.usda.gov/Internet/FSE_DOCUMENTS/stelprdb5187547.pdf" TargetMode="External"/><Relationship Id="rId8813665a5b19dd820" Type="http://schemas.openxmlformats.org/officeDocument/2006/relationships/hyperlink" Target="https://doi.org/10.1111/1365-2656.%2012884" TargetMode="External"/><Relationship Id="rId4164665a5b19ddcd1" Type="http://schemas.openxmlformats.org/officeDocument/2006/relationships/hyperlink" Target="https://doi.org/10.1007/978-1-4020-8560-4_9" TargetMode="External"/><Relationship Id="rId3765665a5b19de1e1" Type="http://schemas.openxmlformats.org/officeDocument/2006/relationships/hyperlink" Target="https://gd.eppo.int" TargetMode="External"/><Relationship Id="rId6418665a5b19da8ac" Type="http://schemas.openxmlformats.org/officeDocument/2006/relationships/image" Target="media/imgrId6418665a5b19da8ac.jpg"/><Relationship Id="rId3799665a5b19de2a8" Type="http://schemas.openxmlformats.org/officeDocument/2006/relationships/image" Target="media/imgrId3799665a5b19de2a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