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vredendalensis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vredendalensis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 Klerk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1850665b6d48e677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218665b6d48e67d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MARGVR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780542" name="name2043665b6d48e6fda" descr="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jpg"/>
                          <pic:cNvPicPr/>
                        </pic:nvPicPr>
                        <pic:blipFill>
                          <a:blip r:embed="rId6919665b6d48e6fd8" cstate="print"/>
                          <a:stretch>
                            <a:fillRect/>
                          </a:stretch>
                        </pic:blipFill>
                        <pic:spPr>
                          <a:xfrm>
                            <a:off x="0" y="0"/>
                            <a:ext cx="2160000" cy="1281600"/>
                          </a:xfrm>
                          <a:prstGeom prst="rect">
                            <a:avLst/>
                          </a:prstGeom>
                          <a:ln w="0">
                            <a:noFill/>
                          </a:ln>
                        </pic:spPr>
                      </pic:pic>
                    </a:graphicData>
                  </a:graphic>
                </wp:inline>
              </w:drawing>
            </w:r>
            <w:hyperlink r:id="rId2544665b6d48e710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1983;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has only been recorded on the roots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so far (De Klerk, 1983). This would be the host at risk in the EPPO region. It is by no means certain that grapevine is the only cultivated crop that this ground pearl could infest. The indigenous host plants of the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has been recorded only from South Africa where it occurs in the Western Cape province and Northern Olifants River Valley (de Klerk, 1978).</w:t>
      </w:r>
    </w:p>
    <w:p>
      <w:r>
        <w:drawing>
          <wp:inline distT="0" distB="0" distL="0" distR="0">
            <wp:extent cx="6120000" cy="3067200"/>
            <wp:docPr id="76872648" name="name5920665b6d48e7f10" descr="MARGV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VR_distribution_map.jpg"/>
                    <pic:cNvPicPr/>
                  </pic:nvPicPr>
                  <pic:blipFill>
                    <a:blip r:embed="rId1141665b6d48e7f0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is parthenogenetic, with one generation per year (de Klerk, 1980;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The females live in soil in the zones of greatest root abundance, usually at a depth of 46-60 cm but sometimes as deep as 120 cm. Under laboratory conditions, only 10-16% of the cysts developed into adult females annually, emerging in late summer (January and February) even when cysts were detached from the host plant; in a single population, adult females emerged in four successive years. The average adult female lifespan was 40 days, with oviposition commencing about 15 days after emergence from the cyst and occurring over a period of 18 days. An average of 507 eggs per female were deposited in the soil close to grapevine roots, in a pocket lined with secreted wax filaments. The eggs hatched 34-48 days later, in the autumn (de Klerk, 1980). Newly hatched nymphs disperse through the soil and attach to the rootlets, 0.5-1.2 m below the soil surface, by their mouthparts, to feed; they then become sessile. The legless second-instar nymphal stage lasts for more than a year (de Klerk, 2017) and has two phases: an initial feeding and growing phase, followed by secretion of a protective waxy covering and multiple moults to form a pearl-like, dormant non-feeding cyst resistant to unfavourable conditions. Cysts remain attached to the roots by their long, sucking mouthparts (de Klerk, 2017) and can remain viable in the soil for several years; their maximum longevity is not known. Nor is it known precisely what triggers, or can prevent, cyst formation. The vertical distribution of cysts was directly related to the vertical distribution of roots and had a significant negative correlation with soil moisture and percentage of clay in the soil (de Klerk,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approximately 0.6 mm long, smooth, glossy-white, elongate-ovoid and slightly curved, with one end more bluntly pointed than the other (EPPO, 2007).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approximately 1 mm long, with antennae and legs clearly visible under the dissection microscope. The second-instar cysts (ground pearls) are up to 8.6 mm in diameter, approximately spherical, light to dark brown, thick-walled and very hard, with a warty surface texture (de Klerk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1982; de Klerk 2017). When the hard outer layers are removed, the insect within is yellow.</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ovoid yellow adult females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vary considerably in size (up to 10 mm long and 5 mm wide), with soft deeply segmented bodies densely covered with long hair-like setae; they have characteristic enlarged fossorial (digging) forelegs with dark-brown claws. An adult female lives up to 49 days, dying soon after oviposition (de Klerk, 1980). In slide-mounted adult females the body spines are not bulbous, and are all of similar size; there are seven pairs of abdominal spiracles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Watson, 2022). For detailed morphological descriptions of the immature and adult female stages, see Jakubski (1965)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and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from this country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to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never appear at the soil surface because they do not need to mate (de Klerk, 2017).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light to dark brown spherical cysts up to 8.6 mm in diameter with a warty surface texture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de Klerk, 2017). Cysts on roots or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The EPPO diagnostic protocol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extremely limited due to the subterranean habit of the insect; the first 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ground pearls are increasingly serious pests of vineyards in Northern South Africa, where grapevines are grown to produce table grapes, wine and dried fruits. Infestation of vines stressed by drought or nematode infestation can result in them dying in patches. In the case of the related species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some vineyards have been completely destroyed (de Klerk, 1980; Swart &amp; de Klerk, 1986). Ground pearls devitalize the host directly by sap and nutrient depletion and probably by injecting toxins, and vines sometimes die within five or six years (de Klerk, 2017). The pest is difficult to control due to its subterranean habit and even after an interval of several years, vineyards replanted in infested soils are readily reinfested. Infested land may become permanently unsuitable for commercial vineyard cultivation (de Klerk,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1980),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vredendalensis </w:t>
      </w:r>
      <w:r>
        <w:rPr>
          <w:rFonts w:ascii="Calibri" w:hAnsi="Calibri" w:eastAsia="Calibri" w:cs="Calibri"/>
          <w:color w:val="000000"/>
          <w:sz w:val="22"/>
          <w:szCs w:val="22"/>
        </w:rPr>
        <w:t xml:space="preserve">occurs in South Africa around the towns of Vredendal, Lutzville and Van Rhynsdorp, in hot arid (Köppen-Geiger climate type Bwh) and cold arid (Bwk) desert regions, where horticulture depends on irrigation from the Olifants River (E. Allsopp, pers. comm., ARC Infruitec-Nietvoorbij, 2022).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would be able to establish in the EPPO region (EFSA, 2019), particularly in drier Mediterranean areas (E. Allsopp, pers. comm., ARC Infruitec-Nietvoorbij, 2022).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vredendalensis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2755665b6d48e8c26"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2948665b6d48e8cd9"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color w:val="000000"/>
          <w:sz w:val="22"/>
          <w:szCs w:val="22"/>
        </w:rPr>
        <w:t xml:space="preserve">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5153665b6d48e8d79"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330–349. Available from: </w:t>
      </w:r>
      <w:hyperlink r:id="rId2667665b6d48e8e14"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8158665b6d48e8e55"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 (N.S.)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Margarodes spp. In: Encyclopedia of Scale Insect Pests (Eds Kondo T &amp; Watson GW), pp. 69-73. CAB International, Wallingford (UK).Jakubski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Margarodidea),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at </w:t>
      </w:r>
      <w:hyperlink r:id="rId7317665b6d48e8fbd"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4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(1983) Two new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8414665b6d48e910f"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w:t>
      </w:r>
      <w:r>
        <w:rPr>
          <w:rFonts w:ascii="Calibri" w:hAnsi="Calibri" w:eastAsia="Calibri" w:cs="Calibri"/>
          <w:color w:val="000000"/>
          <w:sz w:val="22"/>
          <w:szCs w:val="22"/>
        </w:rPr>
        <w:t xml:space="preserve"> (Ed. by Myburgh, A.C.), 92 pp.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EPPO datasheets on pests recommended for regulation. Available online. </w:t>
      </w:r>
      <w:hyperlink r:id="rId5029665b6d48e935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5652140" name="name7941665b6d48e94a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79665b6d48e94a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457096">
    <w:multiLevelType w:val="hybridMultilevel"/>
    <w:lvl w:ilvl="0" w:tplc="86383061">
      <w:start w:val="1"/>
      <w:numFmt w:val="decimal"/>
      <w:lvlText w:val="%1."/>
      <w:lvlJc w:val="left"/>
      <w:pPr>
        <w:ind w:left="720" w:hanging="360"/>
      </w:pPr>
    </w:lvl>
    <w:lvl w:ilvl="1" w:tplc="86383061" w:tentative="1">
      <w:start w:val="1"/>
      <w:numFmt w:val="lowerLetter"/>
      <w:lvlText w:val="%2."/>
      <w:lvlJc w:val="left"/>
      <w:pPr>
        <w:ind w:left="1440" w:hanging="360"/>
      </w:pPr>
    </w:lvl>
    <w:lvl w:ilvl="2" w:tplc="86383061" w:tentative="1">
      <w:start w:val="1"/>
      <w:numFmt w:val="lowerRoman"/>
      <w:lvlText w:val="%3."/>
      <w:lvlJc w:val="right"/>
      <w:pPr>
        <w:ind w:left="2160" w:hanging="180"/>
      </w:pPr>
    </w:lvl>
    <w:lvl w:ilvl="3" w:tplc="86383061" w:tentative="1">
      <w:start w:val="1"/>
      <w:numFmt w:val="decimal"/>
      <w:lvlText w:val="%4."/>
      <w:lvlJc w:val="left"/>
      <w:pPr>
        <w:ind w:left="2880" w:hanging="360"/>
      </w:pPr>
    </w:lvl>
    <w:lvl w:ilvl="4" w:tplc="86383061" w:tentative="1">
      <w:start w:val="1"/>
      <w:numFmt w:val="lowerLetter"/>
      <w:lvlText w:val="%5."/>
      <w:lvlJc w:val="left"/>
      <w:pPr>
        <w:ind w:left="3600" w:hanging="360"/>
      </w:pPr>
    </w:lvl>
    <w:lvl w:ilvl="5" w:tplc="86383061" w:tentative="1">
      <w:start w:val="1"/>
      <w:numFmt w:val="lowerRoman"/>
      <w:lvlText w:val="%6."/>
      <w:lvlJc w:val="right"/>
      <w:pPr>
        <w:ind w:left="4320" w:hanging="180"/>
      </w:pPr>
    </w:lvl>
    <w:lvl w:ilvl="6" w:tplc="86383061" w:tentative="1">
      <w:start w:val="1"/>
      <w:numFmt w:val="decimal"/>
      <w:lvlText w:val="%7."/>
      <w:lvlJc w:val="left"/>
      <w:pPr>
        <w:ind w:left="5040" w:hanging="360"/>
      </w:pPr>
    </w:lvl>
    <w:lvl w:ilvl="7" w:tplc="86383061" w:tentative="1">
      <w:start w:val="1"/>
      <w:numFmt w:val="lowerLetter"/>
      <w:lvlText w:val="%8."/>
      <w:lvlJc w:val="left"/>
      <w:pPr>
        <w:ind w:left="5760" w:hanging="360"/>
      </w:pPr>
    </w:lvl>
    <w:lvl w:ilvl="8" w:tplc="86383061" w:tentative="1">
      <w:start w:val="1"/>
      <w:numFmt w:val="lowerRoman"/>
      <w:lvlText w:val="%9."/>
      <w:lvlJc w:val="right"/>
      <w:pPr>
        <w:ind w:left="6480" w:hanging="180"/>
      </w:pPr>
    </w:lvl>
  </w:abstractNum>
  <w:abstractNum w:abstractNumId="35457095">
    <w:multiLevelType w:val="hybridMultilevel"/>
    <w:lvl w:ilvl="0" w:tplc="286134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457095">
    <w:abstractNumId w:val="35457095"/>
  </w:num>
  <w:num w:numId="35457096">
    <w:abstractNumId w:val="354570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9137656" Type="http://schemas.microsoft.com/office/2011/relationships/commentsExtended" Target="commentsExtended.xml"/><Relationship Id="rId541055849" Type="http://schemas.microsoft.com/office/2011/relationships/people" Target="people.xml"/><Relationship Id="rId1850665b6d48e6772" Type="http://schemas.openxmlformats.org/officeDocument/2006/relationships/hyperlink" Target="https://gd.eppo.int/taxon/MARGVR/" TargetMode="External"/><Relationship Id="rId1218665b6d48e67db" Type="http://schemas.openxmlformats.org/officeDocument/2006/relationships/hyperlink" Target="https://gd.eppo.int/taxon/MARGVR/categorization" TargetMode="External"/><Relationship Id="rId2544665b6d48e710f" Type="http://schemas.openxmlformats.org/officeDocument/2006/relationships/hyperlink" Target="https://gd.eppo.int/taxon/MARGVR/photos" TargetMode="External"/><Relationship Id="rId2755665b6d48e8c26" Type="http://schemas.openxmlformats.org/officeDocument/2006/relationships/hyperlink" Target="https://efsa.onlinelibrary.wiley.com/doi/epdf/10.2903/j.efsa.2019.5672" TargetMode="External"/><Relationship Id="rId2948665b6d48e8cd9" Type="http://schemas.openxmlformats.org/officeDocument/2006/relationships/hyperlink" Target="https://gd.eppo.int/download/standard/206/pm7-082-1-en.pdf" TargetMode="External"/><Relationship Id="rId5153665b6d48e8d79" Type="http://schemas.openxmlformats.org/officeDocument/2006/relationships/hyperlink" Target="https://onlinelibrary.wiley.com/doi/epdf/10.1111/epp.12340" TargetMode="External"/><Relationship Id="rId2667665b6d48e8e14" Type="http://schemas.openxmlformats.org/officeDocument/2006/relationships/hyperlink" Target="https://gd.eppo.int/download/standard/738/pm3-085-1-en.pdf" TargetMode="External"/><Relationship Id="rId8158665b6d48e8e55" Type="http://schemas.openxmlformats.org/officeDocument/2006/relationships/hyperlink" Target="https://eur-lex.europa.eu/legal-content/EN/TXT/?uri=CELEX%3A32019R2072" TargetMode="External"/><Relationship Id="rId7317665b6d48e8fbd" Type="http://schemas.openxmlformats.org/officeDocument/2006/relationships/hyperlink" Target="https://doi.org/10.21548/1-1-2413" TargetMode="External"/><Relationship Id="rId8414665b6d48e910f" Type="http://schemas.openxmlformats.org/officeDocument/2006/relationships/hyperlink" Target="https://www.wineland.co.za/identification-control-management-grapevine-margarodes/" TargetMode="External"/><Relationship Id="rId5029665b6d48e935c" Type="http://schemas.openxmlformats.org/officeDocument/2006/relationships/hyperlink" Target="https://gd.eppo.int" TargetMode="External"/><Relationship Id="rId6919665b6d48e6fd8" Type="http://schemas.openxmlformats.org/officeDocument/2006/relationships/image" Target="media/imgrId6919665b6d48e6fd8.jpg"/><Relationship Id="rId1141665b6d48e7f0d" Type="http://schemas.openxmlformats.org/officeDocument/2006/relationships/image" Target="media/imgrId1141665b6d48e7f0d.jpg"/><Relationship Id="rId2579665b6d48e94a0" Type="http://schemas.openxmlformats.org/officeDocument/2006/relationships/image" Target="media/imgrId2579665b6d48e94a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