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prieskaensis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2022-05-19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prieskaensis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(Jakubski)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Sphaeraspis prieskaensis</w:t>
            </w:r>
            <w:r>
              <w:rPr>
                <w:rFonts w:ascii="Calibri" w:hAnsi="Calibri" w:eastAsia="Calibri" w:cs="Calibri"/>
                <w:color w:val="000000"/>
                <w:position w:val="-3"/>
                <w:sz w:val="22"/>
                <w:szCs w:val="22"/>
              </w:rPr>
              <w:t xml:space="preserve"> Jakubski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ground pearls, margarodes</w:t>
            </w:r>
            <w:hyperlink r:id="rId9614664acc98cdc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341664acc98cdc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MARGPR</w:t>
            </w:r>
          </w:p>
        </w:tc>
        <w:tc>
          <w:tcPr>
            <w:tcW w:w="2000" w:type="pct"/>
            <w:tcMar>
              <w:top w:w="15" w:type="dxa"/>
              <w:left w:w="15" w:type="dxa"/>
              <w:bottom w:w="15" w:type="dxa"/>
              <w:right w:w="15" w:type="dxa"/>
            </w:tcMar>
            <w:vAlign w:val="center"/>
          </w:tcPr>
          <w:p>
            <w:r>
              <w:rPr>
                <w:position w:val="-86"/>
              </w:rPr>
              <w:drawing>
                <wp:inline distT="0" distB="0" distL="0" distR="0">
                  <wp:extent cx="2160000" cy="1159200"/>
                  <wp:docPr id="48913872" name="name4568664acc98ce473" descr="13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8.jpg"/>
                          <pic:cNvPicPr/>
                        </pic:nvPicPr>
                        <pic:blipFill>
                          <a:blip r:embed="rId5368664acc98ce471" cstate="print"/>
                          <a:stretch>
                            <a:fillRect/>
                          </a:stretch>
                        </pic:blipFill>
                        <pic:spPr>
                          <a:xfrm>
                            <a:off x="0" y="0"/>
                            <a:ext cx="2160000" cy="1159200"/>
                          </a:xfrm>
                          <a:prstGeom prst="rect">
                            <a:avLst/>
                          </a:prstGeom>
                          <a:ln w="0">
                            <a:noFill/>
                          </a:ln>
                        </pic:spPr>
                      </pic:pic>
                    </a:graphicData>
                  </a:graphic>
                </wp:inline>
              </w:drawing>
            </w:r>
            <w:hyperlink r:id="rId8529664acc98ce5a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de Klerk (de Klerk, 1983;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Sphaeraspis prieskaensis</w:t>
      </w:r>
      <w:r>
        <w:rPr>
          <w:rFonts w:ascii="Calibri" w:hAnsi="Calibri" w:eastAsia="Calibri" w:cs="Calibri"/>
          <w:color w:val="000000"/>
          <w:sz w:val="22"/>
          <w:szCs w:val="22"/>
        </w:rPr>
        <w:t xml:space="preserve"> by Jakubski (1965). Morrison &amp; Morrison (1966) synonymized the genus </w:t>
      </w:r>
      <w:r>
        <w:rPr>
          <w:rFonts w:ascii="Calibri" w:hAnsi="Calibri" w:eastAsia="Calibri" w:cs="Calibri"/>
          <w:i/>
          <w:iCs/>
          <w:color w:val="000000"/>
          <w:sz w:val="22"/>
          <w:szCs w:val="22"/>
        </w:rPr>
        <w:t xml:space="preserve">Sphaeraspis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making the new combination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has only been recorded feeding on the roots of its hosts. Its only known crop host is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(Vitaceae); this would be the host at risk in the EPPO region. The only wild host known is the camel thorn tree, </w:t>
      </w:r>
      <w:r>
        <w:rPr>
          <w:rFonts w:ascii="Calibri" w:hAnsi="Calibri" w:eastAsia="Calibri" w:cs="Calibri"/>
          <w:i/>
          <w:iCs/>
          <w:color w:val="000000"/>
          <w:sz w:val="22"/>
          <w:szCs w:val="22"/>
        </w:rPr>
        <w:t xml:space="preserve">Vachellia erioloba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Acacia erioloba</w:t>
      </w:r>
      <w:r>
        <w:rPr>
          <w:rFonts w:ascii="Calibri" w:hAnsi="Calibri" w:eastAsia="Calibri" w:cs="Calibri"/>
          <w:color w:val="000000"/>
          <w:sz w:val="22"/>
          <w:szCs w:val="22"/>
        </w:rPr>
        <w:t xml:space="preserve">) (Fabaceae), which is common along the entire Orange River valley in Namibia and North-West South Africa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soil in areas where this tree grows may already contain the pest. The tree does not occur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erioloba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prieskaensis </w:t>
      </w:r>
      <w:r>
        <w:rPr>
          <w:rFonts w:ascii="Calibri" w:hAnsi="Calibri" w:eastAsia="Calibri" w:cs="Calibri"/>
          <w:color w:val="000000"/>
          <w:sz w:val="22"/>
          <w:szCs w:val="22"/>
        </w:rPr>
        <w:t xml:space="preserve">has been recorded only from Southern Africa, along the Orange River in Namibia (Karas region) and in Northern South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Africa (in the provinces of Northern Cape (Orange River irrigation area), Limpopo, parts of Mpumalanga and North West) (De Klerk, 1978,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r>
        <w:drawing>
          <wp:inline distT="0" distB="0" distL="0" distR="0">
            <wp:extent cx="6120000" cy="3067200"/>
            <wp:docPr id="75970056" name="name6325664acc98cf6d9" descr="MARG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PR_distribution_map.jpg"/>
                    <pic:cNvPicPr/>
                  </pic:nvPicPr>
                  <pic:blipFill>
                    <a:blip r:embed="rId2706664acc98cf6d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Namibia,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and behaviour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in Southern Africa was described in detail by Du Toit (1975). There is one generation per year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Eggs are laid in the spring (October and November) in the soil close to grapevine roots, at a depth of about 50 cm. Newly hatched nymphs disperse through the soil and attach to the rootlets by their mouthparts, to feed on roots 0.5-1.2 m below the soil surface, and then become sessile. The legless second-instar nymphal stage lasts for more than a year (de Klerk, 2017) and has two phases: an initial feeding and growing phase, followed by secretion of a protective waxy covering and multiple moults to form a pearl-like, non-feeding cyst resistant to unfavourable conditions. Cysts remain attached to the roots by their long, sucking mouthparts (de Klerk, 2017) and can remain dormant but viable in the soil for several years; their maximum longevity is not known. Nor is it known precisely what triggers, or can prevent, cyst formation. In autumn (from early May in the Northern Cape to August or even September in other regions), when the soil temperature at 50 cm depth is 16-24°C, male prepupae emerge from some of the cysts and migrate upwards to just below the soil surface (about 2.0 cm) to pupate; they undergo complete metamorphosis. In winter (June to August), just after the lowest subterranean temperatures (6-7°C) have been reached, sexually mature wingless females (from some cysts 50 cm deep in the soil) and small, inconspicuous winged males (from pupae about 2.0 cm below the soil surface) make their way up to the soil surface to mate (Du Toit, 1975; de Klerk,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Mating is usually complete by late winter (early September); then, over a period of about four days, the fertilized females burrow about 50 cm into the soil to lay eggs in a pocket lined with secreted wax filaments, near a root. The peak period of oviposition is in early spring (from the end of October to the beginning of November). On average, each fertilized adult female lives about 24 days and may produce about 900 eggs (De Klerk, 2017;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Vines infested with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damage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Pylloxeridae) but in the case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Newly laid eggs are each approximately 0.6 mm long, smooth, glossy-white, elongate-ovoid and slightly curved, with one end more bluntly pointed than the other (EPPO, 2007).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color w:val="000000"/>
          <w:sz w:val="22"/>
          <w:szCs w:val="22"/>
        </w:rPr>
        <w:t xml:space="preserve">First-instar nymphs are creamy white, elongate, approximately 1 mm long, with antennae and legs clearly visible. The second-instar cysts (ground pearls) are up to 6.0 mm in diameter, approximately spherical, dull yellow, thick-walled and very hard, with a surface texture resembling a tortoise shell (de Klerk, 2017). When the hard outer layers are removed, the insect within is bright yellow.</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ovoid yellow adult females vary considerably in size (up to 10 mm long and 5 mm wide), with soft deeply segmented bodies densely covered with long hair-like setae; they have characteristic enlarged fossorial (digging) forelegs with dark-brown claws. A fertilized adult female lives about 24 days, dying soon after oviposition (De Klerk, 2017); unfertilized females may survive for about 80 days (inferred from Du Toit, 1975). Slide-mounted adult females have bulbous spines on the posterior end of the abdomen and seven pairs of abdominal spiracles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1983). For detailed morphological descriptions of the immature and adult female stages, see Jakubski (1965),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also the EPPO diagnostic protocol (EPPO, 2007). The adult male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is 3.8-4.4 mm long (Hodgson &amp; Foldi, 2006) and resembles a midge, having long antennae, legs, a single pair of wings and a tail tuft of white wax filaments; it was described and illustrated by Hodgson and Foldi (2006). Males do not feed, and live for only about three days (Du Toit, 1975).</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and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Two references each cover some of the species from both South Africa and South America: Jakubski (1965) covers </w:t>
      </w:r>
      <w:r>
        <w:rPr>
          <w:rFonts w:ascii="Calibri" w:hAnsi="Calibri" w:eastAsia="Calibri" w:cs="Calibri"/>
          <w:i/>
          <w:iCs/>
          <w:color w:val="000000"/>
          <w:sz w:val="22"/>
          <w:szCs w:val="22"/>
        </w:rPr>
        <w:t xml:space="preserve">M. capensis, M. greeni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prieskensis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vitis</w:t>
      </w:r>
      <w:r>
        <w:rPr>
          <w:rFonts w:ascii="Calibri" w:hAnsi="Calibri" w:eastAsia="Calibri" w:cs="Calibri"/>
          <w:color w:val="000000"/>
          <w:sz w:val="22"/>
          <w:szCs w:val="22"/>
        </w:rPr>
        <w:t xml:space="preserve"> but gives no key, and is very difficult to use for identification purposes; and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gives very brief diagnoses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vitis</w:t>
      </w:r>
      <w:r>
        <w:rPr>
          <w:rFonts w:ascii="Calibri" w:hAnsi="Calibri" w:eastAsia="Calibri" w:cs="Calibri"/>
          <w:color w:val="000000"/>
          <w:sz w:val="22"/>
          <w:szCs w:val="22"/>
        </w:rPr>
        <w:t xml:space="preserve"> only, but no key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slide-mounted adult female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has the body covered with long and short, almost straight setae and has short bulbous spines on the posterior end of the abdomen; whereas that of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has numerous spines on the metathorax and abdomen, each spine being enlarged apically, and the spines become progressively denser towards the apex of the abdomen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In mid-winter, if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is present the yellow posteriors of adult females (waiting to mate) are clearly visible protruding through the soil surface (Du Toit, 1975; de Klerk 2017). Further investigation involves digging down to the main concentration of vine roots (between 0.5-1.2 m depth), where the roots and the soil closely surrounding them should be examined.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may be responsible for the damage. If root galls are not found, the inspection should look for dull yellow spherical cysts up to 6.0 mm in diameter with a surface texture like a tortoise shell. Cysts on roots or lying free in the soil are present throughout the year and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The EPPO diagnostic protocol for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also provides detection and identification methods based on Morphology (EPPO, 2007; see also Morphology).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is extremely limited due to the subterranean habit of the insect; the first 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w:t>
      </w:r>
      <w:r>
        <w:rPr>
          <w:rFonts w:ascii="Calibri" w:hAnsi="Calibri" w:eastAsia="Calibri" w:cs="Calibri"/>
          <w:color w:val="000000"/>
          <w:sz w:val="22"/>
          <w:szCs w:val="22"/>
        </w:rPr>
        <w:t xml:space="preserve"> is an increasingly serious pest of vineyards in Northern South Africa, where grapevines are grown to produce table grapes, wine, and dried fruits. Infestation results in vines dying in patches and several vineyards being completely destroyed (de Klerk, 1980; Swart &amp; de Klerk, 1986). The ground pearl devitalizes the host directly by sap and nutrient depletion and probably by injecting toxins, and vines in conditions of stress sometimes die within four to six years (de Klerk, 2017). The pest is difficult to control due to its subterranean habit and even after an interval of several years, vineyards replanted in infested soils are readily reinfested. Infested land may become permanently unsuitable for commercial vineyard cultivation (de Klerk,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is known that the grapevine root stock cultivars 99 Richter, 101-14 Mgt and Rupestris du Lot are killed by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(de Klerk, 2017). Although many European and American varieties have been tested, no cultivars resistant to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have been found. No natural enemies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have been documented. Consequently, the only possible control has been with insecticides, which presents technical problems because the target insects mostly live 0.5-1.2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(de Klerk, 1987; 2017). As cysts can survive in the soil for years without feeding and only a certain percentage of them annually develop into females (de Klerk, 1980), follow-up treatments in successive years are essential. In addition, fumigation against nematodes can reduce numbers of ground pearl male pre-pupae and pupae near the soil surface if present (de Klerk, 1987; 2017); care is necessary as some soil fumigants are phytotoxic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lasts longer than one year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If an infestation is suspected, in early spring yellow or white sticky traps can be used to detect winged males, to determine the emergence timing and the location and size of infestations for further insecticide treatment. The chemical structure of the sex pheromone of </w:t>
      </w:r>
      <w:r>
        <w:rPr>
          <w:rFonts w:ascii="Calibri" w:hAnsi="Calibri" w:eastAsia="Calibri" w:cs="Calibri"/>
          <w:i/>
          <w:iCs/>
          <w:color w:val="000000"/>
          <w:sz w:val="22"/>
          <w:szCs w:val="22"/>
        </w:rPr>
        <w:t xml:space="preserve">M. prieskaensis </w:t>
      </w:r>
      <w:r>
        <w:rPr>
          <w:rFonts w:ascii="Calibri" w:hAnsi="Calibri" w:eastAsia="Calibri" w:cs="Calibri"/>
          <w:color w:val="000000"/>
          <w:sz w:val="22"/>
          <w:szCs w:val="22"/>
        </w:rPr>
        <w:t xml:space="preserve">was recently identified (Giliomee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press) but is too complex to synthesise economically for use in pheromone traps to catch males.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extreme difficulty of controlling or eradicating ground pearls means that it is important that infestations are detected early and eliminated by fumigation of affected areas and replacing the vines. Annual follow-up evaluations are then necessary to decide on the need for any follow-up treatments (de Klerk,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 </w:t>
      </w:r>
      <w:r>
        <w:rPr>
          <w:rFonts w:ascii="Calibri" w:hAnsi="Calibri" w:eastAsia="Calibri" w:cs="Calibri"/>
          <w:color w:val="000000"/>
          <w:sz w:val="22"/>
          <w:szCs w:val="22"/>
        </w:rPr>
        <w:t xml:space="preserve">occurs in countries with a range of climate types including temperate oceanic climate (type Cfb according to the Köppen Geiger classification), which also occurs in the EPPO region where hosts are grown.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would be able to establish in the EPPO region (EFSA, 2019).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prieskaensis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2019/2072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a pest-free area for the whole country) or in a pest-free place/site of production for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382 pp.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5737664acc98d05e3"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2966664acc98d0699"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1503664acc98d072a"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 330–349. Available from: </w:t>
      </w:r>
      <w:hyperlink r:id="rId3261664acc98d07c7"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12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9504664acc98d080a"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Giliomee J, de Klerk C &amp; Watson GW (2022 in press) 3.3.4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(Eds Kondo T &amp; Watson GW), pp. 69-73.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CJ &amp; Foldi I (2006) A review of the Margarodidae </w:t>
      </w:r>
      <w:r>
        <w:rPr>
          <w:rFonts w:ascii="Calibri" w:hAnsi="Calibri" w:eastAsia="Calibri" w:cs="Calibri"/>
          <w:i/>
          <w:iCs/>
          <w:color w:val="000000"/>
          <w:sz w:val="22"/>
          <w:szCs w:val="22"/>
        </w:rPr>
        <w:t xml:space="preserve">sensu</w:t>
      </w:r>
      <w:r>
        <w:rPr>
          <w:rFonts w:ascii="Calibri" w:hAnsi="Calibri" w:eastAsia="Calibri" w:cs="Calibri"/>
          <w:color w:val="000000"/>
          <w:sz w:val="22"/>
          <w:szCs w:val="22"/>
        </w:rPr>
        <w:t xml:space="preserve"> Morrison (Hemiptera: Coccoidea) and some related taxa based on the morphology of adult males.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1263</w:t>
      </w:r>
      <w:r>
        <w:rPr>
          <w:rFonts w:ascii="Calibri" w:hAnsi="Calibri" w:eastAsia="Calibri" w:cs="Calibri"/>
          <w:color w:val="000000"/>
          <w:sz w:val="22"/>
          <w:szCs w:val="22"/>
        </w:rPr>
        <w:t xml:space="preserve">, 1-250. Available at </w:t>
      </w:r>
      <w:hyperlink r:id="rId9518664acc98d08f9" w:history="1">
        <w:r>
          <w:rPr>
            <w:rFonts w:ascii="Calibri" w:hAnsi="Calibri" w:eastAsia="Calibri" w:cs="Calibri"/>
            <w:color w:val="0000CC"/>
            <w:sz w:val="22"/>
            <w:szCs w:val="22"/>
            <w:u w:val="single"/>
          </w:rPr>
          <w:t xml:space="preserve">https://doi.org/10.11646/zootaxa.1263.1.1</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 British Museum (Natural History),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(1978) Morphology and taxonomy of the South African species of the genus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(Hemiptera: Margarodidea), with detailed studies on the biology of two vine infesting species. PhD thesis, Stellenbosch University, South Africa. </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(1980) Biology of </w:t>
      </w:r>
      <w:r>
        <w:rPr>
          <w:rFonts w:ascii="Calibri" w:hAnsi="Calibri" w:eastAsia="Calibri" w:cs="Calibri"/>
          <w:i/>
          <w:iCs/>
          <w:color w:val="000000"/>
          <w:sz w:val="22"/>
          <w:szCs w:val="22"/>
        </w:rPr>
        <w:t xml:space="preserve">Margarodes vredendalensis</w:t>
      </w:r>
      <w:r>
        <w:rPr>
          <w:rFonts w:ascii="Calibri" w:hAnsi="Calibri" w:eastAsia="Calibri" w:cs="Calibri"/>
          <w:color w:val="000000"/>
          <w:sz w:val="22"/>
          <w:szCs w:val="22"/>
        </w:rPr>
        <w:t xml:space="preserve"> de Klerk (Coccoidea: Margarodidae)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 Available from </w:t>
      </w:r>
      <w:hyperlink r:id="rId6109664acc98d0a23" w:history="1">
        <w:r>
          <w:rPr>
            <w:rFonts w:ascii="Calibri" w:hAnsi="Calibri" w:eastAsia="Calibri" w:cs="Calibri"/>
            <w:color w:val="0000CC"/>
            <w:sz w:val="22"/>
            <w:szCs w:val="22"/>
            <w:u w:val="single"/>
          </w:rPr>
          <w:t xml:space="preserve">https://doi.org/10.21548/1-1-2413</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(1983) Two new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(1987) Chemical control of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(Jakubski) (Coccoidea: Margarodidae) on grapevines. </w:t>
      </w:r>
      <w:r>
        <w:rPr>
          <w:rFonts w:ascii="Calibri" w:hAnsi="Calibri" w:eastAsia="Calibri" w:cs="Calibri"/>
          <w:i/>
          <w:iCs/>
          <w:color w:val="000000"/>
          <w:sz w:val="22"/>
          <w:szCs w:val="22"/>
        </w:rPr>
        <w:t xml:space="preserve">South African Journal for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5336664acc98d0c07"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12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Ben-Dov Y &amp;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Klerk CA de, Ben-Dov Y &amp;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&amp; Morrison ER (1966) An annotated list of generic names of the scale insects (Homoptera: Coccoidea). Miscellaneous Publication United States Department of Agriculture </w:t>
      </w:r>
      <w:r>
        <w:rPr>
          <w:rFonts w:ascii="Calibri" w:hAnsi="Calibri" w:eastAsia="Calibri" w:cs="Calibri"/>
          <w:b/>
          <w:bCs/>
          <w:color w:val="000000"/>
          <w:sz w:val="22"/>
          <w:szCs w:val="22"/>
        </w:rPr>
        <w:t xml:space="preserve">1015,</w:t>
      </w:r>
      <w:r>
        <w:rPr>
          <w:rFonts w:ascii="Calibri" w:hAnsi="Calibri" w:eastAsia="Calibri" w:cs="Calibri"/>
          <w:color w:val="000000"/>
          <w:sz w:val="22"/>
          <w:szCs w:val="22"/>
        </w:rPr>
        <w:t xml:space="preserve"> 1-206. Available from </w:t>
      </w:r>
      <w:hyperlink r:id="rId9778664acc98d0d7d" w:history="1">
        <w:r>
          <w:rPr>
            <w:rFonts w:ascii="Calibri" w:hAnsi="Calibri" w:eastAsia="Calibri" w:cs="Calibri"/>
            <w:color w:val="0000CC"/>
            <w:sz w:val="22"/>
            <w:szCs w:val="22"/>
            <w:u w:val="single"/>
          </w:rPr>
          <w:t xml:space="preserve">https://doi.org/10.5962/bhl.title.65706</w:t>
        </w:r>
      </w:hyperlink>
      <w:r>
        <w:rPr>
          <w:rFonts w:ascii="Calibri" w:hAnsi="Calibri" w:eastAsia="Calibri" w:cs="Calibri"/>
          <w:color w:val="000000"/>
          <w:sz w:val="22"/>
          <w:szCs w:val="22"/>
        </w:rPr>
        <w:t xml:space="preserve"> (accessed 18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Swart PL &amp; de Klerk CA (1986) Scale insects. In: </w:t>
      </w:r>
      <w:r>
        <w:rPr>
          <w:rFonts w:ascii="Calibri" w:hAnsi="Calibri" w:eastAsia="Calibri" w:cs="Calibri"/>
          <w:i/>
          <w:iCs/>
          <w:color w:val="000000"/>
          <w:sz w:val="22"/>
          <w:szCs w:val="22"/>
        </w:rPr>
        <w:t xml:space="preserve">Crop pests of Southern Africa. Bulletin 407, Vol. 1. Deciduous fruit, grapes and berries</w:t>
      </w:r>
      <w:r>
        <w:rPr>
          <w:rFonts w:ascii="Calibri" w:hAnsi="Calibri" w:eastAsia="Calibri" w:cs="Calibri"/>
          <w:color w:val="000000"/>
          <w:sz w:val="22"/>
          <w:szCs w:val="22"/>
        </w:rPr>
        <w:t xml:space="preserve"> (Ed. by Myburgh, A.C.), 92 pp. Department of Agriculture and Water Supply,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Toit GDG du (1975) Notes on the biology and behaviour of </w:t>
      </w:r>
      <w:r>
        <w:rPr>
          <w:rFonts w:ascii="Calibri" w:hAnsi="Calibri" w:eastAsia="Calibri" w:cs="Calibri"/>
          <w:i/>
          <w:iCs/>
          <w:color w:val="000000"/>
          <w:sz w:val="22"/>
          <w:szCs w:val="22"/>
        </w:rPr>
        <w:t xml:space="preserve">Sphaeraspis prieskaensis</w:t>
      </w:r>
      <w:r>
        <w:rPr>
          <w:rFonts w:ascii="Calibri" w:hAnsi="Calibri" w:eastAsia="Calibri" w:cs="Calibri"/>
          <w:color w:val="000000"/>
          <w:sz w:val="22"/>
          <w:szCs w:val="22"/>
        </w:rPr>
        <w:t xml:space="preserve"> Jakubski (Hemiptera: Coccoidea) a pest on grapevine roots. In: </w:t>
      </w:r>
      <w:r>
        <w:rPr>
          <w:rFonts w:ascii="Calibri" w:hAnsi="Calibri" w:eastAsia="Calibri" w:cs="Calibri"/>
          <w:i/>
          <w:iCs/>
          <w:color w:val="000000"/>
          <w:sz w:val="22"/>
          <w:szCs w:val="22"/>
        </w:rPr>
        <w:t xml:space="preserve">Proceedings of the First Congress of the Entomological Society of Southern Africa, 1974 Stellenbosch</w:t>
      </w:r>
      <w:r>
        <w:rPr>
          <w:rFonts w:ascii="Calibri" w:hAnsi="Calibri" w:eastAsia="Calibri" w:cs="Calibri"/>
          <w:color w:val="000000"/>
          <w:sz w:val="22"/>
          <w:szCs w:val="22"/>
        </w:rPr>
        <w:t xml:space="preserve"> (Ed. by Durr, H.J.R.; Giliomee, J.H.; Neser, S.), pp. 255-257. Entomological Society of Southern Africa, Pretoria (SA).</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archaeococcid families.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Gillian W. Watson, Natural History Museum, London,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EPPO datasheets on pests recommended for regulation. Available online. </w:t>
      </w:r>
      <w:hyperlink r:id="rId5768664acc98d0f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7027989" name="name1947664acc98d105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32664acc98d105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87460">
    <w:multiLevelType w:val="hybridMultilevel"/>
    <w:lvl w:ilvl="0" w:tplc="73109778">
      <w:start w:val="1"/>
      <w:numFmt w:val="decimal"/>
      <w:lvlText w:val="%1."/>
      <w:lvlJc w:val="left"/>
      <w:pPr>
        <w:ind w:left="720" w:hanging="360"/>
      </w:pPr>
    </w:lvl>
    <w:lvl w:ilvl="1" w:tplc="73109778" w:tentative="1">
      <w:start w:val="1"/>
      <w:numFmt w:val="lowerLetter"/>
      <w:lvlText w:val="%2."/>
      <w:lvlJc w:val="left"/>
      <w:pPr>
        <w:ind w:left="1440" w:hanging="360"/>
      </w:pPr>
    </w:lvl>
    <w:lvl w:ilvl="2" w:tplc="73109778" w:tentative="1">
      <w:start w:val="1"/>
      <w:numFmt w:val="lowerRoman"/>
      <w:lvlText w:val="%3."/>
      <w:lvlJc w:val="right"/>
      <w:pPr>
        <w:ind w:left="2160" w:hanging="180"/>
      </w:pPr>
    </w:lvl>
    <w:lvl w:ilvl="3" w:tplc="73109778" w:tentative="1">
      <w:start w:val="1"/>
      <w:numFmt w:val="decimal"/>
      <w:lvlText w:val="%4."/>
      <w:lvlJc w:val="left"/>
      <w:pPr>
        <w:ind w:left="2880" w:hanging="360"/>
      </w:pPr>
    </w:lvl>
    <w:lvl w:ilvl="4" w:tplc="73109778" w:tentative="1">
      <w:start w:val="1"/>
      <w:numFmt w:val="lowerLetter"/>
      <w:lvlText w:val="%5."/>
      <w:lvlJc w:val="left"/>
      <w:pPr>
        <w:ind w:left="3600" w:hanging="360"/>
      </w:pPr>
    </w:lvl>
    <w:lvl w:ilvl="5" w:tplc="73109778" w:tentative="1">
      <w:start w:val="1"/>
      <w:numFmt w:val="lowerRoman"/>
      <w:lvlText w:val="%6."/>
      <w:lvlJc w:val="right"/>
      <w:pPr>
        <w:ind w:left="4320" w:hanging="180"/>
      </w:pPr>
    </w:lvl>
    <w:lvl w:ilvl="6" w:tplc="73109778" w:tentative="1">
      <w:start w:val="1"/>
      <w:numFmt w:val="decimal"/>
      <w:lvlText w:val="%7."/>
      <w:lvlJc w:val="left"/>
      <w:pPr>
        <w:ind w:left="5040" w:hanging="360"/>
      </w:pPr>
    </w:lvl>
    <w:lvl w:ilvl="7" w:tplc="73109778" w:tentative="1">
      <w:start w:val="1"/>
      <w:numFmt w:val="lowerLetter"/>
      <w:lvlText w:val="%8."/>
      <w:lvlJc w:val="left"/>
      <w:pPr>
        <w:ind w:left="5760" w:hanging="360"/>
      </w:pPr>
    </w:lvl>
    <w:lvl w:ilvl="8" w:tplc="73109778" w:tentative="1">
      <w:start w:val="1"/>
      <w:numFmt w:val="lowerRoman"/>
      <w:lvlText w:val="%9."/>
      <w:lvlJc w:val="right"/>
      <w:pPr>
        <w:ind w:left="6480" w:hanging="180"/>
      </w:pPr>
    </w:lvl>
  </w:abstractNum>
  <w:abstractNum w:abstractNumId="11887459">
    <w:multiLevelType w:val="hybridMultilevel"/>
    <w:lvl w:ilvl="0" w:tplc="267062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87459">
    <w:abstractNumId w:val="11887459"/>
  </w:num>
  <w:num w:numId="11887460">
    <w:abstractNumId w:val="118874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0803931" Type="http://schemas.microsoft.com/office/2011/relationships/commentsExtended" Target="commentsExtended.xml"/><Relationship Id="rId595115050" Type="http://schemas.microsoft.com/office/2011/relationships/people" Target="people.xml"/><Relationship Id="rId9614664acc98cdc33" Type="http://schemas.openxmlformats.org/officeDocument/2006/relationships/hyperlink" Target="https://gd.eppo.int/taxon/MARGPR/" TargetMode="External"/><Relationship Id="rId9341664acc98cdc9b" Type="http://schemas.openxmlformats.org/officeDocument/2006/relationships/hyperlink" Target="https://gd.eppo.int/taxon/MARGPR/categorization" TargetMode="External"/><Relationship Id="rId8529664acc98ce5a5" Type="http://schemas.openxmlformats.org/officeDocument/2006/relationships/hyperlink" Target="https://gd.eppo.int/taxon/MARGPR/photos" TargetMode="External"/><Relationship Id="rId5737664acc98d05e3" Type="http://schemas.openxmlformats.org/officeDocument/2006/relationships/hyperlink" Target="https://efsa.onlinelibrary.wiley.com/doi/epdf/10.2903/j.efsa.2019.5672" TargetMode="External"/><Relationship Id="rId2966664acc98d0699" Type="http://schemas.openxmlformats.org/officeDocument/2006/relationships/hyperlink" Target="https://gd.eppo.int/download/standard/206/pm7-082-1-en.pdf" TargetMode="External"/><Relationship Id="rId1503664acc98d072a" Type="http://schemas.openxmlformats.org/officeDocument/2006/relationships/hyperlink" Target="https://onlinelibrary.wiley.com/doi/epdf/10.1111/epp.12340" TargetMode="External"/><Relationship Id="rId3261664acc98d07c7" Type="http://schemas.openxmlformats.org/officeDocument/2006/relationships/hyperlink" Target="https://gd.eppo.int/download/standard/738/pm3-085-1-en.pdf" TargetMode="External"/><Relationship Id="rId9504664acc98d080a" Type="http://schemas.openxmlformats.org/officeDocument/2006/relationships/hyperlink" Target="https://eur-lex.europa.eu/legal-content/EN/TXT/?uri=CELEX%3A32019R2072" TargetMode="External"/><Relationship Id="rId9518664acc98d08f9" Type="http://schemas.openxmlformats.org/officeDocument/2006/relationships/hyperlink" Target="https://doi.org/10.11646/zootaxa.1263.1.1" TargetMode="External"/><Relationship Id="rId6109664acc98d0a23" Type="http://schemas.openxmlformats.org/officeDocument/2006/relationships/hyperlink" Target="https://doi.org/10.21548/1-1-2413" TargetMode="External"/><Relationship Id="rId5336664acc98d0c07" Type="http://schemas.openxmlformats.org/officeDocument/2006/relationships/hyperlink" Target="https://www.wineland.co.za/identification-control-management-grapevine-margarodes/" TargetMode="External"/><Relationship Id="rId9778664acc98d0d7d" Type="http://schemas.openxmlformats.org/officeDocument/2006/relationships/hyperlink" Target="https://doi.org/10.5962/bhl.title.65706" TargetMode="External"/><Relationship Id="rId5768664acc98d0f37" Type="http://schemas.openxmlformats.org/officeDocument/2006/relationships/hyperlink" Target="https://gd.eppo.int" TargetMode="External"/><Relationship Id="rId5368664acc98ce471" Type="http://schemas.openxmlformats.org/officeDocument/2006/relationships/image" Target="media/imgrId5368664acc98ce471.jpg"/><Relationship Id="rId2706664acc98cf6d6" Type="http://schemas.openxmlformats.org/officeDocument/2006/relationships/image" Target="media/imgrId2706664acc98cf6d6.jpg"/><Relationship Id="rId3732664acc98d1055" Type="http://schemas.openxmlformats.org/officeDocument/2006/relationships/image" Target="media/imgrId3732664acc98d105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