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Lettuce infectious yellows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2023-05-15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Lettuce infectious yellows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Martellivirales: Closteroviridae: Crinivirus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LIYV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Lettuce infectious yellows crinivirus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infectious yellows of lettuce</w:t>
            </w:r>
            <w:hyperlink r:id="rId1859665b6d3f0cbe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267665b6d3f0cc4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LIYV00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5910286" name="name5278665b6d3f0d35b" descr="14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18.jpg"/>
                          <pic:cNvPicPr/>
                        </pic:nvPicPr>
                        <pic:blipFill>
                          <a:blip r:embed="rId9289665b6d3f0d359" cstate="print"/>
                          <a:stretch>
                            <a:fillRect/>
                          </a:stretch>
                        </pic:blipFill>
                        <pic:spPr>
                          <a:xfrm>
                            <a:off x="0" y="0"/>
                            <a:ext cx="2160000" cy="1281600"/>
                          </a:xfrm>
                          <a:prstGeom prst="rect">
                            <a:avLst/>
                          </a:prstGeom>
                          <a:ln w="0">
                            <a:noFill/>
                          </a:ln>
                        </pic:spPr>
                      </pic:pic>
                    </a:graphicData>
                  </a:graphic>
                </wp:inline>
              </w:drawing>
            </w:r>
            <w:hyperlink r:id="rId1702665b6d3f0d46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Lettuce infectious yellows virus (LIYV) is the type member of the genus </w:t>
      </w:r>
      <w:r>
        <w:rPr>
          <w:rFonts w:ascii="Calibri" w:hAnsi="Calibri" w:eastAsia="Calibri" w:cs="Calibri"/>
          <w:i/>
          <w:iCs/>
          <w:color w:val="000000"/>
          <w:sz w:val="22"/>
          <w:szCs w:val="22"/>
        </w:rPr>
        <w:t xml:space="preserve">Crinivirus</w:t>
      </w:r>
      <w:r>
        <w:rPr>
          <w:rFonts w:ascii="Calibri" w:hAnsi="Calibri" w:eastAsia="Calibri" w:cs="Calibri"/>
          <w:color w:val="000000"/>
          <w:sz w:val="22"/>
          <w:szCs w:val="22"/>
        </w:rPr>
        <w:t xml:space="preserve"> in the family </w:t>
      </w:r>
      <w:r>
        <w:rPr>
          <w:rFonts w:ascii="Calibri" w:hAnsi="Calibri" w:eastAsia="Calibri" w:cs="Calibri"/>
          <w:i/>
          <w:iCs/>
          <w:color w:val="000000"/>
          <w:sz w:val="22"/>
          <w:szCs w:val="22"/>
        </w:rPr>
        <w:t xml:space="preserve">Closteroviridae</w:t>
      </w:r>
      <w:r>
        <w:rPr>
          <w:rFonts w:ascii="Calibri" w:hAnsi="Calibri" w:eastAsia="Calibri" w:cs="Calibri"/>
          <w:color w:val="000000"/>
          <w:sz w:val="22"/>
          <w:szCs w:val="22"/>
        </w:rPr>
        <w:t xml:space="preserve">. Viruses in this genus are transmitted by specific whitefly vectors, have filamentous, rod-shaped virions and two positive-sense genomic RNAs (Klaassen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LIYV has a wide host range (at least 45 species in 15 families). The most economically significant hosts in North America are sugarbeets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lettuces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marrows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and melons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Other natural hosts include carrots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and the cucurbits </w:t>
      </w:r>
      <w:r>
        <w:rPr>
          <w:rFonts w:ascii="Calibri" w:hAnsi="Calibri" w:eastAsia="Calibri" w:cs="Calibri"/>
          <w:i/>
          <w:iCs/>
          <w:color w:val="000000"/>
          <w:sz w:val="22"/>
          <w:szCs w:val="22"/>
        </w:rPr>
        <w:t xml:space="preserve">Cucurbita foetidissima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moschata</w:t>
      </w:r>
      <w:r>
        <w:rPr>
          <w:rFonts w:ascii="Calibri" w:hAnsi="Calibri" w:eastAsia="Calibri" w:cs="Calibri"/>
          <w:color w:val="000000"/>
          <w:sz w:val="22"/>
          <w:szCs w:val="22"/>
        </w:rPr>
        <w:t xml:space="preserve"> and watermelons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Halliwell and Johnson, 1992). LIYV also infects various weeds, including </w:t>
      </w:r>
      <w:r>
        <w:rPr>
          <w:rFonts w:ascii="Calibri" w:hAnsi="Calibri" w:eastAsia="Calibri" w:cs="Calibri"/>
          <w:i/>
          <w:iCs/>
          <w:color w:val="000000"/>
          <w:sz w:val="22"/>
          <w:szCs w:val="22"/>
        </w:rPr>
        <w:t xml:space="preserve">Ipomoea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Lactuca canadensis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In addition, </w:t>
      </w:r>
      <w:r>
        <w:rPr>
          <w:rFonts w:ascii="Calibri" w:hAnsi="Calibri" w:eastAsia="Calibri" w:cs="Calibri"/>
          <w:i/>
          <w:iCs/>
          <w:color w:val="000000"/>
          <w:sz w:val="22"/>
          <w:szCs w:val="22"/>
        </w:rPr>
        <w:t xml:space="preserve">Chenopodium capitatum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are excellent experimental hosts.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foetidissima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serriola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LIYV emerged in the South-West USA and nearby regions of Mexico in the early 1980s coinciding with the introduction and massive proliferation of very large populations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The original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present at that time, was referred to as biotype A, now called the New World cryptic species, and is a very efficient vector of LIYV.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New World populations and LIYV remained limited to the South-West USA for a few years. Subsequent build up of large populations of other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cryptic species, MEAM-1 (biotype B) and Med (biotype Q), which are inefficient vectors of LIYV, led to displacement of the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New World vector and disappearance of LIYV. The map below shows the LIYV distribution in the mid 1980s and early 1990s, however LIYV has not been reported from North America since about the mid 1990s.</w:t>
      </w:r>
    </w:p>
    <w:p>
      <w:r>
        <w:drawing>
          <wp:inline distT="0" distB="0" distL="0" distR="0">
            <wp:extent cx="6120000" cy="3067200"/>
            <wp:docPr id="34841657" name="name7685665b6d3f0ea53" descr="LIY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YV00_distribution_map.jpg"/>
                    <pic:cNvPicPr/>
                  </pic:nvPicPr>
                  <pic:blipFill>
                    <a:blip r:embed="rId9773665b6d3f0ea4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California, Pennsylvania, Texas)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LIYV is transmitted in a semi-persistent manner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New World.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recognized as one of the worlds’ worst invasive species (Global Invasive Species Database, </w:t>
      </w:r>
      <w:hyperlink r:id="rId8086665b6d3f0ed0c" w:history="1">
        <w:r>
          <w:rPr>
            <w:rFonts w:ascii="Calibri" w:hAnsi="Calibri" w:eastAsia="Calibri" w:cs="Calibri"/>
            <w:color w:val="0000CC"/>
            <w:sz w:val="22"/>
            <w:szCs w:val="22"/>
            <w:u w:val="single"/>
          </w:rPr>
          <w:t xml:space="preserve">http://www.issg.org/database</w:t>
        </w:r>
      </w:hyperlink>
      <w:r>
        <w:rPr>
          <w:rFonts w:ascii="Calibri" w:hAnsi="Calibri" w:eastAsia="Calibri" w:cs="Calibri"/>
          <w:color w:val="000000"/>
          <w:sz w:val="22"/>
          <w:szCs w:val="22"/>
        </w:rPr>
        <w:t xml:space="preserve">) and is composed of many cryptic species, formerly called biotypes (Dinsdale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New World (biotype A), is the efficient whitefly vector associated with LIYV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Detailed studies have shown that other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cryptic species do not efficiently transmit LIYV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LIYV is retained by viruliferous whiteflies for several days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Susceptible vegetable crops normally become infected by the migration of high numbers of viruliferous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from other cultivated hosts. LIYV is not transmitted to plants by mechanical inoculation.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show severe yellowing and/or reddening of the leaves, together with stunting, rolling, vein clearing and brittleness (Brown &amp; Nelson, 1986). Older leaves show distinct interveinal yellowing while veins remain green.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Virions are flexuous filaments, ~ 800-900 nm long and ~13-15 nm wide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Hoefert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and Pinto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describe the ultrastructural effects in LIYV-infected lettuce, especially the unique formation of conical deposits on the plasmalemma of phloem parenchyma cells. These structures are composed of a LIYV-encoded protein and are involved in LIYV spread within infected plants (Qiao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Preparations of LIYV virions are immunogenic and the virus can be detected by ELISA and immunoblot analysis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More recent diagnostic methods are nucleic acid-based, particularly RT-PCR targeting the conserved HSP-70h coding region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Recommended indicator plants for whitefly transmission of LIYV are: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pekinensis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capitatum,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clevelandii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Trifolium subterraneum</w:t>
      </w:r>
      <w:r>
        <w:rPr>
          <w:rFonts w:ascii="Calibri" w:hAnsi="Calibri" w:eastAsia="Calibri" w:cs="Calibri"/>
          <w:color w:val="000000"/>
          <w:sz w:val="22"/>
          <w:szCs w:val="22"/>
        </w:rPr>
        <w:t xml:space="preserve">, all of which show the symptoms noted above. In addition, cloned infectious cDNAs can be experimentally transmitted by agroinoculation (inoculation of recombinant LIYV plasmids via </w:t>
      </w:r>
      <w:r>
        <w:rPr>
          <w:rFonts w:ascii="Calibri" w:hAnsi="Calibri" w:eastAsia="Calibri" w:cs="Calibri"/>
          <w:i/>
          <w:iCs/>
          <w:color w:val="000000"/>
          <w:sz w:val="22"/>
          <w:szCs w:val="22"/>
        </w:rPr>
        <w:t xml:space="preserve">Agrobacterium tumefaciens</w:t>
      </w:r>
      <w:r>
        <w:rPr>
          <w:rFonts w:ascii="Calibri" w:hAnsi="Calibri" w:eastAsia="Calibri" w:cs="Calibri"/>
          <w:color w:val="000000"/>
          <w:sz w:val="22"/>
          <w:szCs w:val="22"/>
        </w:rPr>
        <w:t xml:space="preserve">) to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plants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LIYV spreads naturally only by its vector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New World which can spread it within and between fields (and presumably glasshouses) in infested areas. In international trade, it is very unlikely to be carried by plants of its main cultivated hosts, since these are short-lived vegetable crops not normally moved. Young seedlings for transplanting might constitute a pathway, but would still be unlikely to move in intercontinental trade. Therefore, the main risk of movement is in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New World on other host plants (e.g. ornamentals), given the fact that the vector moves readily from one host to another, and that the virus can persist in the vector for several weeks after acquisition.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LIYV has caused severe losses on marrow, melon and related cucurbit crops in California (USA) (Duffus &amp; Flock, 1982; Nameth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Yield of lettuce may be reduced up to 75% by infection. The disease has also been found causing serious losses in hydroponically grown lettuces in North-Eastern USA (Brown &amp; Stanghellini, 1988). It is one of several criniviruses which have become very important since the spread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throughout the world. However, largely due to displacement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New World (efficient LIYV vector) by other, non-vector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cryptic species, LIYV has not caused economic losses in recent years.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mainly aims at eliminating or excluding the vector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and also weed hosts which may act as reservoirs for both LIYV and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(Wood, 1988). Protective row covers of spun-bonded polyester over seedlings as a floating cover showed some effectiveness (Natwick &amp; Durazo, 1985). Lettuce cultivars differ in susceptibility to LIYV (McCreight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and resistance or tolerance has also been studied in melons and sugarbeet, but no effective resistance is known.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LIYV could present a threat to the cultivation of lettuces and cucurbits (especially courgettes and melons), in the open in Southern Europe or under glass in Northern Europe, wherever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New World occurs.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However, its apparent disappearance from agricultural systems in North America due to the displacement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New World by non-efficient vectors has lowered the risk for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Host plants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from areas where LIYV occurs should come from a place of production free from LIYV and </w:t>
      </w:r>
      <w:r>
        <w:rPr>
          <w:rFonts w:ascii="Calibri" w:hAnsi="Calibri" w:eastAsia="Calibri" w:cs="Calibri"/>
          <w:i/>
          <w:iCs/>
          <w:color w:val="000000"/>
          <w:sz w:val="22"/>
          <w:szCs w:val="22"/>
        </w:rPr>
        <w:t xml:space="preserve">B. tabaci </w:t>
      </w:r>
      <w:r>
        <w:rPr>
          <w:rFonts w:ascii="Calibri" w:hAnsi="Calibri" w:eastAsia="Calibri" w:cs="Calibri"/>
          <w:color w:val="000000"/>
          <w:sz w:val="22"/>
          <w:szCs w:val="22"/>
        </w:rPr>
        <w:t xml:space="preserve">New World during the last growing season.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 &amp; Nelson MR (1986) Whitefly-borne viruses of melons and lettuce in Arizona.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236-239.</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 &amp; Stanghellini ME (1988) Lettuce infectious yellows virus in hydroponically grown lettuce in Pennsylvania.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453.</w:t>
      </w:r>
    </w:p>
    <w:p>
      <w:pPr>
        <w:widowControl w:val="on"/>
        <w:pBdr/>
        <w:spacing w:before="220" w:after="220" w:line="240" w:lineRule="auto"/>
        <w:ind w:left="0" w:right="0"/>
        <w:jc w:val="left"/>
      </w:pPr>
      <w:r>
        <w:rPr>
          <w:rFonts w:ascii="Calibri" w:hAnsi="Calibri" w:eastAsia="Calibri" w:cs="Calibri"/>
          <w:color w:val="000000"/>
          <w:sz w:val="22"/>
          <w:szCs w:val="22"/>
        </w:rPr>
        <w:t xml:space="preserve">Chen AYS, Zhou JS, Liu J-X &amp; Ng JCK (2021) Nuances of whitefly vector-crinivirus interactions revealed in the foregut retention and transmission of lettuce chlorosis virus by two </w:t>
      </w:r>
      <w:r>
        <w:rPr>
          <w:rFonts w:ascii="Calibri" w:hAnsi="Calibri" w:eastAsia="Calibri" w:cs="Calibri"/>
          <w:i/>
          <w:iCs/>
          <w:color w:val="000000"/>
          <w:sz w:val="22"/>
          <w:szCs w:val="22"/>
        </w:rPr>
        <w:t xml:space="preserve">Bemisia tabac</w:t>
      </w:r>
      <w:r>
        <w:rPr>
          <w:rFonts w:ascii="Calibri" w:hAnsi="Calibri" w:eastAsia="Calibri" w:cs="Calibri"/>
          <w:color w:val="000000"/>
          <w:sz w:val="22"/>
          <w:szCs w:val="22"/>
        </w:rPr>
        <w:t xml:space="preserve">i cryptic species.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1578. </w:t>
      </w:r>
      <w:hyperlink r:id="rId1608665b6d3f0f79c" w:history="1">
        <w:r>
          <w:rPr>
            <w:rFonts w:ascii="Calibri" w:hAnsi="Calibri" w:eastAsia="Calibri" w:cs="Calibri"/>
            <w:color w:val="0000CC"/>
            <w:sz w:val="22"/>
            <w:szCs w:val="22"/>
            <w:u w:val="single"/>
          </w:rPr>
          <w:t xml:space="preserve">https://doi.org/10.3390/v13081578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Dinsdale A, Cook L, Riginos C, Buckley YM &amp; De Barro P (2010) Refined global analysis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(Hemiptera: Sternorrhyncha: Aleyrodoidea: Aleyrodidae) mitochondrial cytochrome oxidase 1 to identify species level genetic boundaries.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196-208.</w:t>
      </w:r>
    </w:p>
    <w:p>
      <w:pPr>
        <w:widowControl w:val="on"/>
        <w:pBdr/>
        <w:spacing w:before="220" w:after="220" w:line="240" w:lineRule="auto"/>
        <w:ind w:left="0" w:right="0"/>
        <w:jc w:val="left"/>
      </w:pPr>
      <w:r>
        <w:rPr>
          <w:rFonts w:ascii="Calibri" w:hAnsi="Calibri" w:eastAsia="Calibri" w:cs="Calibri"/>
          <w:color w:val="000000"/>
          <w:sz w:val="22"/>
          <w:szCs w:val="22"/>
        </w:rPr>
        <w:t xml:space="preserve">Duffus JE &amp; Flock RA (1982) Whitefly-transmitted disease complex of the desert southwest.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4-6.</w:t>
      </w:r>
    </w:p>
    <w:p>
      <w:pPr>
        <w:widowControl w:val="on"/>
        <w:pBdr/>
        <w:spacing w:before="220" w:after="220" w:line="240" w:lineRule="auto"/>
        <w:ind w:left="0" w:right="0"/>
        <w:jc w:val="left"/>
      </w:pPr>
      <w:r>
        <w:rPr>
          <w:rFonts w:ascii="Calibri" w:hAnsi="Calibri" w:eastAsia="Calibri" w:cs="Calibri"/>
          <w:color w:val="000000"/>
          <w:sz w:val="22"/>
          <w:szCs w:val="22"/>
        </w:rPr>
        <w:t xml:space="preserve">Duffus JE, Larsen RC &amp; Liu HY (1986) Lettuce infectious yellows virus - a new type of whitefly-transmitted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97-100.</w:t>
      </w:r>
    </w:p>
    <w:p>
      <w:pPr>
        <w:widowControl w:val="on"/>
        <w:pBdr/>
        <w:spacing w:before="220" w:after="220" w:line="240" w:lineRule="auto"/>
        <w:ind w:left="0" w:right="0"/>
        <w:jc w:val="left"/>
      </w:pPr>
      <w:r>
        <w:rPr>
          <w:rFonts w:ascii="Calibri" w:hAnsi="Calibri" w:eastAsia="Calibri" w:cs="Calibri"/>
          <w:color w:val="000000"/>
          <w:sz w:val="22"/>
          <w:szCs w:val="22"/>
        </w:rPr>
        <w:t xml:space="preserve">Halliwell RS &amp; Johnson JD (1992) Lettuce infectious yellows virus infecting watermelon, cantaloupe, honey dew melon, squash, and cushaw in Texas.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643.</w:t>
      </w:r>
    </w:p>
    <w:p>
      <w:pPr>
        <w:widowControl w:val="on"/>
        <w:pBdr/>
        <w:spacing w:before="220" w:after="220" w:line="240" w:lineRule="auto"/>
        <w:ind w:left="0" w:right="0"/>
        <w:jc w:val="left"/>
      </w:pPr>
      <w:r>
        <w:rPr>
          <w:rFonts w:ascii="Calibri" w:hAnsi="Calibri" w:eastAsia="Calibri" w:cs="Calibri"/>
          <w:color w:val="000000"/>
          <w:sz w:val="22"/>
          <w:szCs w:val="22"/>
        </w:rPr>
        <w:t xml:space="preserve">Hoefert LL, Pinto RL &amp; Fail GL (1988) Ultrastructural effects of lettuce infectious yellows virus in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Ultrastructure and Molecular Structure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243-253.</w:t>
      </w:r>
    </w:p>
    <w:p>
      <w:pPr>
        <w:widowControl w:val="on"/>
        <w:pBdr/>
        <w:spacing w:before="220" w:after="220" w:line="240" w:lineRule="auto"/>
        <w:ind w:left="0" w:right="0"/>
        <w:jc w:val="left"/>
      </w:pPr>
      <w:r>
        <w:rPr>
          <w:rFonts w:ascii="Calibri" w:hAnsi="Calibri" w:eastAsia="Calibri" w:cs="Calibri"/>
          <w:color w:val="000000"/>
          <w:sz w:val="22"/>
          <w:szCs w:val="22"/>
        </w:rPr>
        <w:t xml:space="preserve">Klaassen VA., Boeshore ML, Koonin EV, Tian T &amp; Falk BW (1995) Genome structure and phylogenetic analysis of Lettuce infectious yellows virus, a whitefly-transmitted bipartite </w:t>
      </w:r>
      <w:r>
        <w:rPr>
          <w:rFonts w:ascii="Calibri" w:hAnsi="Calibri" w:eastAsia="Calibri" w:cs="Calibri"/>
          <w:i/>
          <w:iCs/>
          <w:color w:val="000000"/>
          <w:sz w:val="22"/>
          <w:szCs w:val="22"/>
        </w:rPr>
        <w:t xml:space="preserve">Closterovirus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208</w:t>
      </w:r>
      <w:r>
        <w:rPr>
          <w:rFonts w:ascii="Calibri" w:hAnsi="Calibri" w:eastAsia="Calibri" w:cs="Calibri"/>
          <w:color w:val="000000"/>
          <w:sz w:val="22"/>
          <w:szCs w:val="22"/>
        </w:rPr>
        <w:t xml:space="preserve">, 99-110.</w:t>
      </w:r>
    </w:p>
    <w:p>
      <w:pPr>
        <w:widowControl w:val="on"/>
        <w:pBdr/>
        <w:spacing w:before="220" w:after="220" w:line="240" w:lineRule="auto"/>
        <w:ind w:left="0" w:right="0"/>
        <w:jc w:val="left"/>
      </w:pPr>
      <w:r>
        <w:rPr>
          <w:rFonts w:ascii="Calibri" w:hAnsi="Calibri" w:eastAsia="Calibri" w:cs="Calibri"/>
          <w:color w:val="000000"/>
          <w:sz w:val="22"/>
          <w:szCs w:val="22"/>
        </w:rPr>
        <w:t xml:space="preserve">McCreight JD, Kishaba AN &amp; Mayberry KS (1986) Lettuce infectious yellows tolerance in lettuce. </w:t>
      </w:r>
      <w:r>
        <w:rPr>
          <w:rFonts w:ascii="Calibri" w:hAnsi="Calibri" w:eastAsia="Calibri" w:cs="Calibri"/>
          <w:i/>
          <w:iCs/>
          <w:color w:val="000000"/>
          <w:sz w:val="22"/>
          <w:szCs w:val="22"/>
        </w:rPr>
        <w:t xml:space="preserve">Journal of the American Society for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788-792.</w:t>
      </w:r>
    </w:p>
    <w:p>
      <w:pPr>
        <w:widowControl w:val="on"/>
        <w:pBdr/>
        <w:spacing w:before="220" w:after="220" w:line="240" w:lineRule="auto"/>
        <w:ind w:left="0" w:right="0"/>
        <w:jc w:val="left"/>
      </w:pPr>
      <w:r>
        <w:rPr>
          <w:rFonts w:ascii="Calibri" w:hAnsi="Calibri" w:eastAsia="Calibri" w:cs="Calibri"/>
          <w:color w:val="000000"/>
          <w:sz w:val="22"/>
          <w:szCs w:val="22"/>
        </w:rPr>
        <w:t xml:space="preserve">Nameth ST, Laemmlen FF &amp; Dodds JA (1985) Viruses cause heavy melon losses in desert valleys.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28-29.</w:t>
      </w:r>
    </w:p>
    <w:p>
      <w:pPr>
        <w:widowControl w:val="on"/>
        <w:pBdr/>
        <w:spacing w:before="220" w:after="220" w:line="240" w:lineRule="auto"/>
        <w:ind w:left="0" w:right="0"/>
        <w:jc w:val="left"/>
      </w:pPr>
      <w:r>
        <w:rPr>
          <w:rFonts w:ascii="Calibri" w:hAnsi="Calibri" w:eastAsia="Calibri" w:cs="Calibri"/>
          <w:color w:val="000000"/>
          <w:sz w:val="22"/>
          <w:szCs w:val="22"/>
        </w:rPr>
        <w:t xml:space="preserve">Natwick ET &amp; Durazo A (1985) Polyester covers protect vegetables from whiteflies and virus diseases.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21-22.</w:t>
      </w:r>
    </w:p>
    <w:p>
      <w:pPr>
        <w:widowControl w:val="on"/>
        <w:pBdr/>
        <w:spacing w:before="220" w:after="220" w:line="240" w:lineRule="auto"/>
        <w:ind w:left="0" w:right="0"/>
        <w:jc w:val="left"/>
      </w:pPr>
      <w:r>
        <w:rPr>
          <w:rFonts w:ascii="Calibri" w:hAnsi="Calibri" w:eastAsia="Calibri" w:cs="Calibri"/>
          <w:color w:val="000000"/>
          <w:sz w:val="22"/>
          <w:szCs w:val="22"/>
        </w:rPr>
        <w:t xml:space="preserve">Pinto RL, Hoefert LL &amp; Fail GL (1988) Plasmalemma deposits in tissues infected with lettuce infectious yellows virus. </w:t>
      </w:r>
      <w:r>
        <w:rPr>
          <w:rFonts w:ascii="Calibri" w:hAnsi="Calibri" w:eastAsia="Calibri" w:cs="Calibri"/>
          <w:i/>
          <w:iCs/>
          <w:color w:val="000000"/>
          <w:sz w:val="22"/>
          <w:szCs w:val="22"/>
        </w:rPr>
        <w:t xml:space="preserve">Journal of Ultrastructure and Molecular Structure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245-254.</w:t>
      </w:r>
    </w:p>
    <w:p>
      <w:pPr>
        <w:widowControl w:val="on"/>
        <w:pBdr/>
        <w:spacing w:before="220" w:after="220" w:line="240" w:lineRule="auto"/>
        <w:ind w:left="0" w:right="0"/>
        <w:jc w:val="left"/>
      </w:pPr>
      <w:r>
        <w:rPr>
          <w:rFonts w:ascii="Calibri" w:hAnsi="Calibri" w:eastAsia="Calibri" w:cs="Calibri"/>
          <w:color w:val="000000"/>
          <w:sz w:val="22"/>
          <w:szCs w:val="22"/>
        </w:rPr>
        <w:t xml:space="preserve">Qiao W, Medina V, Kuo Y-W &amp; Falk BW (2018) A distinct, non-virion plant virus movement protein encoded by a crinivirus essential for systemic infection. </w:t>
      </w:r>
      <w:r>
        <w:rPr>
          <w:rFonts w:ascii="Calibri" w:hAnsi="Calibri" w:eastAsia="Calibri" w:cs="Calibri"/>
          <w:i/>
          <w:iCs/>
          <w:color w:val="000000"/>
          <w:sz w:val="22"/>
          <w:szCs w:val="22"/>
        </w:rPr>
        <w:t xml:space="preserve">mBio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e02230-18. </w:t>
      </w:r>
      <w:hyperlink r:id="rId6518665b6d3f0fde1" w:history="1">
        <w:r>
          <w:rPr>
            <w:rFonts w:ascii="Calibri" w:hAnsi="Calibri" w:eastAsia="Calibri" w:cs="Calibri"/>
            <w:color w:val="0000CC"/>
            <w:sz w:val="22"/>
            <w:szCs w:val="22"/>
            <w:u w:val="single"/>
          </w:rPr>
          <w:t xml:space="preserve">https://doi.org/10.1128/mBio.02230-18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Tian T, Klaassen VA, Soong J, Wisler G, Duffus JE &amp; Falk BW (1996) Generation of cDNAs specific to Lettuce infectious yellows closterovirus and other whitefly-transmitted closteroviruses by RT-PCR and degenerate nucleotide primers corresponding to the closterovirus gene encoding the heat shock protein homolog.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1167-1173.</w:t>
      </w:r>
    </w:p>
    <w:p>
      <w:pPr>
        <w:widowControl w:val="on"/>
        <w:pBdr/>
        <w:spacing w:before="220" w:after="220" w:line="240" w:lineRule="auto"/>
        <w:ind w:left="0" w:right="0"/>
        <w:jc w:val="left"/>
      </w:pPr>
      <w:r>
        <w:rPr>
          <w:rFonts w:ascii="Calibri" w:hAnsi="Calibri" w:eastAsia="Calibri" w:cs="Calibri"/>
          <w:color w:val="000000"/>
          <w:sz w:val="22"/>
          <w:szCs w:val="22"/>
        </w:rPr>
        <w:t xml:space="preserve">Tian T, Rubio L, Yeh H-Y, Crawford B &amp; Falk BW (1999) Lettuce infectious yellows virus: in vitro acquisition analysis using partially purified virions and the whitefly,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1111-1117.</w:t>
      </w:r>
    </w:p>
    <w:p>
      <w:pPr>
        <w:widowControl w:val="on"/>
        <w:pBdr/>
        <w:spacing w:before="220" w:after="220" w:line="240" w:lineRule="auto"/>
        <w:ind w:left="0" w:right="0"/>
        <w:jc w:val="left"/>
      </w:pPr>
      <w:r>
        <w:rPr>
          <w:rFonts w:ascii="Calibri" w:hAnsi="Calibri" w:eastAsia="Calibri" w:cs="Calibri"/>
          <w:color w:val="000000"/>
          <w:sz w:val="22"/>
          <w:szCs w:val="22"/>
        </w:rPr>
        <w:t xml:space="preserve">Wang J, Turina M, Stewart LR, Lindbo JA &amp; Falk BW (2009) Agroinoculation of the crinivirus, Lettuce infectious yellows virus, for systemic plant infection.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392</w:t>
      </w:r>
      <w:r>
        <w:rPr>
          <w:rFonts w:ascii="Calibri" w:hAnsi="Calibri" w:eastAsia="Calibri" w:cs="Calibri"/>
          <w:color w:val="000000"/>
          <w:sz w:val="22"/>
          <w:szCs w:val="22"/>
        </w:rPr>
        <w:t xml:space="preserve">, 131-136.</w:t>
      </w:r>
    </w:p>
    <w:p>
      <w:pPr>
        <w:widowControl w:val="on"/>
        <w:pBdr/>
        <w:spacing w:before="220" w:after="220" w:line="240" w:lineRule="auto"/>
        <w:ind w:left="0" w:right="0"/>
        <w:jc w:val="left"/>
      </w:pPr>
      <w:r>
        <w:rPr>
          <w:rFonts w:ascii="Calibri" w:hAnsi="Calibri" w:eastAsia="Calibri" w:cs="Calibri"/>
          <w:color w:val="000000"/>
          <w:sz w:val="22"/>
          <w:szCs w:val="22"/>
        </w:rPr>
        <w:t xml:space="preserve">Wood M (1988) Scientists take aim on lettuce menaces. </w:t>
      </w:r>
      <w:r>
        <w:rPr>
          <w:rFonts w:ascii="Calibri" w:hAnsi="Calibri" w:eastAsia="Calibri" w:cs="Calibri"/>
          <w:i/>
          <w:iCs/>
          <w:color w:val="000000"/>
          <w:sz w:val="22"/>
          <w:szCs w:val="22"/>
        </w:rPr>
        <w:t xml:space="preserve">Agricultural Research, USA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Bryce Falk, University of California, Davis, CA, USA.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Lettuce infectious yellows virus</w:t>
      </w:r>
      <w:r>
        <w:rPr>
          <w:rFonts w:ascii="Calibri" w:hAnsi="Calibri" w:eastAsia="Calibri" w:cs="Calibri"/>
          <w:color w:val="000000"/>
          <w:sz w:val="22"/>
          <w:szCs w:val="22"/>
        </w:rPr>
        <w:t xml:space="preserve">. EPPO datasheets on pests recommended for regulation. Available online. </w:t>
      </w:r>
      <w:hyperlink r:id="rId7314665b6d3f100d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28626017" name="name7051665b6d3f1030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731665b6d3f1030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303761">
    <w:multiLevelType w:val="hybridMultilevel"/>
    <w:lvl w:ilvl="0" w:tplc="96425809">
      <w:start w:val="1"/>
      <w:numFmt w:val="decimal"/>
      <w:lvlText w:val="%1."/>
      <w:lvlJc w:val="left"/>
      <w:pPr>
        <w:ind w:left="720" w:hanging="360"/>
      </w:pPr>
    </w:lvl>
    <w:lvl w:ilvl="1" w:tplc="96425809" w:tentative="1">
      <w:start w:val="1"/>
      <w:numFmt w:val="lowerLetter"/>
      <w:lvlText w:val="%2."/>
      <w:lvlJc w:val="left"/>
      <w:pPr>
        <w:ind w:left="1440" w:hanging="360"/>
      </w:pPr>
    </w:lvl>
    <w:lvl w:ilvl="2" w:tplc="96425809" w:tentative="1">
      <w:start w:val="1"/>
      <w:numFmt w:val="lowerRoman"/>
      <w:lvlText w:val="%3."/>
      <w:lvlJc w:val="right"/>
      <w:pPr>
        <w:ind w:left="2160" w:hanging="180"/>
      </w:pPr>
    </w:lvl>
    <w:lvl w:ilvl="3" w:tplc="96425809" w:tentative="1">
      <w:start w:val="1"/>
      <w:numFmt w:val="decimal"/>
      <w:lvlText w:val="%4."/>
      <w:lvlJc w:val="left"/>
      <w:pPr>
        <w:ind w:left="2880" w:hanging="360"/>
      </w:pPr>
    </w:lvl>
    <w:lvl w:ilvl="4" w:tplc="96425809" w:tentative="1">
      <w:start w:val="1"/>
      <w:numFmt w:val="lowerLetter"/>
      <w:lvlText w:val="%5."/>
      <w:lvlJc w:val="left"/>
      <w:pPr>
        <w:ind w:left="3600" w:hanging="360"/>
      </w:pPr>
    </w:lvl>
    <w:lvl w:ilvl="5" w:tplc="96425809" w:tentative="1">
      <w:start w:val="1"/>
      <w:numFmt w:val="lowerRoman"/>
      <w:lvlText w:val="%6."/>
      <w:lvlJc w:val="right"/>
      <w:pPr>
        <w:ind w:left="4320" w:hanging="180"/>
      </w:pPr>
    </w:lvl>
    <w:lvl w:ilvl="6" w:tplc="96425809" w:tentative="1">
      <w:start w:val="1"/>
      <w:numFmt w:val="decimal"/>
      <w:lvlText w:val="%7."/>
      <w:lvlJc w:val="left"/>
      <w:pPr>
        <w:ind w:left="5040" w:hanging="360"/>
      </w:pPr>
    </w:lvl>
    <w:lvl w:ilvl="7" w:tplc="96425809" w:tentative="1">
      <w:start w:val="1"/>
      <w:numFmt w:val="lowerLetter"/>
      <w:lvlText w:val="%8."/>
      <w:lvlJc w:val="left"/>
      <w:pPr>
        <w:ind w:left="5760" w:hanging="360"/>
      </w:pPr>
    </w:lvl>
    <w:lvl w:ilvl="8" w:tplc="96425809" w:tentative="1">
      <w:start w:val="1"/>
      <w:numFmt w:val="lowerRoman"/>
      <w:lvlText w:val="%9."/>
      <w:lvlJc w:val="right"/>
      <w:pPr>
        <w:ind w:left="6480" w:hanging="180"/>
      </w:pPr>
    </w:lvl>
  </w:abstractNum>
  <w:abstractNum w:abstractNumId="21303760">
    <w:multiLevelType w:val="hybridMultilevel"/>
    <w:lvl w:ilvl="0" w:tplc="249143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303760">
    <w:abstractNumId w:val="21303760"/>
  </w:num>
  <w:num w:numId="21303761">
    <w:abstractNumId w:val="2130376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38746453" Type="http://schemas.microsoft.com/office/2011/relationships/commentsExtended" Target="commentsExtended.xml"/><Relationship Id="rId286205752" Type="http://schemas.microsoft.com/office/2011/relationships/people" Target="people.xml"/><Relationship Id="rId1859665b6d3f0cbe2" Type="http://schemas.openxmlformats.org/officeDocument/2006/relationships/hyperlink" Target="https://gd.eppo.int/taxon/LIYV00/" TargetMode="External"/><Relationship Id="rId5267665b6d3f0cc4d" Type="http://schemas.openxmlformats.org/officeDocument/2006/relationships/hyperlink" Target="https://gd.eppo.int/taxon/LIYV00/categorization" TargetMode="External"/><Relationship Id="rId1702665b6d3f0d465" Type="http://schemas.openxmlformats.org/officeDocument/2006/relationships/hyperlink" Target="https://gd.eppo.int/taxon/LIYV00/photos" TargetMode="External"/><Relationship Id="rId8086665b6d3f0ed0c" Type="http://schemas.openxmlformats.org/officeDocument/2006/relationships/hyperlink" Target="http://www.issg.org/database" TargetMode="External"/><Relationship Id="rId1608665b6d3f0f79c" Type="http://schemas.openxmlformats.org/officeDocument/2006/relationships/hyperlink" Target="https://doi.org/10.3390/v13081578" TargetMode="External"/><Relationship Id="rId6518665b6d3f0fde1" Type="http://schemas.openxmlformats.org/officeDocument/2006/relationships/hyperlink" Target="https://doi.org/10.1128/mBio.02230-18" TargetMode="External"/><Relationship Id="rId7314665b6d3f100d0" Type="http://schemas.openxmlformats.org/officeDocument/2006/relationships/hyperlink" Target="https://gd.eppo.int" TargetMode="External"/><Relationship Id="rId9289665b6d3f0d359" Type="http://schemas.openxmlformats.org/officeDocument/2006/relationships/image" Target="media/imgrId9289665b6d3f0d359.jpg"/><Relationship Id="rId9773665b6d3f0ea4f" Type="http://schemas.openxmlformats.org/officeDocument/2006/relationships/image" Target="media/imgrId9773665b6d3f0ea4f.jpg"/><Relationship Id="rId2731665b6d3f10301" Type="http://schemas.openxmlformats.org/officeDocument/2006/relationships/image" Target="media/imgrId2731665b6d3f1030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