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trifolii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trifolii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(Burgess)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alliovora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phaseolunata</w:t>
            </w:r>
            <w:r>
              <w:rPr>
                <w:rFonts w:ascii="Calibri" w:hAnsi="Calibri" w:eastAsia="Calibri" w:cs="Calibri"/>
                <w:color w:val="000000"/>
                <w:position w:val="-3"/>
                <w:sz w:val="22"/>
                <w:szCs w:val="22"/>
              </w:rPr>
              <w:t xml:space="preserve"> (Frost)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serpentine leaf miner, chrysanthemum leaf miner</w:t>
            </w:r>
            <w:hyperlink r:id="rId5101664b2c36458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625664b2c364594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5941002" name="name9899664b2c3646350" descr="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7.jpg"/>
                          <pic:cNvPicPr/>
                        </pic:nvPicPr>
                        <pic:blipFill>
                          <a:blip r:embed="rId2255664b2c364634e" cstate="print"/>
                          <a:stretch>
                            <a:fillRect/>
                          </a:stretch>
                        </pic:blipFill>
                        <pic:spPr>
                          <a:xfrm>
                            <a:off x="0" y="0"/>
                            <a:ext cx="2160000" cy="1281600"/>
                          </a:xfrm>
                          <a:prstGeom prst="rect">
                            <a:avLst/>
                          </a:prstGeom>
                          <a:ln w="0">
                            <a:noFill/>
                          </a:ln>
                        </pic:spPr>
                      </pic:pic>
                    </a:graphicData>
                  </a:graphic>
                </wp:inline>
              </w:drawing>
            </w:r>
            <w:hyperlink r:id="rId9032664b2c364647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shown to be capable of hybridizing with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recent molecular work suggests that cryptic species may be present within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(Scheffer &amp; Lewis,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one of these species and causes severe damage to vegetable crops such as celery (Spencer, 1982) and ornamentals such as chrysanthemums (Spencer, 1973).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been recorded from 29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schoenoprasum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serotinum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trinervia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Hymenopappus scabiosaeus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Kallstroemia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 hieracioides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Tridax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herbaceous ornamental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vegetable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and spread to other parts of the world in the 1960-1980s. A detailed review of its spread is given in Minkenberg (1988). Today, it is present in South America, Europe, Africa, Asia and Oceania.</w:t>
      </w:r>
    </w:p>
    <w:p>
      <w:r>
        <w:drawing>
          <wp:inline distT="0" distB="0" distL="0" distR="0">
            <wp:extent cx="6120000" cy="3067200"/>
            <wp:docPr id="36299981" name="name5853664b2c3648105" descr="LIRI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TR_distribution_map.jpg"/>
                    <pic:cNvPicPr/>
                  </pic:nvPicPr>
                  <pic:blipFill>
                    <a:blip r:embed="rId6251664b2c364810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Croatia, Cyprus, Finland, France (mainland), Greece (mainland, Kriti), Israel, Italy (mainland, Sardegna, Sicilia), Jordan, Malta, Moldova, Morocco, Netherlands, Portugal (mainland), Romania, Russia (Central Russia, Southern Russia), Serbia, Spain (mainland, Islas Canárias),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Cote d'Ivoire, Egypt, Ethiopia, Guinea, Kenya, Madagascar, Mauritius, Mayotte, Morocco, Nigeria, Reunion, Senegal, South Africa, Sudan,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Henan, Hubei, Hunan, Jiangsu, Jiangxi, Liaoning, Shaanxi, Shandong, Shanghai, Yunnan, Zhejiang), India (Andhra Pradesh, Delhi, Gujarat, Haryana, Karnataka, Kerala, Madhya Pradesh, Maharashtra, Nagaland, Odisha, Punjab, Tamil Nadu, Telangana, Tripura, Uttar Pradesh, West Bengal), Indonesia, Iran, Israel, Japan (Honshu, Kyushu), Jordan, Korea, Republic, Lebanon, Maldives, Oman, Philippines, Saudi Arabia, Taiwan,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Nova Scotia, Ontario, Québec), Mexico, United States of America (Arizona, California, Delaware, District of Columbia, Florida, Hawaii, Indiana, Iowa, Maryland, Massachusetts, Michigan, Mississippi, Nevada, New Jersey, New Mexico, New York, North Carolina, Ohio, Pennsylvania, South Carolina, Texas, Virginia,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Costa Rica, Cuba, Dominican Republic, Guadeloupe, Guatemala, Martinique, Netherlands Antilles, Puerto Rico, St Kitts-Nevis,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Espirito Santo, Minas Gerais, Para, Pernambuco, Sao Paulo), Chile, Colombia, Ecuador, French Guiana, Guyana,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Western Australia), Fiji, Guam, Micronesia, Northern Mariana Islands,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are summarized from Harris &amp; Tate (1933), Lanzoni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Leibee (1982), Minkeberg (1988),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Parrella (1987), Spencer (1973), Tokumaru &amp; Abe (2003,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Copulation takes place on the day when females emerge. Non-fertilized females are not able to oviposit. After mating female flies puncture the leaf surface of the host plants with their ovipositor causing wounds which serve as sites for feeding or oviposition. Males can also take advantage of these feeding sites as they are less well equipped for puncturing plant tissue. Feeding punctures can be used for egg laying with approximately 15% of punctures containing 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inserted just below the leaf surface.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females lay on average 11.5 eggs per day. The number of eggs laid depends on the host plant. The duration of the egg stage varies from 1 to 7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at mean temperatures above 24°C. Larval feeding forms irregular linear mines. Just before pupation, mature larvae cut semi-circular exit slits in the upper surface of the leaves. After a short period, larvae drop to the ground and burrow just below the surface of the soil or in crop debris before pupating. The pupal stage lasts from 7 to 33 days depending on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Southern USA, the life-cycle is probably continuous throughout the year. There is a noticeable first generation which reaches a peak in April (Spencer, 1973). In Southern Florida,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has two or three complete generations followed by a number of incomplete, overlapping generations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Minkeberg &amp; van Lenteren, 1986).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larvae are translucent and turn yellow-orange in the later stages.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yellowish 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 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 with a marked constriction between its apical and basal parts. The basal section of the bulb is strongly curved (IPPC, 2017; EPPO,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(EPPO, 2022a; IPPC, 2017).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2012;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regularly intercepted in trade, in particular on leafy vegetables and cut flowers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originates from North America but is now present worldwide (CABI,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 major pest of chrysanthemums (Spencer, 1973) and celery (Spencer, 1982) in the USA and near total production loss of chrysanthemums has been reported in California (Newman &amp; Parrella,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is a highly polyphagous species present in Europe essentially in the Mediterranean region. The main dispersal mechanisms is through the trade related movement of plant material hosting the immature stages of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(EFSA, 2012).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is present are inspected over three months at regular intervals before export can take place, to verify the absence the pest itself or any signs of its presence. General guidance on how to conduct inspections of places producing vegetable plants for planting under protected conditions can be found in the EPPO Standard PM 3/77 (EPPO, 2022b). In the European Union, specific measures are taken to protect areas that are still free from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trifolii. </w:t>
      </w:r>
      <w:hyperlink r:id="rId3390664b2c3648f84" w:history="1">
        <w:r>
          <w:rPr>
            <w:rFonts w:ascii="Calibri" w:hAnsi="Calibri" w:eastAsia="Calibri" w:cs="Calibri"/>
            <w:color w:val="0000CC"/>
            <w:sz w:val="22"/>
            <w:szCs w:val="22"/>
            <w:u w:val="single"/>
          </w:rPr>
          <w:t xml:space="preserve">https://www.cabidigitallibrary.org/doi/full/10.1079/cabicompendium.30965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Baker R, Bragard C, Candresse T, Gilioli G, Grégoire J-C, Holb I, Jeger MJ, Evtimova Karadjova O, Magnusson C, Makowski D, Manceau C, Navajas M, Rafoss T, Rossi V, Schans J, Schrader G, Urek G, van Lenteren JC, Vloutoglou I, Winter S and van der Werf W (2012) Scientific opinion on the risks to plant health posed by </w:t>
      </w:r>
      <w:r>
        <w:rPr>
          <w:rFonts w:ascii="Calibri" w:hAnsi="Calibri" w:eastAsia="Calibri" w:cs="Calibri"/>
          <w:i/>
          <w:iCs/>
          <w:color w:val="000000"/>
          <w:sz w:val="22"/>
          <w:szCs w:val="22"/>
        </w:rPr>
        <w:t xml:space="preserve">Liriomyza huidobrensis </w:t>
      </w:r>
      <w:r>
        <w:rPr>
          <w:rFonts w:ascii="Calibri" w:hAnsi="Calibri" w:eastAsia="Calibri" w:cs="Calibri"/>
          <w:color w:val="000000"/>
          <w:sz w:val="22"/>
          <w:szCs w:val="22"/>
        </w:rPr>
        <w:t xml:space="preserve">(Blanchard) and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(Burgess)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3028. </w:t>
      </w:r>
      <w:hyperlink r:id="rId3832664b2c364903d" w:history="1">
        <w:r>
          <w:rPr>
            <w:rFonts w:ascii="Calibri" w:hAnsi="Calibri" w:eastAsia="Calibri" w:cs="Calibri"/>
            <w:color w:val="0000CC"/>
            <w:sz w:val="22"/>
            <w:szCs w:val="22"/>
            <w:u w:val="single"/>
          </w:rPr>
          <w:t xml:space="preserve">https://doi.org/10.2903/j.efsa.2012.3028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9713664b2c36491a3"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1266664b2c3649222"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9459664b2c3649273"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HM &amp; Tate HD (1933) A leafminer attacking the cultivated onion.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515-516.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3677664b2c364933f"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 E, Lindhout B I &amp; De Goffau LJW (2005) Identification of economically important Liriomyza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Lanzoni A, Bazzocchi GG, Burgio G &amp; Fiacconi MR (2002) Comparative life history of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Liriomyza huidobrensis</w:t>
      </w:r>
      <w:r>
        <w:rPr>
          <w:rFonts w:ascii="Calibri" w:hAnsi="Calibri" w:eastAsia="Calibri" w:cs="Calibri"/>
          <w:color w:val="000000"/>
          <w:sz w:val="22"/>
          <w:szCs w:val="22"/>
        </w:rPr>
        <w:t xml:space="preserve"> (Diptera: Agromyzidae) on beans: effect of temperature on development.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(5), 797-803.</w:t>
      </w:r>
    </w:p>
    <w:p>
      <w:pPr>
        <w:widowControl w:val="on"/>
        <w:pBdr/>
        <w:spacing w:before="220" w:after="220" w:line="240" w:lineRule="auto"/>
        <w:ind w:left="0" w:right="0"/>
        <w:jc w:val="left"/>
      </w:pPr>
      <w:r>
        <w:rPr>
          <w:rFonts w:ascii="Calibri" w:hAnsi="Calibri" w:eastAsia="Calibri" w:cs="Calibri"/>
          <w:color w:val="000000"/>
          <w:sz w:val="22"/>
          <w:szCs w:val="22"/>
        </w:rPr>
        <w:t xml:space="preserve">Leibee GL (1982) Development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on celery. In: </w:t>
      </w:r>
      <w:r>
        <w:rPr>
          <w:rFonts w:ascii="Calibri" w:hAnsi="Calibri" w:eastAsia="Calibri" w:cs="Calibri"/>
          <w:i/>
          <w:iCs/>
          <w:color w:val="000000"/>
          <w:sz w:val="22"/>
          <w:szCs w:val="22"/>
        </w:rPr>
        <w:t xml:space="preserve">Proceedings of IFAS-Industry Conference on Biology and Control of </w:t>
      </w:r>
      <w:r>
        <w:rPr>
          <w:rFonts w:ascii="Calibri" w:hAnsi="Calibri" w:eastAsia="Calibri" w:cs="Calibri"/>
          <w:color w:val="000000"/>
          <w:sz w:val="22"/>
          <w:szCs w:val="22"/>
        </w:rPr>
        <w:t xml:space="preserve">Liriomyza</w:t>
      </w:r>
      <w:r>
        <w:rPr>
          <w:rFonts w:ascii="Calibri" w:hAnsi="Calibri" w:eastAsia="Calibri" w:cs="Calibri"/>
          <w:i/>
          <w:iCs/>
          <w:color w:val="000000"/>
          <w:sz w:val="22"/>
          <w:szCs w:val="22"/>
        </w:rPr>
        <w:t xml:space="preserve"> leafminers, Lake Buéna Vista, Florida</w:t>
      </w:r>
      <w:r>
        <w:rPr>
          <w:rFonts w:ascii="Calibri" w:hAnsi="Calibri" w:eastAsia="Calibri" w:cs="Calibri"/>
          <w:color w:val="000000"/>
          <w:sz w:val="22"/>
          <w:szCs w:val="22"/>
        </w:rPr>
        <w:t xml:space="preserve"> (Ed. by Schuster DJ), pp. 35-41.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 </w:t>
      </w:r>
      <w:r>
        <w:rPr>
          <w:rFonts w:ascii="Calibri" w:hAnsi="Calibri" w:eastAsia="Calibri" w:cs="Calibri"/>
          <w:color w:val="000000"/>
          <w:sz w:val="22"/>
          <w:szCs w:val="22"/>
        </w:rPr>
        <w:t xml:space="preserve">– NDP27 V1. </w:t>
      </w:r>
      <w:hyperlink r:id="rId7892664b2c364957e"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(1988) Dispersal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173-182.</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JP &amp; Parrella MP (1986) A license to kill. </w:t>
      </w:r>
      <w:r>
        <w:rPr>
          <w:rFonts w:ascii="Calibri" w:hAnsi="Calibri" w:eastAsia="Calibri" w:cs="Calibri"/>
          <w:i/>
          <w:iCs/>
          <w:color w:val="000000"/>
          <w:sz w:val="22"/>
          <w:szCs w:val="22"/>
        </w:rPr>
        <w:t xml:space="preserve">Greenhouse Manager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86-92.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Allen WW &amp; Marishita P (1981) Leafminer species causes California chrysanthemum growers new problems.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28-30.</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Liriomyza leafminer management. Insecticides-development of safer and more effective technologies. </w:t>
      </w:r>
      <w:r>
        <w:rPr>
          <w:rFonts w:ascii="Calibri" w:hAnsi="Calibri" w:eastAsia="Calibri" w:cs="Calibri"/>
          <w:color w:val="000000"/>
          <w:sz w:val="22"/>
          <w:szCs w:val="22"/>
        </w:rPr>
        <w:t xml:space="preserve">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4769664b2c36498c6"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(2006) Mitochondrial phylogeography of the vegetable pest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Diverged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991–998.</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 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(5),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(1982) US celery under threat. </w:t>
      </w:r>
      <w:r>
        <w:rPr>
          <w:rFonts w:ascii="Calibri" w:hAnsi="Calibri" w:eastAsia="Calibri" w:cs="Calibri"/>
          <w:i/>
          <w:iCs/>
          <w:color w:val="000000"/>
          <w:sz w:val="22"/>
          <w:szCs w:val="22"/>
        </w:rPr>
        <w:t xml:space="preserve">Grower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15-18.</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EPPO datasheets on pests recommended for regulation. Available online. </w:t>
      </w:r>
      <w:hyperlink r:id="rId1795664b2c3649df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9432664b2c3649f57" w:history="1">
        <w:r>
          <w:rPr>
            <w:rFonts w:ascii="Calibri" w:hAnsi="Calibri" w:eastAsia="Calibri" w:cs="Calibri"/>
            <w:color w:val="0000CC"/>
            <w:sz w:val="22"/>
            <w:szCs w:val="22"/>
            <w:u w:val="single"/>
          </w:rPr>
          <w:t xml:space="preserve">https://doi.org/10.1111/j.1365-2338.1984.tb01978.x</w:t>
        </w:r>
      </w:hyperlink>
      <w:r>
        <w:rPr>
          <w:rFonts w:ascii="Calibri" w:hAnsi="Calibri" w:eastAsia="Calibri" w:cs="Calibri"/>
          <w:color w:val="000000"/>
          <w:sz w:val="22"/>
          <w:szCs w:val="22"/>
        </w:rPr>
        <w:t xml:space="preserve"> </w:t>
      </w:r>
    </w:p>
    <w:p>
      <w:r>
        <w:drawing>
          <wp:inline distT="0" distB="0" distL="0" distR="0">
            <wp:extent cx="1800000" cy="604800"/>
            <wp:docPr id="58363407" name="name8312664b2c3649fc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37664b2c3649fc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702392">
    <w:multiLevelType w:val="hybridMultilevel"/>
    <w:lvl w:ilvl="0" w:tplc="67565369">
      <w:start w:val="1"/>
      <w:numFmt w:val="decimal"/>
      <w:lvlText w:val="%1."/>
      <w:lvlJc w:val="left"/>
      <w:pPr>
        <w:ind w:left="720" w:hanging="360"/>
      </w:pPr>
    </w:lvl>
    <w:lvl w:ilvl="1" w:tplc="67565369" w:tentative="1">
      <w:start w:val="1"/>
      <w:numFmt w:val="lowerLetter"/>
      <w:lvlText w:val="%2."/>
      <w:lvlJc w:val="left"/>
      <w:pPr>
        <w:ind w:left="1440" w:hanging="360"/>
      </w:pPr>
    </w:lvl>
    <w:lvl w:ilvl="2" w:tplc="67565369" w:tentative="1">
      <w:start w:val="1"/>
      <w:numFmt w:val="lowerRoman"/>
      <w:lvlText w:val="%3."/>
      <w:lvlJc w:val="right"/>
      <w:pPr>
        <w:ind w:left="2160" w:hanging="180"/>
      </w:pPr>
    </w:lvl>
    <w:lvl w:ilvl="3" w:tplc="67565369" w:tentative="1">
      <w:start w:val="1"/>
      <w:numFmt w:val="decimal"/>
      <w:lvlText w:val="%4."/>
      <w:lvlJc w:val="left"/>
      <w:pPr>
        <w:ind w:left="2880" w:hanging="360"/>
      </w:pPr>
    </w:lvl>
    <w:lvl w:ilvl="4" w:tplc="67565369" w:tentative="1">
      <w:start w:val="1"/>
      <w:numFmt w:val="lowerLetter"/>
      <w:lvlText w:val="%5."/>
      <w:lvlJc w:val="left"/>
      <w:pPr>
        <w:ind w:left="3600" w:hanging="360"/>
      </w:pPr>
    </w:lvl>
    <w:lvl w:ilvl="5" w:tplc="67565369" w:tentative="1">
      <w:start w:val="1"/>
      <w:numFmt w:val="lowerRoman"/>
      <w:lvlText w:val="%6."/>
      <w:lvlJc w:val="right"/>
      <w:pPr>
        <w:ind w:left="4320" w:hanging="180"/>
      </w:pPr>
    </w:lvl>
    <w:lvl w:ilvl="6" w:tplc="67565369" w:tentative="1">
      <w:start w:val="1"/>
      <w:numFmt w:val="decimal"/>
      <w:lvlText w:val="%7."/>
      <w:lvlJc w:val="left"/>
      <w:pPr>
        <w:ind w:left="5040" w:hanging="360"/>
      </w:pPr>
    </w:lvl>
    <w:lvl w:ilvl="7" w:tplc="67565369" w:tentative="1">
      <w:start w:val="1"/>
      <w:numFmt w:val="lowerLetter"/>
      <w:lvlText w:val="%8."/>
      <w:lvlJc w:val="left"/>
      <w:pPr>
        <w:ind w:left="5760" w:hanging="360"/>
      </w:pPr>
    </w:lvl>
    <w:lvl w:ilvl="8" w:tplc="67565369" w:tentative="1">
      <w:start w:val="1"/>
      <w:numFmt w:val="lowerRoman"/>
      <w:lvlText w:val="%9."/>
      <w:lvlJc w:val="right"/>
      <w:pPr>
        <w:ind w:left="6480" w:hanging="180"/>
      </w:pPr>
    </w:lvl>
  </w:abstractNum>
  <w:abstractNum w:abstractNumId="84702391">
    <w:multiLevelType w:val="hybridMultilevel"/>
    <w:lvl w:ilvl="0" w:tplc="359106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702391">
    <w:abstractNumId w:val="84702391"/>
  </w:num>
  <w:num w:numId="84702392">
    <w:abstractNumId w:val="8470239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6549597" Type="http://schemas.microsoft.com/office/2011/relationships/commentsExtended" Target="commentsExtended.xml"/><Relationship Id="rId316403486" Type="http://schemas.microsoft.com/office/2011/relationships/people" Target="people.xml"/><Relationship Id="rId5101664b2c36458da" Type="http://schemas.openxmlformats.org/officeDocument/2006/relationships/hyperlink" Target="https://gd.eppo.int/taxon/LIRITR/" TargetMode="External"/><Relationship Id="rId7625664b2c3645945" Type="http://schemas.openxmlformats.org/officeDocument/2006/relationships/hyperlink" Target="https://gd.eppo.int/taxon/LIRITR/categorization" TargetMode="External"/><Relationship Id="rId9032664b2c364647f" Type="http://schemas.openxmlformats.org/officeDocument/2006/relationships/hyperlink" Target="https://gd.eppo.int/taxon/LIRITR/photos" TargetMode="External"/><Relationship Id="rId3390664b2c3648f84" Type="http://schemas.openxmlformats.org/officeDocument/2006/relationships/hyperlink" Target="https://www.cabidigitallibrary.org/doi/full/10.1079/cabicompendium.30965" TargetMode="External"/><Relationship Id="rId3832664b2c364903d" Type="http://schemas.openxmlformats.org/officeDocument/2006/relationships/hyperlink" Target="https://doi.org/10.2903/j.efsa.2012.3028" TargetMode="External"/><Relationship Id="rId9713664b2c36491a3" Type="http://schemas.openxmlformats.org/officeDocument/2006/relationships/hyperlink" Target="https://food.ec.europa.eu/plants/plant-health-and-biosecurity/europhyt/interceptions_en" TargetMode="External"/><Relationship Id="rId1266664b2c3649222" Type="http://schemas.openxmlformats.org/officeDocument/2006/relationships/hyperlink" Target="https://doi.org/10.1371/journal.pone.0270897" TargetMode="External"/><Relationship Id="rId9459664b2c3649273" Type="http://schemas.openxmlformats.org/officeDocument/2006/relationships/hyperlink" Target="https://doi.org/10.15468/39omei" TargetMode="External"/><Relationship Id="rId3677664b2c364933f" Type="http://schemas.openxmlformats.org/officeDocument/2006/relationships/hyperlink" Target="https://www.ippc.int/static/media/files/publication/en/2017/01/DP_16_2016_En_2017-01-30.pdf" TargetMode="External"/><Relationship Id="rId7892664b2c364957e" Type="http://schemas.openxmlformats.org/officeDocument/2006/relationships/hyperlink" Target="https://www.plantbiosecuritydiagnostics.net.au/app/uploads/2018/11/NDP-27-American-serpentine-leaf-miner-Liriomyza-trifolii-V1.pdf" TargetMode="External"/><Relationship Id="rId4769664b2c36498c6" Type="http://schemas.openxmlformats.org/officeDocument/2006/relationships/hyperlink" Target="http://dx.doi.org/10.5772/53874" TargetMode="External"/><Relationship Id="rId1795664b2c3649df2" Type="http://schemas.openxmlformats.org/officeDocument/2006/relationships/hyperlink" Target="https://gd.eppo.int" TargetMode="External"/><Relationship Id="rId9432664b2c3649f57" Type="http://schemas.openxmlformats.org/officeDocument/2006/relationships/hyperlink" Target="https://doi.org/10.1111/j.1365-2338.1984.tb01978.x" TargetMode="External"/><Relationship Id="rId2255664b2c364634e" Type="http://schemas.openxmlformats.org/officeDocument/2006/relationships/image" Target="media/imgrId2255664b2c364634e.jpg"/><Relationship Id="rId6251664b2c3648101" Type="http://schemas.openxmlformats.org/officeDocument/2006/relationships/image" Target="media/imgrId6251664b2c3648101.jpg"/><Relationship Id="rId9637664b2c3649fc1" Type="http://schemas.openxmlformats.org/officeDocument/2006/relationships/image" Target="media/imgrId9637664b2c3649fc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